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8.xml" ContentType="application/vnd.openxmlformats-officedocument.wordprocessingml.header+xml"/>
  <Override PartName="/word/footer19.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1.xml" ContentType="application/vnd.openxmlformats-officedocument.wordprocessingml.header+xml"/>
  <Override PartName="/word/footer22.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4.xml" ContentType="application/vnd.openxmlformats-officedocument.wordprocessingml.header+xml"/>
  <Override PartName="/word/footer25.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7.xml" ContentType="application/vnd.openxmlformats-officedocument.wordprocessingml.header+xml"/>
  <Override PartName="/word/footer28.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30.xml" ContentType="application/vnd.openxmlformats-officedocument.wordprocessingml.header+xml"/>
  <Override PartName="/word/footer31.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33.xml" ContentType="application/vnd.openxmlformats-officedocument.wordprocessingml.header+xml"/>
  <Override PartName="/word/footer3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653C8" w14:textId="77777777" w:rsidR="00A77B3E" w:rsidRPr="00800D1B" w:rsidRDefault="00623E14" w:rsidP="00CF74CB">
      <w:pPr>
        <w:pStyle w:val="Rubrik1"/>
        <w:spacing w:before="280"/>
      </w:pPr>
      <w:r w:rsidRPr="00800D1B">
        <w:t>SFC2021 Mall för program som får stöd från Eruf (målet Investering för sysselsättning och tillväxt), ESF+, Sammanhållningsfonden, FRO och EHFVF – artikel 21.3</w:t>
      </w:r>
    </w:p>
    <w:tbl>
      <w:tblPr>
        <w:tblStyle w:val="Tabellrutnt"/>
        <w:tblW w:w="5000" w:type="pct"/>
        <w:tblInd w:w="-95" w:type="dxa"/>
        <w:tblLook w:val="04A0" w:firstRow="1" w:lastRow="0" w:firstColumn="1" w:lastColumn="0" w:noHBand="0" w:noVBand="1"/>
        <w:tblDescription w:val="En tabell med två kolumner som innehåller olika data, t.ex. Version - 1.1; Första året - 2021; Sista året - 2027; Stödberättigande från - 2021-jan-01; Stödberättigande till - 2029-dec-31."/>
      </w:tblPr>
      <w:tblGrid>
        <w:gridCol w:w="5120"/>
        <w:gridCol w:w="5120"/>
      </w:tblGrid>
      <w:tr w:rsidR="003422DB" w:rsidRPr="00800D1B" w14:paraId="2D0653CC" w14:textId="77777777" w:rsidTr="00C6361B">
        <w:trPr>
          <w:trHeight w:val="240"/>
        </w:trPr>
        <w:tc>
          <w:tcPr>
            <w:tcW w:w="2500" w:type="pct"/>
          </w:tcPr>
          <w:p w14:paraId="2D0653CA" w14:textId="77777777" w:rsidR="00A77B3E" w:rsidRPr="00800D1B" w:rsidRDefault="00623E14" w:rsidP="00C6361B">
            <w:pPr>
              <w:ind w:left="-30"/>
              <w:rPr>
                <w:color w:val="000000"/>
                <w:lang w:val="sv-SE"/>
              </w:rPr>
            </w:pPr>
            <w:r w:rsidRPr="00800D1B">
              <w:rPr>
                <w:color w:val="000000"/>
                <w:lang w:val="sv-SE"/>
              </w:rPr>
              <w:t>CCI-nr</w:t>
            </w:r>
          </w:p>
        </w:tc>
        <w:tc>
          <w:tcPr>
            <w:tcW w:w="2500" w:type="pct"/>
          </w:tcPr>
          <w:p w14:paraId="2D0653CB" w14:textId="77777777" w:rsidR="00A77B3E" w:rsidRPr="00800D1B" w:rsidRDefault="00623E14" w:rsidP="00C6361B">
            <w:pPr>
              <w:ind w:left="-30"/>
              <w:rPr>
                <w:color w:val="000000"/>
                <w:lang w:val="sv-SE"/>
              </w:rPr>
            </w:pPr>
            <w:r w:rsidRPr="00800D1B">
              <w:rPr>
                <w:color w:val="000000"/>
                <w:lang w:val="sv-SE"/>
              </w:rPr>
              <w:t>2021SE16RFPR008</w:t>
            </w:r>
          </w:p>
        </w:tc>
      </w:tr>
      <w:tr w:rsidR="003422DB" w:rsidRPr="00800D1B" w14:paraId="2D0653CF" w14:textId="77777777" w:rsidTr="00C6361B">
        <w:trPr>
          <w:trHeight w:val="240"/>
        </w:trPr>
        <w:tc>
          <w:tcPr>
            <w:tcW w:w="2500" w:type="pct"/>
          </w:tcPr>
          <w:p w14:paraId="2D0653CD" w14:textId="77777777" w:rsidR="00A77B3E" w:rsidRPr="00800D1B" w:rsidRDefault="00623E14" w:rsidP="00C6361B">
            <w:pPr>
              <w:ind w:left="-30"/>
              <w:rPr>
                <w:color w:val="000000"/>
                <w:lang w:val="sv-SE"/>
              </w:rPr>
            </w:pPr>
            <w:r w:rsidRPr="00800D1B">
              <w:rPr>
                <w:color w:val="000000"/>
                <w:lang w:val="sv-SE"/>
              </w:rPr>
              <w:t>Namn på engelska</w:t>
            </w:r>
          </w:p>
        </w:tc>
        <w:tc>
          <w:tcPr>
            <w:tcW w:w="2500" w:type="pct"/>
          </w:tcPr>
          <w:p w14:paraId="2D0653CE" w14:textId="77777777" w:rsidR="00A77B3E" w:rsidRPr="00800D1B" w:rsidRDefault="00623E14" w:rsidP="00C6361B">
            <w:pPr>
              <w:ind w:left="-30" w:right="-276"/>
              <w:rPr>
                <w:color w:val="000000"/>
              </w:rPr>
            </w:pPr>
            <w:r w:rsidRPr="00800D1B">
              <w:rPr>
                <w:color w:val="000000"/>
              </w:rPr>
              <w:t>European Regional Development Fund programme for Upper Norrland 2021-2027</w:t>
            </w:r>
          </w:p>
        </w:tc>
      </w:tr>
      <w:tr w:rsidR="003422DB" w:rsidRPr="00692105" w14:paraId="2D0653D2" w14:textId="77777777" w:rsidTr="00C6361B">
        <w:trPr>
          <w:trHeight w:val="240"/>
        </w:trPr>
        <w:tc>
          <w:tcPr>
            <w:tcW w:w="2500" w:type="pct"/>
          </w:tcPr>
          <w:p w14:paraId="2D0653D0" w14:textId="77777777" w:rsidR="00A77B3E" w:rsidRPr="00800D1B" w:rsidRDefault="00623E14" w:rsidP="00C6361B">
            <w:pPr>
              <w:ind w:left="-30"/>
              <w:rPr>
                <w:color w:val="000000"/>
                <w:lang w:val="sv-SE"/>
              </w:rPr>
            </w:pPr>
            <w:r w:rsidRPr="00800D1B">
              <w:rPr>
                <w:color w:val="000000"/>
                <w:lang w:val="sv-SE"/>
              </w:rPr>
              <w:t>Namn på landets språk</w:t>
            </w:r>
          </w:p>
        </w:tc>
        <w:tc>
          <w:tcPr>
            <w:tcW w:w="2500" w:type="pct"/>
          </w:tcPr>
          <w:p w14:paraId="2D0653D1" w14:textId="77777777" w:rsidR="00A77B3E" w:rsidRPr="00800D1B" w:rsidRDefault="00623E14" w:rsidP="00C6361B">
            <w:pPr>
              <w:ind w:left="-30"/>
              <w:rPr>
                <w:color w:val="000000"/>
                <w:lang w:val="sv-SE"/>
              </w:rPr>
            </w:pPr>
            <w:r w:rsidRPr="00800D1B">
              <w:rPr>
                <w:color w:val="000000"/>
                <w:lang w:val="sv-SE"/>
              </w:rPr>
              <w:t>SV - Program för Europeiska regionala utvecklingsfonden för Övre Norrland 2021–2027</w:t>
            </w:r>
          </w:p>
        </w:tc>
      </w:tr>
      <w:tr w:rsidR="003422DB" w:rsidRPr="00800D1B" w14:paraId="2D0653D5" w14:textId="77777777" w:rsidTr="00C6361B">
        <w:trPr>
          <w:trHeight w:val="240"/>
        </w:trPr>
        <w:tc>
          <w:tcPr>
            <w:tcW w:w="2500" w:type="pct"/>
          </w:tcPr>
          <w:p w14:paraId="2D0653D3" w14:textId="77777777" w:rsidR="00A77B3E" w:rsidRPr="00800D1B" w:rsidRDefault="00623E14" w:rsidP="00C6361B">
            <w:pPr>
              <w:ind w:left="-30"/>
              <w:rPr>
                <w:color w:val="000000"/>
                <w:lang w:val="sv-SE"/>
              </w:rPr>
            </w:pPr>
            <w:r w:rsidRPr="00800D1B">
              <w:rPr>
                <w:color w:val="000000"/>
                <w:lang w:val="sv-SE"/>
              </w:rPr>
              <w:t>Version</w:t>
            </w:r>
          </w:p>
        </w:tc>
        <w:tc>
          <w:tcPr>
            <w:tcW w:w="2500" w:type="pct"/>
          </w:tcPr>
          <w:p w14:paraId="2D0653D4" w14:textId="77777777" w:rsidR="00A77B3E" w:rsidRPr="00800D1B" w:rsidRDefault="00623E14" w:rsidP="00C6361B">
            <w:pPr>
              <w:ind w:left="-30"/>
              <w:rPr>
                <w:color w:val="000000"/>
              </w:rPr>
            </w:pPr>
            <w:r w:rsidRPr="00800D1B">
              <w:rPr>
                <w:color w:val="000000"/>
              </w:rPr>
              <w:t>1.1</w:t>
            </w:r>
          </w:p>
        </w:tc>
      </w:tr>
      <w:tr w:rsidR="003422DB" w:rsidRPr="00800D1B" w14:paraId="2D0653D8" w14:textId="77777777" w:rsidTr="00C6361B">
        <w:trPr>
          <w:trHeight w:val="240"/>
        </w:trPr>
        <w:tc>
          <w:tcPr>
            <w:tcW w:w="2500" w:type="pct"/>
          </w:tcPr>
          <w:p w14:paraId="2D0653D6" w14:textId="77777777" w:rsidR="00A77B3E" w:rsidRPr="00800D1B" w:rsidRDefault="00623E14" w:rsidP="00C6361B">
            <w:pPr>
              <w:ind w:left="-30"/>
              <w:rPr>
                <w:color w:val="000000"/>
                <w:lang w:val="sv-SE"/>
              </w:rPr>
            </w:pPr>
            <w:r w:rsidRPr="00800D1B">
              <w:rPr>
                <w:color w:val="000000"/>
                <w:lang w:val="sv-SE"/>
              </w:rPr>
              <w:t>Första året</w:t>
            </w:r>
          </w:p>
        </w:tc>
        <w:tc>
          <w:tcPr>
            <w:tcW w:w="2500" w:type="pct"/>
          </w:tcPr>
          <w:p w14:paraId="2D0653D7" w14:textId="77777777" w:rsidR="00A77B3E" w:rsidRPr="00800D1B" w:rsidRDefault="00623E14" w:rsidP="00C6361B">
            <w:pPr>
              <w:ind w:left="-30"/>
              <w:rPr>
                <w:color w:val="000000"/>
              </w:rPr>
            </w:pPr>
            <w:r w:rsidRPr="00800D1B">
              <w:rPr>
                <w:color w:val="000000"/>
              </w:rPr>
              <w:t>2021</w:t>
            </w:r>
          </w:p>
        </w:tc>
      </w:tr>
      <w:tr w:rsidR="003422DB" w:rsidRPr="00800D1B" w14:paraId="2D0653DB" w14:textId="77777777" w:rsidTr="00C6361B">
        <w:trPr>
          <w:trHeight w:val="240"/>
        </w:trPr>
        <w:tc>
          <w:tcPr>
            <w:tcW w:w="2500" w:type="pct"/>
          </w:tcPr>
          <w:p w14:paraId="2D0653D9" w14:textId="77777777" w:rsidR="00A77B3E" w:rsidRPr="00800D1B" w:rsidRDefault="00623E14" w:rsidP="00C6361B">
            <w:pPr>
              <w:ind w:left="-30"/>
              <w:rPr>
                <w:color w:val="000000"/>
                <w:lang w:val="sv-SE"/>
              </w:rPr>
            </w:pPr>
            <w:r w:rsidRPr="00800D1B">
              <w:rPr>
                <w:color w:val="000000"/>
                <w:lang w:val="sv-SE"/>
              </w:rPr>
              <w:t>Sista året</w:t>
            </w:r>
          </w:p>
        </w:tc>
        <w:tc>
          <w:tcPr>
            <w:tcW w:w="2500" w:type="pct"/>
          </w:tcPr>
          <w:p w14:paraId="2D0653DA" w14:textId="77777777" w:rsidR="00A77B3E" w:rsidRPr="00800D1B" w:rsidRDefault="00623E14" w:rsidP="00C6361B">
            <w:pPr>
              <w:ind w:left="-30"/>
              <w:rPr>
                <w:color w:val="000000"/>
              </w:rPr>
            </w:pPr>
            <w:r w:rsidRPr="00800D1B">
              <w:rPr>
                <w:color w:val="000000"/>
              </w:rPr>
              <w:t>2027</w:t>
            </w:r>
          </w:p>
        </w:tc>
      </w:tr>
      <w:tr w:rsidR="003422DB" w:rsidRPr="00800D1B" w14:paraId="2D0653DE" w14:textId="77777777" w:rsidTr="00C6361B">
        <w:trPr>
          <w:trHeight w:val="240"/>
        </w:trPr>
        <w:tc>
          <w:tcPr>
            <w:tcW w:w="2500" w:type="pct"/>
          </w:tcPr>
          <w:p w14:paraId="2D0653DC" w14:textId="77777777" w:rsidR="00A77B3E" w:rsidRPr="00800D1B" w:rsidRDefault="00623E14" w:rsidP="00C6361B">
            <w:pPr>
              <w:ind w:left="-30"/>
              <w:rPr>
                <w:color w:val="000000"/>
                <w:lang w:val="sv-SE"/>
              </w:rPr>
            </w:pPr>
            <w:r w:rsidRPr="00800D1B">
              <w:rPr>
                <w:color w:val="000000"/>
                <w:lang w:val="sv-SE"/>
              </w:rPr>
              <w:t>Stödberättigande från</w:t>
            </w:r>
          </w:p>
        </w:tc>
        <w:tc>
          <w:tcPr>
            <w:tcW w:w="2500" w:type="pct"/>
          </w:tcPr>
          <w:p w14:paraId="2D0653DD" w14:textId="77777777" w:rsidR="00A77B3E" w:rsidRPr="00800D1B" w:rsidRDefault="00623E14" w:rsidP="00C6361B">
            <w:pPr>
              <w:ind w:left="-30"/>
              <w:rPr>
                <w:color w:val="000000"/>
              </w:rPr>
            </w:pPr>
            <w:r w:rsidRPr="00800D1B">
              <w:rPr>
                <w:color w:val="000000"/>
              </w:rPr>
              <w:t>2021-jan-01</w:t>
            </w:r>
          </w:p>
        </w:tc>
      </w:tr>
      <w:tr w:rsidR="003422DB" w:rsidRPr="00800D1B" w14:paraId="2D0653E1" w14:textId="77777777" w:rsidTr="00C6361B">
        <w:trPr>
          <w:trHeight w:val="240"/>
        </w:trPr>
        <w:tc>
          <w:tcPr>
            <w:tcW w:w="2500" w:type="pct"/>
          </w:tcPr>
          <w:p w14:paraId="2D0653DF" w14:textId="77777777" w:rsidR="00A77B3E" w:rsidRPr="00800D1B" w:rsidRDefault="00623E14" w:rsidP="00C6361B">
            <w:pPr>
              <w:ind w:left="-30"/>
              <w:rPr>
                <w:color w:val="000000"/>
                <w:lang w:val="sv-SE"/>
              </w:rPr>
            </w:pPr>
            <w:r w:rsidRPr="00800D1B">
              <w:rPr>
                <w:color w:val="000000"/>
                <w:lang w:val="sv-SE"/>
              </w:rPr>
              <w:t>Stödberättigande till</w:t>
            </w:r>
          </w:p>
        </w:tc>
        <w:tc>
          <w:tcPr>
            <w:tcW w:w="2500" w:type="pct"/>
          </w:tcPr>
          <w:p w14:paraId="2D0653E0" w14:textId="77777777" w:rsidR="00A77B3E" w:rsidRPr="00800D1B" w:rsidRDefault="00623E14" w:rsidP="00C6361B">
            <w:pPr>
              <w:ind w:left="-30"/>
              <w:rPr>
                <w:color w:val="000000"/>
              </w:rPr>
            </w:pPr>
            <w:r w:rsidRPr="00800D1B">
              <w:rPr>
                <w:color w:val="000000"/>
              </w:rPr>
              <w:t>2029-dec-31</w:t>
            </w:r>
          </w:p>
        </w:tc>
      </w:tr>
      <w:tr w:rsidR="003422DB" w:rsidRPr="00800D1B" w14:paraId="2D0653E4" w14:textId="77777777" w:rsidTr="00C6361B">
        <w:trPr>
          <w:trHeight w:val="240"/>
        </w:trPr>
        <w:tc>
          <w:tcPr>
            <w:tcW w:w="2500" w:type="pct"/>
          </w:tcPr>
          <w:p w14:paraId="2D0653E2" w14:textId="77777777" w:rsidR="00A77B3E" w:rsidRPr="00800D1B" w:rsidRDefault="00623E14" w:rsidP="00C6361B">
            <w:pPr>
              <w:ind w:left="-30"/>
              <w:rPr>
                <w:color w:val="000000"/>
                <w:lang w:val="sv-SE"/>
              </w:rPr>
            </w:pPr>
            <w:r w:rsidRPr="00800D1B">
              <w:rPr>
                <w:color w:val="000000"/>
                <w:lang w:val="sv-SE"/>
              </w:rPr>
              <w:t>Kommissionsbeslutets nummer</w:t>
            </w:r>
          </w:p>
        </w:tc>
        <w:tc>
          <w:tcPr>
            <w:tcW w:w="2500" w:type="pct"/>
          </w:tcPr>
          <w:p w14:paraId="2D0653E3" w14:textId="77777777" w:rsidR="00A77B3E" w:rsidRPr="00800D1B" w:rsidRDefault="00623E14" w:rsidP="00C6361B">
            <w:pPr>
              <w:ind w:left="-30"/>
              <w:rPr>
                <w:color w:val="000000"/>
              </w:rPr>
            </w:pPr>
            <w:r w:rsidRPr="00800D1B">
              <w:rPr>
                <w:color w:val="000000"/>
              </w:rPr>
              <w:t>C(2022)8832</w:t>
            </w:r>
          </w:p>
        </w:tc>
      </w:tr>
      <w:tr w:rsidR="003422DB" w:rsidRPr="00800D1B" w14:paraId="2D0653E7" w14:textId="77777777" w:rsidTr="00C6361B">
        <w:trPr>
          <w:trHeight w:val="240"/>
        </w:trPr>
        <w:tc>
          <w:tcPr>
            <w:tcW w:w="2500" w:type="pct"/>
          </w:tcPr>
          <w:p w14:paraId="2D0653E5" w14:textId="77777777" w:rsidR="00A77B3E" w:rsidRPr="00800D1B" w:rsidRDefault="00623E14" w:rsidP="00C6361B">
            <w:pPr>
              <w:ind w:left="-30"/>
              <w:rPr>
                <w:color w:val="000000"/>
                <w:lang w:val="sv-SE"/>
              </w:rPr>
            </w:pPr>
            <w:r w:rsidRPr="00800D1B">
              <w:rPr>
                <w:color w:val="000000"/>
                <w:lang w:val="sv-SE"/>
              </w:rPr>
              <w:t>Dag för kommissionens beslut</w:t>
            </w:r>
          </w:p>
        </w:tc>
        <w:tc>
          <w:tcPr>
            <w:tcW w:w="2500" w:type="pct"/>
          </w:tcPr>
          <w:p w14:paraId="2D0653E6" w14:textId="77777777" w:rsidR="00A77B3E" w:rsidRPr="00800D1B" w:rsidRDefault="00623E14" w:rsidP="00C6361B">
            <w:pPr>
              <w:ind w:left="-30"/>
              <w:rPr>
                <w:color w:val="000000"/>
              </w:rPr>
            </w:pPr>
            <w:r w:rsidRPr="00800D1B">
              <w:rPr>
                <w:color w:val="000000"/>
              </w:rPr>
              <w:t>2022-nov-28</w:t>
            </w:r>
          </w:p>
        </w:tc>
      </w:tr>
      <w:tr w:rsidR="003422DB" w:rsidRPr="00692105" w14:paraId="2D0653EA" w14:textId="77777777" w:rsidTr="00C6361B">
        <w:trPr>
          <w:trHeight w:val="240"/>
        </w:trPr>
        <w:tc>
          <w:tcPr>
            <w:tcW w:w="2500" w:type="pct"/>
          </w:tcPr>
          <w:p w14:paraId="2D0653E8" w14:textId="77777777" w:rsidR="00A77B3E" w:rsidRPr="00800D1B" w:rsidRDefault="00623E14" w:rsidP="00C6361B">
            <w:pPr>
              <w:ind w:left="-30"/>
              <w:rPr>
                <w:color w:val="000000"/>
                <w:lang w:val="sv-SE"/>
              </w:rPr>
            </w:pPr>
            <w:r w:rsidRPr="00800D1B">
              <w:rPr>
                <w:color w:val="000000"/>
                <w:lang w:val="sv-SE"/>
              </w:rPr>
              <w:t>Nuts-regioner som omfattas av programmet</w:t>
            </w:r>
          </w:p>
        </w:tc>
        <w:tc>
          <w:tcPr>
            <w:tcW w:w="2500" w:type="pct"/>
          </w:tcPr>
          <w:p w14:paraId="2D0653E9" w14:textId="0AE04A2F" w:rsidR="00A77B3E" w:rsidRPr="00800D1B" w:rsidRDefault="00623E14" w:rsidP="00891E00">
            <w:pPr>
              <w:ind w:left="-30" w:right="2394"/>
              <w:rPr>
                <w:color w:val="000000"/>
                <w:lang w:val="sv-SE"/>
              </w:rPr>
            </w:pPr>
            <w:r w:rsidRPr="00800D1B">
              <w:rPr>
                <w:color w:val="000000"/>
                <w:lang w:val="sv-SE"/>
              </w:rPr>
              <w:t>SE33 - Övre Norrland</w:t>
            </w:r>
            <w:r w:rsidR="00891E00" w:rsidRPr="00800D1B">
              <w:rPr>
                <w:color w:val="000000"/>
                <w:lang w:val="sv-SE"/>
              </w:rPr>
              <w:t xml:space="preserve"> </w:t>
            </w:r>
            <w:r w:rsidRPr="00800D1B">
              <w:rPr>
                <w:color w:val="000000"/>
                <w:lang w:val="sv-SE"/>
              </w:rPr>
              <w:t>SE331 - Västerbottens län</w:t>
            </w:r>
            <w:r w:rsidR="00891E00" w:rsidRPr="00800D1B">
              <w:rPr>
                <w:color w:val="000000"/>
                <w:lang w:val="sv-SE"/>
              </w:rPr>
              <w:t xml:space="preserve"> </w:t>
            </w:r>
            <w:r w:rsidRPr="00800D1B">
              <w:rPr>
                <w:color w:val="000000"/>
                <w:lang w:val="sv-SE"/>
              </w:rPr>
              <w:t>SE332 - Norrbottens län</w:t>
            </w:r>
          </w:p>
        </w:tc>
      </w:tr>
      <w:tr w:rsidR="003422DB" w:rsidRPr="00800D1B" w14:paraId="2D0653ED" w14:textId="77777777" w:rsidTr="00C6361B">
        <w:trPr>
          <w:trHeight w:val="240"/>
        </w:trPr>
        <w:tc>
          <w:tcPr>
            <w:tcW w:w="2500" w:type="pct"/>
          </w:tcPr>
          <w:p w14:paraId="2D0653EB" w14:textId="77777777" w:rsidR="00A77B3E" w:rsidRPr="00800D1B" w:rsidRDefault="00623E14" w:rsidP="00C6361B">
            <w:pPr>
              <w:ind w:left="-30"/>
              <w:rPr>
                <w:color w:val="000000"/>
                <w:lang w:val="sv-SE"/>
              </w:rPr>
            </w:pPr>
            <w:r w:rsidRPr="00800D1B">
              <w:rPr>
                <w:color w:val="000000"/>
                <w:lang w:val="sv-SE"/>
              </w:rPr>
              <w:t>Berörd(a) fond(er)</w:t>
            </w:r>
          </w:p>
        </w:tc>
        <w:tc>
          <w:tcPr>
            <w:tcW w:w="2500" w:type="pct"/>
          </w:tcPr>
          <w:p w14:paraId="2D0653EC" w14:textId="77777777" w:rsidR="00A77B3E" w:rsidRPr="00800D1B" w:rsidRDefault="00623E14" w:rsidP="00C6361B">
            <w:pPr>
              <w:ind w:left="-30"/>
              <w:rPr>
                <w:color w:val="000000"/>
                <w:lang w:val="sv-SE"/>
              </w:rPr>
            </w:pPr>
            <w:r w:rsidRPr="00800D1B">
              <w:rPr>
                <w:color w:val="000000"/>
                <w:lang w:val="sv-SE"/>
              </w:rPr>
              <w:t>Eruf</w:t>
            </w:r>
          </w:p>
        </w:tc>
      </w:tr>
      <w:tr w:rsidR="003422DB" w:rsidRPr="00692105" w14:paraId="2D0653F0" w14:textId="77777777" w:rsidTr="00C6361B">
        <w:trPr>
          <w:trHeight w:val="240"/>
        </w:trPr>
        <w:tc>
          <w:tcPr>
            <w:tcW w:w="2500" w:type="pct"/>
          </w:tcPr>
          <w:p w14:paraId="2D0653EE" w14:textId="77777777" w:rsidR="00A77B3E" w:rsidRPr="00800D1B" w:rsidRDefault="00623E14" w:rsidP="00C6361B">
            <w:pPr>
              <w:ind w:left="-30"/>
              <w:rPr>
                <w:color w:val="000000"/>
                <w:lang w:val="sv-SE"/>
              </w:rPr>
            </w:pPr>
            <w:r w:rsidRPr="00800D1B">
              <w:rPr>
                <w:color w:val="000000"/>
                <w:lang w:val="sv-SE"/>
              </w:rPr>
              <w:t>Program</w:t>
            </w:r>
          </w:p>
        </w:tc>
        <w:tc>
          <w:tcPr>
            <w:tcW w:w="2500" w:type="pct"/>
          </w:tcPr>
          <w:p w14:paraId="2D0653EF" w14:textId="354F4298" w:rsidR="00A77B3E" w:rsidRPr="00800D1B" w:rsidRDefault="00891E00" w:rsidP="00C6361B">
            <w:pPr>
              <w:ind w:left="-30"/>
              <w:rPr>
                <w:color w:val="000000"/>
                <w:lang w:val="sv-SE"/>
              </w:rPr>
            </w:pPr>
            <w:r w:rsidRPr="00800D1B">
              <w:rPr>
                <w:rFonts w:ascii="Segoe UI Emoji" w:hAnsi="Segoe UI Emoji" w:cs="Segoe UI Emoji"/>
                <w:color w:val="000000"/>
                <w:sz w:val="20"/>
                <w:szCs w:val="20"/>
                <w:lang w:val="sv-SE"/>
              </w:rPr>
              <w:t>⬜</w:t>
            </w:r>
            <w:r w:rsidR="001C70EF" w:rsidRPr="00800D1B">
              <w:rPr>
                <w:color w:val="000000"/>
                <w:lang w:val="sv-SE"/>
              </w:rPr>
              <w:t xml:space="preserve"> </w:t>
            </w:r>
            <w:r w:rsidR="00623E14" w:rsidRPr="00800D1B">
              <w:rPr>
                <w:color w:val="000000"/>
                <w:lang w:val="sv-SE"/>
              </w:rPr>
              <w:t>inom ramen för målet Investering för sysselsättning och tillväxt endast för de yttersta randområdena</w:t>
            </w:r>
          </w:p>
        </w:tc>
      </w:tr>
    </w:tbl>
    <w:p w14:paraId="4A4D203B" w14:textId="77777777" w:rsidR="00D517AF" w:rsidRPr="00800D1B" w:rsidRDefault="00D517AF" w:rsidP="00D517AF">
      <w:pPr>
        <w:rPr>
          <w:lang w:val="sv-SE"/>
        </w:rPr>
        <w:sectPr w:rsidR="00D517AF" w:rsidRPr="00800D1B" w:rsidSect="00F854FB">
          <w:footerReference w:type="default" r:id="rId11"/>
          <w:type w:val="continuous"/>
          <w:pgSz w:w="11906" w:h="16838"/>
          <w:pgMar w:top="720" w:right="936" w:bottom="864" w:left="720" w:header="0" w:footer="72" w:gutter="0"/>
          <w:cols w:space="720"/>
          <w:noEndnote/>
          <w:docGrid w:linePitch="360"/>
        </w:sectPr>
      </w:pPr>
    </w:p>
    <w:p w14:paraId="2D0653F1" w14:textId="41E75731" w:rsidR="00A77B3E" w:rsidRPr="00800D1B" w:rsidRDefault="00623E14" w:rsidP="00C6361B">
      <w:pPr>
        <w:pStyle w:val="Rubrik2"/>
        <w:numPr>
          <w:ilvl w:val="0"/>
          <w:numId w:val="0"/>
        </w:numPr>
        <w:spacing w:after="240"/>
        <w:ind w:left="180"/>
        <w:jc w:val="center"/>
        <w:rPr>
          <w:b/>
          <w:bCs/>
          <w:lang w:val="sv-SE"/>
        </w:rPr>
      </w:pPr>
      <w:r w:rsidRPr="00800D1B">
        <w:rPr>
          <w:b/>
          <w:bCs/>
          <w:lang w:val="sv-SE"/>
        </w:rPr>
        <w:lastRenderedPageBreak/>
        <w:t>Innehållsförteckning</w:t>
      </w:r>
    </w:p>
    <w:p w14:paraId="2D0653F3" w14:textId="77777777" w:rsidR="003422DB" w:rsidRPr="00800D1B" w:rsidRDefault="00623E14">
      <w:pPr>
        <w:pStyle w:val="Innehll1"/>
        <w:tabs>
          <w:tab w:val="right" w:leader="dot" w:pos="10240"/>
        </w:tabs>
        <w:rPr>
          <w:rFonts w:ascii="Calibri" w:hAnsi="Calibri"/>
          <w:sz w:val="22"/>
          <w:lang w:val="sv-SE"/>
        </w:rPr>
      </w:pPr>
      <w:r w:rsidRPr="00800D1B">
        <w:rPr>
          <w:color w:val="000000"/>
          <w:lang w:val="sv-SE"/>
        </w:rPr>
        <w:fldChar w:fldCharType="begin"/>
      </w:r>
      <w:r w:rsidR="00A77B3E" w:rsidRPr="00800D1B">
        <w:rPr>
          <w:color w:val="000000"/>
          <w:lang w:val="sv-SE"/>
        </w:rPr>
        <w:instrText>TOC \o "1-9" \z \u \h</w:instrText>
      </w:r>
      <w:r w:rsidRPr="00800D1B">
        <w:rPr>
          <w:color w:val="000000"/>
          <w:lang w:val="sv-SE"/>
        </w:rPr>
        <w:fldChar w:fldCharType="separate"/>
      </w:r>
      <w:hyperlink w:anchor="_Toc256000241" w:history="1">
        <w:r w:rsidR="00A77B3E" w:rsidRPr="00800D1B">
          <w:rPr>
            <w:rStyle w:val="Hyperlnk"/>
            <w:lang w:val="sv-SE"/>
          </w:rPr>
          <w:t>1. Programstrategi: viktigaste utmaningar och politiska åtgärder</w:t>
        </w:r>
        <w:r w:rsidRPr="00800D1B">
          <w:rPr>
            <w:lang w:val="sv-SE"/>
          </w:rPr>
          <w:tab/>
        </w:r>
        <w:r w:rsidRPr="00800D1B">
          <w:rPr>
            <w:lang w:val="sv-SE"/>
          </w:rPr>
          <w:fldChar w:fldCharType="begin"/>
        </w:r>
        <w:r w:rsidRPr="00800D1B">
          <w:rPr>
            <w:lang w:val="sv-SE"/>
          </w:rPr>
          <w:instrText xml:space="preserve"> PAGEREF _Toc256000241 \h </w:instrText>
        </w:r>
        <w:r w:rsidRPr="00800D1B">
          <w:rPr>
            <w:lang w:val="sv-SE"/>
          </w:rPr>
        </w:r>
        <w:r w:rsidRPr="00800D1B">
          <w:rPr>
            <w:lang w:val="sv-SE"/>
          </w:rPr>
          <w:fldChar w:fldCharType="separate"/>
        </w:r>
        <w:r w:rsidRPr="00800D1B">
          <w:rPr>
            <w:lang w:val="sv-SE"/>
          </w:rPr>
          <w:t>9</w:t>
        </w:r>
        <w:r w:rsidRPr="00800D1B">
          <w:rPr>
            <w:lang w:val="sv-SE"/>
          </w:rPr>
          <w:fldChar w:fldCharType="end"/>
        </w:r>
      </w:hyperlink>
    </w:p>
    <w:p w14:paraId="2D0653F4" w14:textId="77777777" w:rsidR="003422DB" w:rsidRPr="00800D1B" w:rsidRDefault="00000000">
      <w:pPr>
        <w:pStyle w:val="Innehll2"/>
        <w:tabs>
          <w:tab w:val="right" w:leader="dot" w:pos="10240"/>
        </w:tabs>
        <w:rPr>
          <w:rFonts w:ascii="Calibri" w:hAnsi="Calibri"/>
          <w:sz w:val="22"/>
          <w:lang w:val="sv-SE"/>
        </w:rPr>
      </w:pPr>
      <w:hyperlink w:anchor="_Toc256000242" w:history="1">
        <w:r w:rsidR="00A77B3E" w:rsidRPr="00800D1B">
          <w:rPr>
            <w:rStyle w:val="Hyperlnk"/>
            <w:lang w:val="sv-SE"/>
          </w:rPr>
          <w:t>Tabell 1</w:t>
        </w:r>
        <w:r w:rsidR="00623E14" w:rsidRPr="00800D1B">
          <w:rPr>
            <w:lang w:val="sv-SE"/>
          </w:rPr>
          <w:tab/>
        </w:r>
        <w:r w:rsidR="00623E14" w:rsidRPr="00800D1B">
          <w:rPr>
            <w:lang w:val="sv-SE"/>
          </w:rPr>
          <w:fldChar w:fldCharType="begin"/>
        </w:r>
        <w:r w:rsidR="00623E14" w:rsidRPr="00800D1B">
          <w:rPr>
            <w:lang w:val="sv-SE"/>
          </w:rPr>
          <w:instrText xml:space="preserve"> PAGEREF _Toc256000242 \h </w:instrText>
        </w:r>
        <w:r w:rsidR="00623E14" w:rsidRPr="00800D1B">
          <w:rPr>
            <w:lang w:val="sv-SE"/>
          </w:rPr>
        </w:r>
        <w:r w:rsidR="00623E14" w:rsidRPr="00800D1B">
          <w:rPr>
            <w:lang w:val="sv-SE"/>
          </w:rPr>
          <w:fldChar w:fldCharType="separate"/>
        </w:r>
        <w:r w:rsidR="00623E14" w:rsidRPr="00800D1B">
          <w:rPr>
            <w:lang w:val="sv-SE"/>
          </w:rPr>
          <w:t>16</w:t>
        </w:r>
        <w:r w:rsidR="00623E14" w:rsidRPr="00800D1B">
          <w:rPr>
            <w:lang w:val="sv-SE"/>
          </w:rPr>
          <w:fldChar w:fldCharType="end"/>
        </w:r>
      </w:hyperlink>
    </w:p>
    <w:p w14:paraId="2D0653F5" w14:textId="77777777" w:rsidR="003422DB" w:rsidRPr="00800D1B" w:rsidRDefault="00000000">
      <w:pPr>
        <w:pStyle w:val="Innehll1"/>
        <w:tabs>
          <w:tab w:val="right" w:leader="dot" w:pos="10240"/>
        </w:tabs>
        <w:rPr>
          <w:rFonts w:ascii="Calibri" w:hAnsi="Calibri"/>
          <w:sz w:val="22"/>
          <w:lang w:val="sv-SE"/>
        </w:rPr>
      </w:pPr>
      <w:hyperlink w:anchor="_Toc256000243" w:history="1">
        <w:r w:rsidR="00A77B3E" w:rsidRPr="00800D1B">
          <w:rPr>
            <w:rStyle w:val="Hyperlnk"/>
            <w:lang w:val="sv-SE"/>
          </w:rPr>
          <w:t>2. Prioriteringar</w:t>
        </w:r>
        <w:r w:rsidR="00623E14" w:rsidRPr="00800D1B">
          <w:rPr>
            <w:lang w:val="sv-SE"/>
          </w:rPr>
          <w:tab/>
        </w:r>
        <w:r w:rsidR="00623E14" w:rsidRPr="00800D1B">
          <w:rPr>
            <w:lang w:val="sv-SE"/>
          </w:rPr>
          <w:fldChar w:fldCharType="begin"/>
        </w:r>
        <w:r w:rsidR="00623E14" w:rsidRPr="00800D1B">
          <w:rPr>
            <w:lang w:val="sv-SE"/>
          </w:rPr>
          <w:instrText xml:space="preserve"> PAGEREF _Toc256000243 \h </w:instrText>
        </w:r>
        <w:r w:rsidR="00623E14" w:rsidRPr="00800D1B">
          <w:rPr>
            <w:lang w:val="sv-SE"/>
          </w:rPr>
        </w:r>
        <w:r w:rsidR="00623E14" w:rsidRPr="00800D1B">
          <w:rPr>
            <w:lang w:val="sv-SE"/>
          </w:rPr>
          <w:fldChar w:fldCharType="separate"/>
        </w:r>
        <w:r w:rsidR="00623E14" w:rsidRPr="00800D1B">
          <w:rPr>
            <w:lang w:val="sv-SE"/>
          </w:rPr>
          <w:t>23</w:t>
        </w:r>
        <w:r w:rsidR="00623E14" w:rsidRPr="00800D1B">
          <w:rPr>
            <w:lang w:val="sv-SE"/>
          </w:rPr>
          <w:fldChar w:fldCharType="end"/>
        </w:r>
      </w:hyperlink>
    </w:p>
    <w:p w14:paraId="2D0653F6" w14:textId="77777777" w:rsidR="003422DB" w:rsidRPr="00800D1B" w:rsidRDefault="00000000">
      <w:pPr>
        <w:pStyle w:val="Innehll2"/>
        <w:tabs>
          <w:tab w:val="right" w:leader="dot" w:pos="10240"/>
        </w:tabs>
        <w:rPr>
          <w:rFonts w:ascii="Calibri" w:hAnsi="Calibri"/>
          <w:sz w:val="22"/>
          <w:lang w:val="sv-SE"/>
        </w:rPr>
      </w:pPr>
      <w:hyperlink w:anchor="_Toc256000244" w:history="1">
        <w:r w:rsidR="00A77B3E" w:rsidRPr="00800D1B">
          <w:rPr>
            <w:rStyle w:val="Hyperlnk"/>
            <w:lang w:val="sv-SE"/>
          </w:rPr>
          <w:t>2.1. Andra prioriteringar än tekniskt bistånd</w:t>
        </w:r>
        <w:r w:rsidR="00623E14" w:rsidRPr="00800D1B">
          <w:rPr>
            <w:lang w:val="sv-SE"/>
          </w:rPr>
          <w:tab/>
        </w:r>
        <w:r w:rsidR="00623E14" w:rsidRPr="00800D1B">
          <w:rPr>
            <w:lang w:val="sv-SE"/>
          </w:rPr>
          <w:fldChar w:fldCharType="begin"/>
        </w:r>
        <w:r w:rsidR="00623E14" w:rsidRPr="00800D1B">
          <w:rPr>
            <w:lang w:val="sv-SE"/>
          </w:rPr>
          <w:instrText xml:space="preserve"> PAGEREF _Toc256000244 \h </w:instrText>
        </w:r>
        <w:r w:rsidR="00623E14" w:rsidRPr="00800D1B">
          <w:rPr>
            <w:lang w:val="sv-SE"/>
          </w:rPr>
        </w:r>
        <w:r w:rsidR="00623E14" w:rsidRPr="00800D1B">
          <w:rPr>
            <w:lang w:val="sv-SE"/>
          </w:rPr>
          <w:fldChar w:fldCharType="separate"/>
        </w:r>
        <w:r w:rsidR="00623E14" w:rsidRPr="00800D1B">
          <w:rPr>
            <w:lang w:val="sv-SE"/>
          </w:rPr>
          <w:t>23</w:t>
        </w:r>
        <w:r w:rsidR="00623E14" w:rsidRPr="00800D1B">
          <w:rPr>
            <w:lang w:val="sv-SE"/>
          </w:rPr>
          <w:fldChar w:fldCharType="end"/>
        </w:r>
      </w:hyperlink>
    </w:p>
    <w:p w14:paraId="2D0653F7" w14:textId="77777777" w:rsidR="003422DB" w:rsidRPr="00800D1B" w:rsidRDefault="00000000">
      <w:pPr>
        <w:pStyle w:val="Innehll3"/>
        <w:tabs>
          <w:tab w:val="right" w:leader="dot" w:pos="10240"/>
        </w:tabs>
        <w:rPr>
          <w:rFonts w:ascii="Calibri" w:hAnsi="Calibri"/>
          <w:sz w:val="22"/>
          <w:lang w:val="sv-SE"/>
        </w:rPr>
      </w:pPr>
      <w:hyperlink w:anchor="_Toc256000245" w:history="1">
        <w:r w:rsidR="00A77B3E" w:rsidRPr="00800D1B">
          <w:rPr>
            <w:rStyle w:val="Hyperlnk"/>
            <w:lang w:val="sv-SE"/>
          </w:rPr>
          <w:t>2.1.1. Prioritering: 1. Smart specialisering inom forskning och innovation och användningen av avancerad teknik</w:t>
        </w:r>
        <w:r w:rsidR="00623E14" w:rsidRPr="00800D1B">
          <w:rPr>
            <w:lang w:val="sv-SE"/>
          </w:rPr>
          <w:tab/>
        </w:r>
        <w:r w:rsidR="00623E14" w:rsidRPr="00800D1B">
          <w:rPr>
            <w:lang w:val="sv-SE"/>
          </w:rPr>
          <w:fldChar w:fldCharType="begin"/>
        </w:r>
        <w:r w:rsidR="00623E14" w:rsidRPr="00800D1B">
          <w:rPr>
            <w:lang w:val="sv-SE"/>
          </w:rPr>
          <w:instrText xml:space="preserve"> PAGEREF _Toc256000245 \h </w:instrText>
        </w:r>
        <w:r w:rsidR="00623E14" w:rsidRPr="00800D1B">
          <w:rPr>
            <w:lang w:val="sv-SE"/>
          </w:rPr>
        </w:r>
        <w:r w:rsidR="00623E14" w:rsidRPr="00800D1B">
          <w:rPr>
            <w:lang w:val="sv-SE"/>
          </w:rPr>
          <w:fldChar w:fldCharType="separate"/>
        </w:r>
        <w:r w:rsidR="00623E14" w:rsidRPr="00800D1B">
          <w:rPr>
            <w:lang w:val="sv-SE"/>
          </w:rPr>
          <w:t>23</w:t>
        </w:r>
        <w:r w:rsidR="00623E14" w:rsidRPr="00800D1B">
          <w:rPr>
            <w:lang w:val="sv-SE"/>
          </w:rPr>
          <w:fldChar w:fldCharType="end"/>
        </w:r>
      </w:hyperlink>
    </w:p>
    <w:p w14:paraId="2D0653F8" w14:textId="77777777" w:rsidR="003422DB" w:rsidRPr="00800D1B" w:rsidRDefault="00000000" w:rsidP="004F0B72">
      <w:pPr>
        <w:pStyle w:val="Innehll4"/>
        <w:rPr>
          <w:rFonts w:ascii="Calibri" w:hAnsi="Calibri"/>
          <w:sz w:val="22"/>
          <w:lang w:val="sv-SE"/>
        </w:rPr>
      </w:pPr>
      <w:hyperlink w:anchor="_Toc256000246" w:history="1">
        <w:r w:rsidR="00A77B3E" w:rsidRPr="00800D1B">
          <w:rPr>
            <w:rStyle w:val="Hyperlnk"/>
            <w:lang w:val="sv-SE"/>
          </w:rPr>
          <w:t>2.1.1.1. Specifikt mål: RSO1.1. Utveckla och förbättra forsknings- och innovationskapaciteten och användningen av avancerad teknik (Eruf)</w:t>
        </w:r>
        <w:r w:rsidR="00623E14" w:rsidRPr="00800D1B">
          <w:rPr>
            <w:lang w:val="sv-SE"/>
          </w:rPr>
          <w:tab/>
        </w:r>
        <w:r w:rsidR="00623E14" w:rsidRPr="00800D1B">
          <w:rPr>
            <w:lang w:val="sv-SE"/>
          </w:rPr>
          <w:fldChar w:fldCharType="begin"/>
        </w:r>
        <w:r w:rsidR="00623E14" w:rsidRPr="00800D1B">
          <w:rPr>
            <w:lang w:val="sv-SE"/>
          </w:rPr>
          <w:instrText xml:space="preserve"> PAGEREF _Toc256000246 \h </w:instrText>
        </w:r>
        <w:r w:rsidR="00623E14" w:rsidRPr="00800D1B">
          <w:rPr>
            <w:lang w:val="sv-SE"/>
          </w:rPr>
        </w:r>
        <w:r w:rsidR="00623E14" w:rsidRPr="00800D1B">
          <w:rPr>
            <w:lang w:val="sv-SE"/>
          </w:rPr>
          <w:fldChar w:fldCharType="separate"/>
        </w:r>
        <w:r w:rsidR="00623E14" w:rsidRPr="00800D1B">
          <w:rPr>
            <w:lang w:val="sv-SE"/>
          </w:rPr>
          <w:t>23</w:t>
        </w:r>
        <w:r w:rsidR="00623E14" w:rsidRPr="00800D1B">
          <w:rPr>
            <w:lang w:val="sv-SE"/>
          </w:rPr>
          <w:fldChar w:fldCharType="end"/>
        </w:r>
      </w:hyperlink>
    </w:p>
    <w:p w14:paraId="2D0653F9" w14:textId="77777777" w:rsidR="003422DB" w:rsidRPr="00800D1B" w:rsidRDefault="00000000" w:rsidP="004F0B72">
      <w:pPr>
        <w:pStyle w:val="Innehll4"/>
        <w:rPr>
          <w:rFonts w:ascii="Calibri" w:hAnsi="Calibri"/>
          <w:sz w:val="22"/>
          <w:lang w:val="sv-SE"/>
        </w:rPr>
      </w:pPr>
      <w:hyperlink w:anchor="_Toc256000247" w:history="1">
        <w:r w:rsidR="00A77B3E" w:rsidRPr="00800D1B">
          <w:rPr>
            <w:rStyle w:val="Hyperlnk"/>
            <w:lang w:val="sv-SE"/>
          </w:rPr>
          <w:t>2.1.1.1.1. Interventioner inom ramen för fonderna</w:t>
        </w:r>
        <w:r w:rsidR="00623E14" w:rsidRPr="00800D1B">
          <w:rPr>
            <w:lang w:val="sv-SE"/>
          </w:rPr>
          <w:tab/>
        </w:r>
        <w:r w:rsidR="00623E14" w:rsidRPr="00800D1B">
          <w:rPr>
            <w:lang w:val="sv-SE"/>
          </w:rPr>
          <w:fldChar w:fldCharType="begin"/>
        </w:r>
        <w:r w:rsidR="00623E14" w:rsidRPr="00800D1B">
          <w:rPr>
            <w:lang w:val="sv-SE"/>
          </w:rPr>
          <w:instrText xml:space="preserve"> PAGEREF _Toc256000247 \h </w:instrText>
        </w:r>
        <w:r w:rsidR="00623E14" w:rsidRPr="00800D1B">
          <w:rPr>
            <w:lang w:val="sv-SE"/>
          </w:rPr>
        </w:r>
        <w:r w:rsidR="00623E14" w:rsidRPr="00800D1B">
          <w:rPr>
            <w:lang w:val="sv-SE"/>
          </w:rPr>
          <w:fldChar w:fldCharType="separate"/>
        </w:r>
        <w:r w:rsidR="00623E14" w:rsidRPr="00800D1B">
          <w:rPr>
            <w:lang w:val="sv-SE"/>
          </w:rPr>
          <w:t>23</w:t>
        </w:r>
        <w:r w:rsidR="00623E14" w:rsidRPr="00800D1B">
          <w:rPr>
            <w:lang w:val="sv-SE"/>
          </w:rPr>
          <w:fldChar w:fldCharType="end"/>
        </w:r>
      </w:hyperlink>
    </w:p>
    <w:p w14:paraId="2D0653FA" w14:textId="77777777" w:rsidR="003422DB" w:rsidRPr="00800D1B" w:rsidRDefault="00000000">
      <w:pPr>
        <w:pStyle w:val="Innehll5"/>
        <w:tabs>
          <w:tab w:val="right" w:leader="dot" w:pos="10240"/>
        </w:tabs>
        <w:rPr>
          <w:rFonts w:ascii="Calibri" w:hAnsi="Calibri"/>
          <w:sz w:val="22"/>
          <w:lang w:val="sv-SE"/>
        </w:rPr>
      </w:pPr>
      <w:hyperlink w:anchor="_Toc256000248" w:history="1">
        <w:r w:rsidR="00A77B3E" w:rsidRPr="00800D1B">
          <w:rPr>
            <w:rStyle w:val="Hyperlnk"/>
            <w:lang w:val="sv-SE"/>
          </w:rPr>
          <w:t>Relaterade typer av åtgärder – artikel 22.3 d i i förordningen om gemensamma bestämmelser och artikel 6 i ESF+-förordningen</w:t>
        </w:r>
        <w:r w:rsidR="00623E14" w:rsidRPr="00800D1B">
          <w:rPr>
            <w:lang w:val="sv-SE"/>
          </w:rPr>
          <w:tab/>
        </w:r>
        <w:r w:rsidR="00623E14" w:rsidRPr="00800D1B">
          <w:rPr>
            <w:lang w:val="sv-SE"/>
          </w:rPr>
          <w:fldChar w:fldCharType="begin"/>
        </w:r>
        <w:r w:rsidR="00623E14" w:rsidRPr="00800D1B">
          <w:rPr>
            <w:lang w:val="sv-SE"/>
          </w:rPr>
          <w:instrText xml:space="preserve"> PAGEREF _Toc256000248 \h </w:instrText>
        </w:r>
        <w:r w:rsidR="00623E14" w:rsidRPr="00800D1B">
          <w:rPr>
            <w:lang w:val="sv-SE"/>
          </w:rPr>
        </w:r>
        <w:r w:rsidR="00623E14" w:rsidRPr="00800D1B">
          <w:rPr>
            <w:lang w:val="sv-SE"/>
          </w:rPr>
          <w:fldChar w:fldCharType="separate"/>
        </w:r>
        <w:r w:rsidR="00623E14" w:rsidRPr="00800D1B">
          <w:rPr>
            <w:lang w:val="sv-SE"/>
          </w:rPr>
          <w:t>23</w:t>
        </w:r>
        <w:r w:rsidR="00623E14" w:rsidRPr="00800D1B">
          <w:rPr>
            <w:lang w:val="sv-SE"/>
          </w:rPr>
          <w:fldChar w:fldCharType="end"/>
        </w:r>
      </w:hyperlink>
    </w:p>
    <w:p w14:paraId="2D0653FB" w14:textId="77777777" w:rsidR="003422DB" w:rsidRPr="00800D1B" w:rsidRDefault="00000000">
      <w:pPr>
        <w:pStyle w:val="Innehll5"/>
        <w:tabs>
          <w:tab w:val="right" w:leader="dot" w:pos="10240"/>
        </w:tabs>
        <w:rPr>
          <w:rFonts w:ascii="Calibri" w:hAnsi="Calibri"/>
          <w:sz w:val="22"/>
          <w:lang w:val="sv-SE"/>
        </w:rPr>
      </w:pPr>
      <w:hyperlink w:anchor="_Toc256000249" w:history="1">
        <w:r w:rsidR="00A77B3E" w:rsidRPr="00800D1B">
          <w:rPr>
            <w:rStyle w:val="Hyperlnk"/>
            <w:lang w:val="sv-SE"/>
          </w:rPr>
          <w:t>Huvudsakliga målgrupper – artikel 22.3 d iii i förordningen om gemensamma bestämmelser</w:t>
        </w:r>
        <w:r w:rsidR="00623E14" w:rsidRPr="00800D1B">
          <w:rPr>
            <w:lang w:val="sv-SE"/>
          </w:rPr>
          <w:tab/>
        </w:r>
        <w:r w:rsidR="00623E14" w:rsidRPr="00800D1B">
          <w:rPr>
            <w:lang w:val="sv-SE"/>
          </w:rPr>
          <w:fldChar w:fldCharType="begin"/>
        </w:r>
        <w:r w:rsidR="00623E14" w:rsidRPr="00800D1B">
          <w:rPr>
            <w:lang w:val="sv-SE"/>
          </w:rPr>
          <w:instrText xml:space="preserve"> PAGEREF _Toc256000249 \h </w:instrText>
        </w:r>
        <w:r w:rsidR="00623E14" w:rsidRPr="00800D1B">
          <w:rPr>
            <w:lang w:val="sv-SE"/>
          </w:rPr>
        </w:r>
        <w:r w:rsidR="00623E14" w:rsidRPr="00800D1B">
          <w:rPr>
            <w:lang w:val="sv-SE"/>
          </w:rPr>
          <w:fldChar w:fldCharType="separate"/>
        </w:r>
        <w:r w:rsidR="00623E14" w:rsidRPr="00800D1B">
          <w:rPr>
            <w:lang w:val="sv-SE"/>
          </w:rPr>
          <w:t>25</w:t>
        </w:r>
        <w:r w:rsidR="00623E14" w:rsidRPr="00800D1B">
          <w:rPr>
            <w:lang w:val="sv-SE"/>
          </w:rPr>
          <w:fldChar w:fldCharType="end"/>
        </w:r>
      </w:hyperlink>
    </w:p>
    <w:p w14:paraId="2D0653FC" w14:textId="77777777" w:rsidR="003422DB" w:rsidRPr="00800D1B" w:rsidRDefault="00000000">
      <w:pPr>
        <w:pStyle w:val="Innehll5"/>
        <w:tabs>
          <w:tab w:val="right" w:leader="dot" w:pos="10240"/>
        </w:tabs>
        <w:rPr>
          <w:rFonts w:ascii="Calibri" w:hAnsi="Calibri"/>
          <w:sz w:val="22"/>
          <w:lang w:val="sv-SE"/>
        </w:rPr>
      </w:pPr>
      <w:hyperlink w:anchor="_Toc256000250" w:history="1">
        <w:r w:rsidR="00A77B3E" w:rsidRPr="00800D1B">
          <w:rPr>
            <w:rStyle w:val="Hyperlnk"/>
            <w:lang w:val="sv-SE"/>
          </w:rPr>
          <w:t>Åtgärder för säkerställande av jämställdhet, inkludering och icke-diskriminering – artikel 22.3 d iv i förordningen om gemensamma bestämmelser och artikel 6 i ESF+-förordningen</w:t>
        </w:r>
        <w:r w:rsidR="00623E14" w:rsidRPr="00800D1B">
          <w:rPr>
            <w:lang w:val="sv-SE"/>
          </w:rPr>
          <w:tab/>
        </w:r>
        <w:r w:rsidR="00623E14" w:rsidRPr="00800D1B">
          <w:rPr>
            <w:lang w:val="sv-SE"/>
          </w:rPr>
          <w:fldChar w:fldCharType="begin"/>
        </w:r>
        <w:r w:rsidR="00623E14" w:rsidRPr="00800D1B">
          <w:rPr>
            <w:lang w:val="sv-SE"/>
          </w:rPr>
          <w:instrText xml:space="preserve"> PAGEREF _Toc256000250 \h </w:instrText>
        </w:r>
        <w:r w:rsidR="00623E14" w:rsidRPr="00800D1B">
          <w:rPr>
            <w:lang w:val="sv-SE"/>
          </w:rPr>
        </w:r>
        <w:r w:rsidR="00623E14" w:rsidRPr="00800D1B">
          <w:rPr>
            <w:lang w:val="sv-SE"/>
          </w:rPr>
          <w:fldChar w:fldCharType="separate"/>
        </w:r>
        <w:r w:rsidR="00623E14" w:rsidRPr="00800D1B">
          <w:rPr>
            <w:lang w:val="sv-SE"/>
          </w:rPr>
          <w:t>25</w:t>
        </w:r>
        <w:r w:rsidR="00623E14" w:rsidRPr="00800D1B">
          <w:rPr>
            <w:lang w:val="sv-SE"/>
          </w:rPr>
          <w:fldChar w:fldCharType="end"/>
        </w:r>
      </w:hyperlink>
    </w:p>
    <w:p w14:paraId="2D0653FD" w14:textId="77777777" w:rsidR="003422DB" w:rsidRPr="00800D1B" w:rsidRDefault="00000000">
      <w:pPr>
        <w:pStyle w:val="Innehll5"/>
        <w:tabs>
          <w:tab w:val="right" w:leader="dot" w:pos="10240"/>
        </w:tabs>
        <w:rPr>
          <w:rFonts w:ascii="Calibri" w:hAnsi="Calibri"/>
          <w:sz w:val="22"/>
          <w:lang w:val="sv-SE"/>
        </w:rPr>
      </w:pPr>
      <w:hyperlink w:anchor="_Toc256000251" w:history="1">
        <w:r w:rsidR="00A77B3E" w:rsidRPr="00800D1B">
          <w:rPr>
            <w:rStyle w:val="Hyperlnk"/>
            <w:lang w:val="sv-SE"/>
          </w:rPr>
          <w:t>Angivande av de specifika målterritorierna, inbegripet planerad användning av territoriella verktyg – artikel 22.3 d v i förordningen om gemensamma bestämmelser</w:t>
        </w:r>
        <w:r w:rsidR="00623E14" w:rsidRPr="00800D1B">
          <w:rPr>
            <w:lang w:val="sv-SE"/>
          </w:rPr>
          <w:tab/>
        </w:r>
        <w:r w:rsidR="00623E14" w:rsidRPr="00800D1B">
          <w:rPr>
            <w:lang w:val="sv-SE"/>
          </w:rPr>
          <w:fldChar w:fldCharType="begin"/>
        </w:r>
        <w:r w:rsidR="00623E14" w:rsidRPr="00800D1B">
          <w:rPr>
            <w:lang w:val="sv-SE"/>
          </w:rPr>
          <w:instrText xml:space="preserve"> PAGEREF _Toc256000251 \h </w:instrText>
        </w:r>
        <w:r w:rsidR="00623E14" w:rsidRPr="00800D1B">
          <w:rPr>
            <w:lang w:val="sv-SE"/>
          </w:rPr>
        </w:r>
        <w:r w:rsidR="00623E14" w:rsidRPr="00800D1B">
          <w:rPr>
            <w:lang w:val="sv-SE"/>
          </w:rPr>
          <w:fldChar w:fldCharType="separate"/>
        </w:r>
        <w:r w:rsidR="00623E14" w:rsidRPr="00800D1B">
          <w:rPr>
            <w:lang w:val="sv-SE"/>
          </w:rPr>
          <w:t>26</w:t>
        </w:r>
        <w:r w:rsidR="00623E14" w:rsidRPr="00800D1B">
          <w:rPr>
            <w:lang w:val="sv-SE"/>
          </w:rPr>
          <w:fldChar w:fldCharType="end"/>
        </w:r>
      </w:hyperlink>
    </w:p>
    <w:p w14:paraId="2D0653FE" w14:textId="77777777" w:rsidR="003422DB" w:rsidRPr="00800D1B" w:rsidRDefault="00000000">
      <w:pPr>
        <w:pStyle w:val="Innehll5"/>
        <w:tabs>
          <w:tab w:val="right" w:leader="dot" w:pos="10240"/>
        </w:tabs>
        <w:rPr>
          <w:rFonts w:ascii="Calibri" w:hAnsi="Calibri"/>
          <w:sz w:val="22"/>
          <w:lang w:val="sv-SE"/>
        </w:rPr>
      </w:pPr>
      <w:hyperlink w:anchor="_Toc256000252" w:history="1">
        <w:r w:rsidR="00A77B3E" w:rsidRPr="00800D1B">
          <w:rPr>
            <w:rStyle w:val="Hyperlnk"/>
            <w:lang w:val="sv-SE"/>
          </w:rPr>
          <w:t>Interregionala, gränsregionala och transnationella åtgärder – artikel 22.3 d vi i förordningen om gemensamma bestämmelser</w:t>
        </w:r>
        <w:r w:rsidR="00623E14" w:rsidRPr="00800D1B">
          <w:rPr>
            <w:lang w:val="sv-SE"/>
          </w:rPr>
          <w:tab/>
        </w:r>
        <w:r w:rsidR="00623E14" w:rsidRPr="00800D1B">
          <w:rPr>
            <w:lang w:val="sv-SE"/>
          </w:rPr>
          <w:fldChar w:fldCharType="begin"/>
        </w:r>
        <w:r w:rsidR="00623E14" w:rsidRPr="00800D1B">
          <w:rPr>
            <w:lang w:val="sv-SE"/>
          </w:rPr>
          <w:instrText xml:space="preserve"> PAGEREF _Toc256000252 \h </w:instrText>
        </w:r>
        <w:r w:rsidR="00623E14" w:rsidRPr="00800D1B">
          <w:rPr>
            <w:lang w:val="sv-SE"/>
          </w:rPr>
        </w:r>
        <w:r w:rsidR="00623E14" w:rsidRPr="00800D1B">
          <w:rPr>
            <w:lang w:val="sv-SE"/>
          </w:rPr>
          <w:fldChar w:fldCharType="separate"/>
        </w:r>
        <w:r w:rsidR="00623E14" w:rsidRPr="00800D1B">
          <w:rPr>
            <w:lang w:val="sv-SE"/>
          </w:rPr>
          <w:t>26</w:t>
        </w:r>
        <w:r w:rsidR="00623E14" w:rsidRPr="00800D1B">
          <w:rPr>
            <w:lang w:val="sv-SE"/>
          </w:rPr>
          <w:fldChar w:fldCharType="end"/>
        </w:r>
      </w:hyperlink>
    </w:p>
    <w:p w14:paraId="2D0653FF" w14:textId="77777777" w:rsidR="003422DB" w:rsidRPr="00800D1B" w:rsidRDefault="00000000">
      <w:pPr>
        <w:pStyle w:val="Innehll5"/>
        <w:tabs>
          <w:tab w:val="right" w:leader="dot" w:pos="10240"/>
        </w:tabs>
        <w:rPr>
          <w:rFonts w:ascii="Calibri" w:hAnsi="Calibri"/>
          <w:sz w:val="22"/>
          <w:lang w:val="sv-SE"/>
        </w:rPr>
      </w:pPr>
      <w:hyperlink w:anchor="_Toc256000253" w:history="1">
        <w:r w:rsidR="00A77B3E" w:rsidRPr="00800D1B">
          <w:rPr>
            <w:rStyle w:val="Hyperlnk"/>
            <w:lang w:val="sv-SE"/>
          </w:rPr>
          <w:t>Planerad användning av finansieringsinstrument – artikel 22.3 d vii i förordningen om gemensamma bestämmelser</w:t>
        </w:r>
        <w:r w:rsidR="00623E14" w:rsidRPr="00800D1B">
          <w:rPr>
            <w:lang w:val="sv-SE"/>
          </w:rPr>
          <w:tab/>
        </w:r>
        <w:r w:rsidR="00623E14" w:rsidRPr="00800D1B">
          <w:rPr>
            <w:lang w:val="sv-SE"/>
          </w:rPr>
          <w:fldChar w:fldCharType="begin"/>
        </w:r>
        <w:r w:rsidR="00623E14" w:rsidRPr="00800D1B">
          <w:rPr>
            <w:lang w:val="sv-SE"/>
          </w:rPr>
          <w:instrText xml:space="preserve"> PAGEREF _Toc256000253 \h </w:instrText>
        </w:r>
        <w:r w:rsidR="00623E14" w:rsidRPr="00800D1B">
          <w:rPr>
            <w:lang w:val="sv-SE"/>
          </w:rPr>
        </w:r>
        <w:r w:rsidR="00623E14" w:rsidRPr="00800D1B">
          <w:rPr>
            <w:lang w:val="sv-SE"/>
          </w:rPr>
          <w:fldChar w:fldCharType="separate"/>
        </w:r>
        <w:r w:rsidR="00623E14" w:rsidRPr="00800D1B">
          <w:rPr>
            <w:lang w:val="sv-SE"/>
          </w:rPr>
          <w:t>26</w:t>
        </w:r>
        <w:r w:rsidR="00623E14" w:rsidRPr="00800D1B">
          <w:rPr>
            <w:lang w:val="sv-SE"/>
          </w:rPr>
          <w:fldChar w:fldCharType="end"/>
        </w:r>
      </w:hyperlink>
    </w:p>
    <w:p w14:paraId="2D065400" w14:textId="77777777" w:rsidR="003422DB" w:rsidRPr="00800D1B" w:rsidRDefault="00000000" w:rsidP="004F0B72">
      <w:pPr>
        <w:pStyle w:val="Innehll4"/>
        <w:rPr>
          <w:rFonts w:ascii="Calibri" w:hAnsi="Calibri"/>
          <w:sz w:val="22"/>
          <w:lang w:val="sv-SE"/>
        </w:rPr>
      </w:pPr>
      <w:hyperlink w:anchor="_Toc256000254" w:history="1">
        <w:r w:rsidR="00A77B3E" w:rsidRPr="00800D1B">
          <w:rPr>
            <w:rStyle w:val="Hyperlnk"/>
            <w:lang w:val="sv-SE"/>
          </w:rPr>
          <w:t>2.1.1.1.2. Indikatorer</w:t>
        </w:r>
        <w:r w:rsidR="00623E14" w:rsidRPr="00800D1B">
          <w:rPr>
            <w:lang w:val="sv-SE"/>
          </w:rPr>
          <w:tab/>
        </w:r>
        <w:r w:rsidR="00623E14" w:rsidRPr="00800D1B">
          <w:rPr>
            <w:lang w:val="sv-SE"/>
          </w:rPr>
          <w:fldChar w:fldCharType="begin"/>
        </w:r>
        <w:r w:rsidR="00623E14" w:rsidRPr="00800D1B">
          <w:rPr>
            <w:lang w:val="sv-SE"/>
          </w:rPr>
          <w:instrText xml:space="preserve"> PAGEREF _Toc256000254 \h </w:instrText>
        </w:r>
        <w:r w:rsidR="00623E14" w:rsidRPr="00800D1B">
          <w:rPr>
            <w:lang w:val="sv-SE"/>
          </w:rPr>
        </w:r>
        <w:r w:rsidR="00623E14" w:rsidRPr="00800D1B">
          <w:rPr>
            <w:lang w:val="sv-SE"/>
          </w:rPr>
          <w:fldChar w:fldCharType="separate"/>
        </w:r>
        <w:r w:rsidR="00623E14" w:rsidRPr="00800D1B">
          <w:rPr>
            <w:lang w:val="sv-SE"/>
          </w:rPr>
          <w:t>27</w:t>
        </w:r>
        <w:r w:rsidR="00623E14" w:rsidRPr="00800D1B">
          <w:rPr>
            <w:lang w:val="sv-SE"/>
          </w:rPr>
          <w:fldChar w:fldCharType="end"/>
        </w:r>
      </w:hyperlink>
    </w:p>
    <w:p w14:paraId="2D065401" w14:textId="77777777" w:rsidR="003422DB" w:rsidRPr="00800D1B" w:rsidRDefault="00000000">
      <w:pPr>
        <w:pStyle w:val="Innehll5"/>
        <w:tabs>
          <w:tab w:val="right" w:leader="dot" w:pos="10240"/>
        </w:tabs>
        <w:rPr>
          <w:rFonts w:ascii="Calibri" w:hAnsi="Calibri"/>
          <w:sz w:val="22"/>
          <w:lang w:val="sv-SE"/>
        </w:rPr>
      </w:pPr>
      <w:hyperlink w:anchor="_Toc256000255" w:history="1">
        <w:r w:rsidR="00A77B3E" w:rsidRPr="00800D1B">
          <w:rPr>
            <w:rStyle w:val="Hyperlnk"/>
            <w:lang w:val="sv-SE"/>
          </w:rPr>
          <w:t>Tabell 2: Utfallsindikatorer</w:t>
        </w:r>
        <w:r w:rsidR="00623E14" w:rsidRPr="00800D1B">
          <w:rPr>
            <w:lang w:val="sv-SE"/>
          </w:rPr>
          <w:tab/>
        </w:r>
        <w:r w:rsidR="00623E14" w:rsidRPr="00800D1B">
          <w:rPr>
            <w:lang w:val="sv-SE"/>
          </w:rPr>
          <w:fldChar w:fldCharType="begin"/>
        </w:r>
        <w:r w:rsidR="00623E14" w:rsidRPr="00800D1B">
          <w:rPr>
            <w:lang w:val="sv-SE"/>
          </w:rPr>
          <w:instrText xml:space="preserve"> PAGEREF _Toc256000255 \h </w:instrText>
        </w:r>
        <w:r w:rsidR="00623E14" w:rsidRPr="00800D1B">
          <w:rPr>
            <w:lang w:val="sv-SE"/>
          </w:rPr>
        </w:r>
        <w:r w:rsidR="00623E14" w:rsidRPr="00800D1B">
          <w:rPr>
            <w:lang w:val="sv-SE"/>
          </w:rPr>
          <w:fldChar w:fldCharType="separate"/>
        </w:r>
        <w:r w:rsidR="00623E14" w:rsidRPr="00800D1B">
          <w:rPr>
            <w:lang w:val="sv-SE"/>
          </w:rPr>
          <w:t>27</w:t>
        </w:r>
        <w:r w:rsidR="00623E14" w:rsidRPr="00800D1B">
          <w:rPr>
            <w:lang w:val="sv-SE"/>
          </w:rPr>
          <w:fldChar w:fldCharType="end"/>
        </w:r>
      </w:hyperlink>
    </w:p>
    <w:p w14:paraId="2D065402" w14:textId="77777777" w:rsidR="003422DB" w:rsidRPr="00800D1B" w:rsidRDefault="00000000">
      <w:pPr>
        <w:pStyle w:val="Innehll5"/>
        <w:tabs>
          <w:tab w:val="right" w:leader="dot" w:pos="10240"/>
        </w:tabs>
        <w:rPr>
          <w:rFonts w:ascii="Calibri" w:hAnsi="Calibri"/>
          <w:sz w:val="22"/>
          <w:lang w:val="sv-SE"/>
        </w:rPr>
      </w:pPr>
      <w:hyperlink w:anchor="_Toc256000256" w:history="1">
        <w:r w:rsidR="00A77B3E" w:rsidRPr="00800D1B">
          <w:rPr>
            <w:rStyle w:val="Hyperlnk"/>
            <w:lang w:val="sv-SE"/>
          </w:rPr>
          <w:t>Tabell 3: Resultatindikatorer</w:t>
        </w:r>
        <w:r w:rsidR="00623E14" w:rsidRPr="00800D1B">
          <w:rPr>
            <w:lang w:val="sv-SE"/>
          </w:rPr>
          <w:tab/>
        </w:r>
        <w:r w:rsidR="00623E14" w:rsidRPr="00800D1B">
          <w:rPr>
            <w:lang w:val="sv-SE"/>
          </w:rPr>
          <w:fldChar w:fldCharType="begin"/>
        </w:r>
        <w:r w:rsidR="00623E14" w:rsidRPr="00800D1B">
          <w:rPr>
            <w:lang w:val="sv-SE"/>
          </w:rPr>
          <w:instrText xml:space="preserve"> PAGEREF _Toc256000256 \h </w:instrText>
        </w:r>
        <w:r w:rsidR="00623E14" w:rsidRPr="00800D1B">
          <w:rPr>
            <w:lang w:val="sv-SE"/>
          </w:rPr>
        </w:r>
        <w:r w:rsidR="00623E14" w:rsidRPr="00800D1B">
          <w:rPr>
            <w:lang w:val="sv-SE"/>
          </w:rPr>
          <w:fldChar w:fldCharType="separate"/>
        </w:r>
        <w:r w:rsidR="00623E14" w:rsidRPr="00800D1B">
          <w:rPr>
            <w:lang w:val="sv-SE"/>
          </w:rPr>
          <w:t>28</w:t>
        </w:r>
        <w:r w:rsidR="00623E14" w:rsidRPr="00800D1B">
          <w:rPr>
            <w:lang w:val="sv-SE"/>
          </w:rPr>
          <w:fldChar w:fldCharType="end"/>
        </w:r>
      </w:hyperlink>
    </w:p>
    <w:p w14:paraId="2D065403" w14:textId="77777777" w:rsidR="003422DB" w:rsidRPr="00800D1B" w:rsidRDefault="00000000" w:rsidP="004F0B72">
      <w:pPr>
        <w:pStyle w:val="Innehll4"/>
        <w:rPr>
          <w:rFonts w:ascii="Calibri" w:hAnsi="Calibri"/>
          <w:sz w:val="22"/>
          <w:lang w:val="sv-SE"/>
        </w:rPr>
      </w:pPr>
      <w:hyperlink w:anchor="_Toc256000257" w:history="1">
        <w:r w:rsidR="00A77B3E" w:rsidRPr="00800D1B">
          <w:rPr>
            <w:rStyle w:val="Hyperlnk"/>
            <w:lang w:val="sv-SE"/>
          </w:rPr>
          <w:t>2.1.1.1.3. Preliminär fördelning av anslagna (EU-)medel efter interventionstyp</w:t>
        </w:r>
        <w:r w:rsidR="00623E14" w:rsidRPr="00800D1B">
          <w:rPr>
            <w:lang w:val="sv-SE"/>
          </w:rPr>
          <w:tab/>
        </w:r>
        <w:r w:rsidR="00623E14" w:rsidRPr="00800D1B">
          <w:rPr>
            <w:lang w:val="sv-SE"/>
          </w:rPr>
          <w:fldChar w:fldCharType="begin"/>
        </w:r>
        <w:r w:rsidR="00623E14" w:rsidRPr="00800D1B">
          <w:rPr>
            <w:lang w:val="sv-SE"/>
          </w:rPr>
          <w:instrText xml:space="preserve"> PAGEREF _Toc256000257 \h </w:instrText>
        </w:r>
        <w:r w:rsidR="00623E14" w:rsidRPr="00800D1B">
          <w:rPr>
            <w:lang w:val="sv-SE"/>
          </w:rPr>
        </w:r>
        <w:r w:rsidR="00623E14" w:rsidRPr="00800D1B">
          <w:rPr>
            <w:lang w:val="sv-SE"/>
          </w:rPr>
          <w:fldChar w:fldCharType="separate"/>
        </w:r>
        <w:r w:rsidR="00623E14" w:rsidRPr="00800D1B">
          <w:rPr>
            <w:lang w:val="sv-SE"/>
          </w:rPr>
          <w:t>29</w:t>
        </w:r>
        <w:r w:rsidR="00623E14" w:rsidRPr="00800D1B">
          <w:rPr>
            <w:lang w:val="sv-SE"/>
          </w:rPr>
          <w:fldChar w:fldCharType="end"/>
        </w:r>
      </w:hyperlink>
    </w:p>
    <w:p w14:paraId="2D065404" w14:textId="77777777" w:rsidR="003422DB" w:rsidRPr="00800D1B" w:rsidRDefault="00000000">
      <w:pPr>
        <w:pStyle w:val="Innehll5"/>
        <w:tabs>
          <w:tab w:val="right" w:leader="dot" w:pos="10240"/>
        </w:tabs>
        <w:rPr>
          <w:rFonts w:ascii="Calibri" w:hAnsi="Calibri"/>
          <w:sz w:val="22"/>
          <w:lang w:val="sv-SE"/>
        </w:rPr>
      </w:pPr>
      <w:hyperlink w:anchor="_Toc256000258" w:history="1">
        <w:r w:rsidR="00A77B3E" w:rsidRPr="00800D1B">
          <w:rPr>
            <w:rStyle w:val="Hyperlnk"/>
            <w:lang w:val="sv-SE"/>
          </w:rPr>
          <w:t>Tabell 4: Dimension 1 – interventionsområde</w:t>
        </w:r>
        <w:r w:rsidR="00623E14" w:rsidRPr="00800D1B">
          <w:rPr>
            <w:lang w:val="sv-SE"/>
          </w:rPr>
          <w:tab/>
        </w:r>
        <w:r w:rsidR="00623E14" w:rsidRPr="00800D1B">
          <w:rPr>
            <w:lang w:val="sv-SE"/>
          </w:rPr>
          <w:fldChar w:fldCharType="begin"/>
        </w:r>
        <w:r w:rsidR="00623E14" w:rsidRPr="00800D1B">
          <w:rPr>
            <w:lang w:val="sv-SE"/>
          </w:rPr>
          <w:instrText xml:space="preserve"> PAGEREF _Toc256000258 \h </w:instrText>
        </w:r>
        <w:r w:rsidR="00623E14" w:rsidRPr="00800D1B">
          <w:rPr>
            <w:lang w:val="sv-SE"/>
          </w:rPr>
        </w:r>
        <w:r w:rsidR="00623E14" w:rsidRPr="00800D1B">
          <w:rPr>
            <w:lang w:val="sv-SE"/>
          </w:rPr>
          <w:fldChar w:fldCharType="separate"/>
        </w:r>
        <w:r w:rsidR="00623E14" w:rsidRPr="00800D1B">
          <w:rPr>
            <w:lang w:val="sv-SE"/>
          </w:rPr>
          <w:t>29</w:t>
        </w:r>
        <w:r w:rsidR="00623E14" w:rsidRPr="00800D1B">
          <w:rPr>
            <w:lang w:val="sv-SE"/>
          </w:rPr>
          <w:fldChar w:fldCharType="end"/>
        </w:r>
      </w:hyperlink>
    </w:p>
    <w:p w14:paraId="2D065405" w14:textId="77777777" w:rsidR="003422DB" w:rsidRPr="00800D1B" w:rsidRDefault="00000000">
      <w:pPr>
        <w:pStyle w:val="Innehll5"/>
        <w:tabs>
          <w:tab w:val="right" w:leader="dot" w:pos="10240"/>
        </w:tabs>
        <w:rPr>
          <w:rFonts w:ascii="Calibri" w:hAnsi="Calibri"/>
          <w:sz w:val="22"/>
          <w:lang w:val="sv-SE"/>
        </w:rPr>
      </w:pPr>
      <w:hyperlink w:anchor="_Toc256000259" w:history="1">
        <w:r w:rsidR="00A77B3E" w:rsidRPr="00800D1B">
          <w:rPr>
            <w:rStyle w:val="Hyperlnk"/>
            <w:lang w:val="sv-SE"/>
          </w:rPr>
          <w:t>Tabell 5: Dimension 2 – finansieringsform</w:t>
        </w:r>
        <w:r w:rsidR="00623E14" w:rsidRPr="00800D1B">
          <w:rPr>
            <w:lang w:val="sv-SE"/>
          </w:rPr>
          <w:tab/>
        </w:r>
        <w:r w:rsidR="00623E14" w:rsidRPr="00800D1B">
          <w:rPr>
            <w:lang w:val="sv-SE"/>
          </w:rPr>
          <w:fldChar w:fldCharType="begin"/>
        </w:r>
        <w:r w:rsidR="00623E14" w:rsidRPr="00800D1B">
          <w:rPr>
            <w:lang w:val="sv-SE"/>
          </w:rPr>
          <w:instrText xml:space="preserve"> PAGEREF _Toc256000259 \h </w:instrText>
        </w:r>
        <w:r w:rsidR="00623E14" w:rsidRPr="00800D1B">
          <w:rPr>
            <w:lang w:val="sv-SE"/>
          </w:rPr>
        </w:r>
        <w:r w:rsidR="00623E14" w:rsidRPr="00800D1B">
          <w:rPr>
            <w:lang w:val="sv-SE"/>
          </w:rPr>
          <w:fldChar w:fldCharType="separate"/>
        </w:r>
        <w:r w:rsidR="00623E14" w:rsidRPr="00800D1B">
          <w:rPr>
            <w:lang w:val="sv-SE"/>
          </w:rPr>
          <w:t>30</w:t>
        </w:r>
        <w:r w:rsidR="00623E14" w:rsidRPr="00800D1B">
          <w:rPr>
            <w:lang w:val="sv-SE"/>
          </w:rPr>
          <w:fldChar w:fldCharType="end"/>
        </w:r>
      </w:hyperlink>
    </w:p>
    <w:p w14:paraId="2D065406" w14:textId="77777777" w:rsidR="003422DB" w:rsidRPr="00800D1B" w:rsidRDefault="00000000">
      <w:pPr>
        <w:pStyle w:val="Innehll5"/>
        <w:tabs>
          <w:tab w:val="right" w:leader="dot" w:pos="10240"/>
        </w:tabs>
        <w:rPr>
          <w:rFonts w:ascii="Calibri" w:hAnsi="Calibri"/>
          <w:sz w:val="22"/>
          <w:lang w:val="sv-SE"/>
        </w:rPr>
      </w:pPr>
      <w:hyperlink w:anchor="_Toc256000260" w:history="1">
        <w:r w:rsidR="00A77B3E" w:rsidRPr="00800D1B">
          <w:rPr>
            <w:rStyle w:val="Hyperlnk"/>
            <w:lang w:val="sv-SE"/>
          </w:rPr>
          <w:t>Tabell 6: Dimension 3 – territoriell genomförandemetod och territoriellt fokus</w:t>
        </w:r>
        <w:r w:rsidR="00623E14" w:rsidRPr="00800D1B">
          <w:rPr>
            <w:lang w:val="sv-SE"/>
          </w:rPr>
          <w:tab/>
        </w:r>
        <w:r w:rsidR="00623E14" w:rsidRPr="00800D1B">
          <w:rPr>
            <w:lang w:val="sv-SE"/>
          </w:rPr>
          <w:fldChar w:fldCharType="begin"/>
        </w:r>
        <w:r w:rsidR="00623E14" w:rsidRPr="00800D1B">
          <w:rPr>
            <w:lang w:val="sv-SE"/>
          </w:rPr>
          <w:instrText xml:space="preserve"> PAGEREF _Toc256000260 \h </w:instrText>
        </w:r>
        <w:r w:rsidR="00623E14" w:rsidRPr="00800D1B">
          <w:rPr>
            <w:lang w:val="sv-SE"/>
          </w:rPr>
        </w:r>
        <w:r w:rsidR="00623E14" w:rsidRPr="00800D1B">
          <w:rPr>
            <w:lang w:val="sv-SE"/>
          </w:rPr>
          <w:fldChar w:fldCharType="separate"/>
        </w:r>
        <w:r w:rsidR="00623E14" w:rsidRPr="00800D1B">
          <w:rPr>
            <w:lang w:val="sv-SE"/>
          </w:rPr>
          <w:t>30</w:t>
        </w:r>
        <w:r w:rsidR="00623E14" w:rsidRPr="00800D1B">
          <w:rPr>
            <w:lang w:val="sv-SE"/>
          </w:rPr>
          <w:fldChar w:fldCharType="end"/>
        </w:r>
      </w:hyperlink>
    </w:p>
    <w:p w14:paraId="2D065407" w14:textId="77777777" w:rsidR="003422DB" w:rsidRPr="00800D1B" w:rsidRDefault="00000000">
      <w:pPr>
        <w:pStyle w:val="Innehll5"/>
        <w:tabs>
          <w:tab w:val="right" w:leader="dot" w:pos="10240"/>
        </w:tabs>
        <w:rPr>
          <w:rFonts w:ascii="Calibri" w:hAnsi="Calibri"/>
          <w:sz w:val="22"/>
          <w:lang w:val="sv-SE"/>
        </w:rPr>
      </w:pPr>
      <w:hyperlink w:anchor="_Toc256000261" w:history="1">
        <w:r w:rsidR="00A77B3E" w:rsidRPr="00800D1B">
          <w:rPr>
            <w:rStyle w:val="Hyperlnk"/>
            <w:lang w:val="sv-SE"/>
          </w:rPr>
          <w:t>Tabell 7: Dimension 6 – ESF+-sekundärteman</w:t>
        </w:r>
        <w:r w:rsidR="00623E14" w:rsidRPr="00800D1B">
          <w:rPr>
            <w:lang w:val="sv-SE"/>
          </w:rPr>
          <w:tab/>
        </w:r>
        <w:r w:rsidR="00623E14" w:rsidRPr="00800D1B">
          <w:rPr>
            <w:lang w:val="sv-SE"/>
          </w:rPr>
          <w:fldChar w:fldCharType="begin"/>
        </w:r>
        <w:r w:rsidR="00623E14" w:rsidRPr="00800D1B">
          <w:rPr>
            <w:lang w:val="sv-SE"/>
          </w:rPr>
          <w:instrText xml:space="preserve"> PAGEREF _Toc256000261 \h </w:instrText>
        </w:r>
        <w:r w:rsidR="00623E14" w:rsidRPr="00800D1B">
          <w:rPr>
            <w:lang w:val="sv-SE"/>
          </w:rPr>
        </w:r>
        <w:r w:rsidR="00623E14" w:rsidRPr="00800D1B">
          <w:rPr>
            <w:lang w:val="sv-SE"/>
          </w:rPr>
          <w:fldChar w:fldCharType="separate"/>
        </w:r>
        <w:r w:rsidR="00623E14" w:rsidRPr="00800D1B">
          <w:rPr>
            <w:lang w:val="sv-SE"/>
          </w:rPr>
          <w:t>30</w:t>
        </w:r>
        <w:r w:rsidR="00623E14" w:rsidRPr="00800D1B">
          <w:rPr>
            <w:lang w:val="sv-SE"/>
          </w:rPr>
          <w:fldChar w:fldCharType="end"/>
        </w:r>
      </w:hyperlink>
    </w:p>
    <w:p w14:paraId="2D065408" w14:textId="77777777" w:rsidR="003422DB" w:rsidRPr="00800D1B" w:rsidRDefault="00000000">
      <w:pPr>
        <w:pStyle w:val="Innehll5"/>
        <w:tabs>
          <w:tab w:val="right" w:leader="dot" w:pos="10240"/>
        </w:tabs>
        <w:rPr>
          <w:rFonts w:ascii="Calibri" w:hAnsi="Calibri"/>
          <w:sz w:val="22"/>
          <w:lang w:val="sv-SE"/>
        </w:rPr>
      </w:pPr>
      <w:hyperlink w:anchor="_Toc256000262" w:history="1">
        <w:r w:rsidR="00A77B3E" w:rsidRPr="00800D1B">
          <w:rPr>
            <w:rStyle w:val="Hyperlnk"/>
            <w:lang w:val="sv-SE"/>
          </w:rPr>
          <w:t>Tabell 8: Dimension 7 – ESF+, Eruf, Sammanhållningsfonden och FRO, jämställdhetsdimensionen</w:t>
        </w:r>
        <w:r w:rsidR="00623E14" w:rsidRPr="00800D1B">
          <w:rPr>
            <w:lang w:val="sv-SE"/>
          </w:rPr>
          <w:tab/>
        </w:r>
        <w:r w:rsidR="00623E14" w:rsidRPr="00800D1B">
          <w:rPr>
            <w:lang w:val="sv-SE"/>
          </w:rPr>
          <w:fldChar w:fldCharType="begin"/>
        </w:r>
        <w:r w:rsidR="00623E14" w:rsidRPr="00800D1B">
          <w:rPr>
            <w:lang w:val="sv-SE"/>
          </w:rPr>
          <w:instrText xml:space="preserve"> PAGEREF _Toc256000262 \h </w:instrText>
        </w:r>
        <w:r w:rsidR="00623E14" w:rsidRPr="00800D1B">
          <w:rPr>
            <w:lang w:val="sv-SE"/>
          </w:rPr>
        </w:r>
        <w:r w:rsidR="00623E14" w:rsidRPr="00800D1B">
          <w:rPr>
            <w:lang w:val="sv-SE"/>
          </w:rPr>
          <w:fldChar w:fldCharType="separate"/>
        </w:r>
        <w:r w:rsidR="00623E14" w:rsidRPr="00800D1B">
          <w:rPr>
            <w:lang w:val="sv-SE"/>
          </w:rPr>
          <w:t>30</w:t>
        </w:r>
        <w:r w:rsidR="00623E14" w:rsidRPr="00800D1B">
          <w:rPr>
            <w:lang w:val="sv-SE"/>
          </w:rPr>
          <w:fldChar w:fldCharType="end"/>
        </w:r>
      </w:hyperlink>
    </w:p>
    <w:p w14:paraId="2D065409" w14:textId="77777777" w:rsidR="003422DB" w:rsidRPr="00800D1B" w:rsidRDefault="00000000">
      <w:pPr>
        <w:pStyle w:val="Innehll3"/>
        <w:tabs>
          <w:tab w:val="right" w:leader="dot" w:pos="10240"/>
        </w:tabs>
        <w:rPr>
          <w:rFonts w:ascii="Calibri" w:hAnsi="Calibri"/>
          <w:sz w:val="22"/>
          <w:lang w:val="sv-SE"/>
        </w:rPr>
      </w:pPr>
      <w:hyperlink w:anchor="_Toc256000263" w:history="1">
        <w:r w:rsidR="00A77B3E" w:rsidRPr="00800D1B">
          <w:rPr>
            <w:rStyle w:val="Hyperlnk"/>
            <w:lang w:val="sv-SE"/>
          </w:rPr>
          <w:t>2.1.1. Prioritering: 2. Utveckla bredbandskapaciteten (Det specifika målet för digital konnektivitet i artikel 3.1 a v i förordningen om Eruf och Sammanhållningsfonden) (Det specifika målet för digital konnektivitet i artikel 3.1 a v i förordningen om Eruf och Sammanhållningsfonden)</w:t>
        </w:r>
        <w:r w:rsidR="00623E14" w:rsidRPr="00800D1B">
          <w:rPr>
            <w:lang w:val="sv-SE"/>
          </w:rPr>
          <w:tab/>
        </w:r>
        <w:r w:rsidR="00623E14" w:rsidRPr="00800D1B">
          <w:rPr>
            <w:lang w:val="sv-SE"/>
          </w:rPr>
          <w:fldChar w:fldCharType="begin"/>
        </w:r>
        <w:r w:rsidR="00623E14" w:rsidRPr="00800D1B">
          <w:rPr>
            <w:lang w:val="sv-SE"/>
          </w:rPr>
          <w:instrText xml:space="preserve"> PAGEREF _Toc256000263 \h </w:instrText>
        </w:r>
        <w:r w:rsidR="00623E14" w:rsidRPr="00800D1B">
          <w:rPr>
            <w:lang w:val="sv-SE"/>
          </w:rPr>
        </w:r>
        <w:r w:rsidR="00623E14" w:rsidRPr="00800D1B">
          <w:rPr>
            <w:lang w:val="sv-SE"/>
          </w:rPr>
          <w:fldChar w:fldCharType="separate"/>
        </w:r>
        <w:r w:rsidR="00623E14" w:rsidRPr="00800D1B">
          <w:rPr>
            <w:lang w:val="sv-SE"/>
          </w:rPr>
          <w:t>32</w:t>
        </w:r>
        <w:r w:rsidR="00623E14" w:rsidRPr="00800D1B">
          <w:rPr>
            <w:lang w:val="sv-SE"/>
          </w:rPr>
          <w:fldChar w:fldCharType="end"/>
        </w:r>
      </w:hyperlink>
    </w:p>
    <w:p w14:paraId="2D06540A" w14:textId="77777777" w:rsidR="003422DB" w:rsidRPr="00800D1B" w:rsidRDefault="00000000" w:rsidP="004F0B72">
      <w:pPr>
        <w:pStyle w:val="Innehll4"/>
        <w:rPr>
          <w:rFonts w:ascii="Calibri" w:hAnsi="Calibri"/>
          <w:sz w:val="22"/>
          <w:lang w:val="sv-SE"/>
        </w:rPr>
      </w:pPr>
      <w:hyperlink w:anchor="_Toc256000264" w:history="1">
        <w:r w:rsidR="00A77B3E" w:rsidRPr="00800D1B">
          <w:rPr>
            <w:rStyle w:val="Hyperlnk"/>
            <w:lang w:val="sv-SE"/>
          </w:rPr>
          <w:t>2.1.1.1. Specifikt mål: RSO1.5. Förbättra den digitala konnektiviteten (Eruf)</w:t>
        </w:r>
        <w:r w:rsidR="00623E14" w:rsidRPr="00800D1B">
          <w:rPr>
            <w:lang w:val="sv-SE"/>
          </w:rPr>
          <w:tab/>
        </w:r>
        <w:r w:rsidR="00623E14" w:rsidRPr="00800D1B">
          <w:rPr>
            <w:lang w:val="sv-SE"/>
          </w:rPr>
          <w:fldChar w:fldCharType="begin"/>
        </w:r>
        <w:r w:rsidR="00623E14" w:rsidRPr="00800D1B">
          <w:rPr>
            <w:lang w:val="sv-SE"/>
          </w:rPr>
          <w:instrText xml:space="preserve"> PAGEREF _Toc256000264 \h </w:instrText>
        </w:r>
        <w:r w:rsidR="00623E14" w:rsidRPr="00800D1B">
          <w:rPr>
            <w:lang w:val="sv-SE"/>
          </w:rPr>
        </w:r>
        <w:r w:rsidR="00623E14" w:rsidRPr="00800D1B">
          <w:rPr>
            <w:lang w:val="sv-SE"/>
          </w:rPr>
          <w:fldChar w:fldCharType="separate"/>
        </w:r>
        <w:r w:rsidR="00623E14" w:rsidRPr="00800D1B">
          <w:rPr>
            <w:lang w:val="sv-SE"/>
          </w:rPr>
          <w:t>32</w:t>
        </w:r>
        <w:r w:rsidR="00623E14" w:rsidRPr="00800D1B">
          <w:rPr>
            <w:lang w:val="sv-SE"/>
          </w:rPr>
          <w:fldChar w:fldCharType="end"/>
        </w:r>
      </w:hyperlink>
    </w:p>
    <w:p w14:paraId="2D06540B" w14:textId="77777777" w:rsidR="003422DB" w:rsidRPr="00800D1B" w:rsidRDefault="00000000" w:rsidP="004F0B72">
      <w:pPr>
        <w:pStyle w:val="Innehll4"/>
        <w:rPr>
          <w:rFonts w:ascii="Calibri" w:hAnsi="Calibri"/>
          <w:sz w:val="22"/>
          <w:lang w:val="sv-SE"/>
        </w:rPr>
      </w:pPr>
      <w:hyperlink w:anchor="_Toc256000265" w:history="1">
        <w:r w:rsidR="00A77B3E" w:rsidRPr="00800D1B">
          <w:rPr>
            <w:rStyle w:val="Hyperlnk"/>
            <w:lang w:val="sv-SE"/>
          </w:rPr>
          <w:t>2.1.1.1.1. Interventioner inom ramen för fonderna</w:t>
        </w:r>
        <w:r w:rsidR="00623E14" w:rsidRPr="00800D1B">
          <w:rPr>
            <w:lang w:val="sv-SE"/>
          </w:rPr>
          <w:tab/>
        </w:r>
        <w:r w:rsidR="00623E14" w:rsidRPr="00800D1B">
          <w:rPr>
            <w:lang w:val="sv-SE"/>
          </w:rPr>
          <w:fldChar w:fldCharType="begin"/>
        </w:r>
        <w:r w:rsidR="00623E14" w:rsidRPr="00800D1B">
          <w:rPr>
            <w:lang w:val="sv-SE"/>
          </w:rPr>
          <w:instrText xml:space="preserve"> PAGEREF _Toc256000265 \h </w:instrText>
        </w:r>
        <w:r w:rsidR="00623E14" w:rsidRPr="00800D1B">
          <w:rPr>
            <w:lang w:val="sv-SE"/>
          </w:rPr>
        </w:r>
        <w:r w:rsidR="00623E14" w:rsidRPr="00800D1B">
          <w:rPr>
            <w:lang w:val="sv-SE"/>
          </w:rPr>
          <w:fldChar w:fldCharType="separate"/>
        </w:r>
        <w:r w:rsidR="00623E14" w:rsidRPr="00800D1B">
          <w:rPr>
            <w:lang w:val="sv-SE"/>
          </w:rPr>
          <w:t>32</w:t>
        </w:r>
        <w:r w:rsidR="00623E14" w:rsidRPr="00800D1B">
          <w:rPr>
            <w:lang w:val="sv-SE"/>
          </w:rPr>
          <w:fldChar w:fldCharType="end"/>
        </w:r>
      </w:hyperlink>
    </w:p>
    <w:p w14:paraId="2D06540C" w14:textId="77777777" w:rsidR="003422DB" w:rsidRPr="00800D1B" w:rsidRDefault="00000000">
      <w:pPr>
        <w:pStyle w:val="Innehll5"/>
        <w:tabs>
          <w:tab w:val="right" w:leader="dot" w:pos="10240"/>
        </w:tabs>
        <w:rPr>
          <w:rFonts w:ascii="Calibri" w:hAnsi="Calibri"/>
          <w:sz w:val="22"/>
          <w:lang w:val="sv-SE"/>
        </w:rPr>
      </w:pPr>
      <w:hyperlink w:anchor="_Toc256000266" w:history="1">
        <w:r w:rsidR="00A77B3E" w:rsidRPr="00800D1B">
          <w:rPr>
            <w:rStyle w:val="Hyperlnk"/>
            <w:lang w:val="sv-SE"/>
          </w:rPr>
          <w:t>Relaterade typer av åtgärder – artikel 22.3 d i i förordningen om gemensamma bestämmelser och artikel 6 i ESF+-förordningen</w:t>
        </w:r>
        <w:r w:rsidR="00623E14" w:rsidRPr="00800D1B">
          <w:rPr>
            <w:lang w:val="sv-SE"/>
          </w:rPr>
          <w:tab/>
        </w:r>
        <w:r w:rsidR="00623E14" w:rsidRPr="00800D1B">
          <w:rPr>
            <w:lang w:val="sv-SE"/>
          </w:rPr>
          <w:fldChar w:fldCharType="begin"/>
        </w:r>
        <w:r w:rsidR="00623E14" w:rsidRPr="00800D1B">
          <w:rPr>
            <w:lang w:val="sv-SE"/>
          </w:rPr>
          <w:instrText xml:space="preserve"> PAGEREF _Toc256000266 \h </w:instrText>
        </w:r>
        <w:r w:rsidR="00623E14" w:rsidRPr="00800D1B">
          <w:rPr>
            <w:lang w:val="sv-SE"/>
          </w:rPr>
        </w:r>
        <w:r w:rsidR="00623E14" w:rsidRPr="00800D1B">
          <w:rPr>
            <w:lang w:val="sv-SE"/>
          </w:rPr>
          <w:fldChar w:fldCharType="separate"/>
        </w:r>
        <w:r w:rsidR="00623E14" w:rsidRPr="00800D1B">
          <w:rPr>
            <w:lang w:val="sv-SE"/>
          </w:rPr>
          <w:t>32</w:t>
        </w:r>
        <w:r w:rsidR="00623E14" w:rsidRPr="00800D1B">
          <w:rPr>
            <w:lang w:val="sv-SE"/>
          </w:rPr>
          <w:fldChar w:fldCharType="end"/>
        </w:r>
      </w:hyperlink>
    </w:p>
    <w:p w14:paraId="2D06540D" w14:textId="77777777" w:rsidR="003422DB" w:rsidRPr="00800D1B" w:rsidRDefault="00000000">
      <w:pPr>
        <w:pStyle w:val="Innehll5"/>
        <w:tabs>
          <w:tab w:val="right" w:leader="dot" w:pos="10240"/>
        </w:tabs>
        <w:rPr>
          <w:rFonts w:ascii="Calibri" w:hAnsi="Calibri"/>
          <w:sz w:val="22"/>
          <w:lang w:val="sv-SE"/>
        </w:rPr>
      </w:pPr>
      <w:hyperlink w:anchor="_Toc256000267" w:history="1">
        <w:r w:rsidR="00A77B3E" w:rsidRPr="00800D1B">
          <w:rPr>
            <w:rStyle w:val="Hyperlnk"/>
            <w:lang w:val="sv-SE"/>
          </w:rPr>
          <w:t>Huvudsakliga målgrupper – artikel 22.3 d iii i förordningen om gemensamma bestämmelser</w:t>
        </w:r>
        <w:r w:rsidR="00623E14" w:rsidRPr="00800D1B">
          <w:rPr>
            <w:lang w:val="sv-SE"/>
          </w:rPr>
          <w:tab/>
        </w:r>
        <w:r w:rsidR="00623E14" w:rsidRPr="00800D1B">
          <w:rPr>
            <w:lang w:val="sv-SE"/>
          </w:rPr>
          <w:fldChar w:fldCharType="begin"/>
        </w:r>
        <w:r w:rsidR="00623E14" w:rsidRPr="00800D1B">
          <w:rPr>
            <w:lang w:val="sv-SE"/>
          </w:rPr>
          <w:instrText xml:space="preserve"> PAGEREF _Toc256000267 \h </w:instrText>
        </w:r>
        <w:r w:rsidR="00623E14" w:rsidRPr="00800D1B">
          <w:rPr>
            <w:lang w:val="sv-SE"/>
          </w:rPr>
        </w:r>
        <w:r w:rsidR="00623E14" w:rsidRPr="00800D1B">
          <w:rPr>
            <w:lang w:val="sv-SE"/>
          </w:rPr>
          <w:fldChar w:fldCharType="separate"/>
        </w:r>
        <w:r w:rsidR="00623E14" w:rsidRPr="00800D1B">
          <w:rPr>
            <w:lang w:val="sv-SE"/>
          </w:rPr>
          <w:t>33</w:t>
        </w:r>
        <w:r w:rsidR="00623E14" w:rsidRPr="00800D1B">
          <w:rPr>
            <w:lang w:val="sv-SE"/>
          </w:rPr>
          <w:fldChar w:fldCharType="end"/>
        </w:r>
      </w:hyperlink>
    </w:p>
    <w:p w14:paraId="2D06540E" w14:textId="77777777" w:rsidR="003422DB" w:rsidRPr="00800D1B" w:rsidRDefault="00000000">
      <w:pPr>
        <w:pStyle w:val="Innehll5"/>
        <w:tabs>
          <w:tab w:val="right" w:leader="dot" w:pos="10240"/>
        </w:tabs>
        <w:rPr>
          <w:rFonts w:ascii="Calibri" w:hAnsi="Calibri"/>
          <w:sz w:val="22"/>
          <w:lang w:val="sv-SE"/>
        </w:rPr>
      </w:pPr>
      <w:hyperlink w:anchor="_Toc256000268" w:history="1">
        <w:r w:rsidR="00A77B3E" w:rsidRPr="00800D1B">
          <w:rPr>
            <w:rStyle w:val="Hyperlnk"/>
            <w:lang w:val="sv-SE"/>
          </w:rPr>
          <w:t>Åtgärder för säkerställande av jämställdhet, inkludering och icke-diskriminering – artikel 22.3 d iv i förordningen om gemensamma bestämmelser och artikel 6 i ESF+-förordningen</w:t>
        </w:r>
        <w:r w:rsidR="00623E14" w:rsidRPr="00800D1B">
          <w:rPr>
            <w:lang w:val="sv-SE"/>
          </w:rPr>
          <w:tab/>
        </w:r>
        <w:r w:rsidR="00623E14" w:rsidRPr="00800D1B">
          <w:rPr>
            <w:lang w:val="sv-SE"/>
          </w:rPr>
          <w:fldChar w:fldCharType="begin"/>
        </w:r>
        <w:r w:rsidR="00623E14" w:rsidRPr="00800D1B">
          <w:rPr>
            <w:lang w:val="sv-SE"/>
          </w:rPr>
          <w:instrText xml:space="preserve"> PAGEREF _Toc256000268 \h </w:instrText>
        </w:r>
        <w:r w:rsidR="00623E14" w:rsidRPr="00800D1B">
          <w:rPr>
            <w:lang w:val="sv-SE"/>
          </w:rPr>
        </w:r>
        <w:r w:rsidR="00623E14" w:rsidRPr="00800D1B">
          <w:rPr>
            <w:lang w:val="sv-SE"/>
          </w:rPr>
          <w:fldChar w:fldCharType="separate"/>
        </w:r>
        <w:r w:rsidR="00623E14" w:rsidRPr="00800D1B">
          <w:rPr>
            <w:lang w:val="sv-SE"/>
          </w:rPr>
          <w:t>33</w:t>
        </w:r>
        <w:r w:rsidR="00623E14" w:rsidRPr="00800D1B">
          <w:rPr>
            <w:lang w:val="sv-SE"/>
          </w:rPr>
          <w:fldChar w:fldCharType="end"/>
        </w:r>
      </w:hyperlink>
    </w:p>
    <w:p w14:paraId="2D06540F" w14:textId="77777777" w:rsidR="003422DB" w:rsidRPr="00800D1B" w:rsidRDefault="00000000">
      <w:pPr>
        <w:pStyle w:val="Innehll5"/>
        <w:tabs>
          <w:tab w:val="right" w:leader="dot" w:pos="10240"/>
        </w:tabs>
        <w:rPr>
          <w:rFonts w:ascii="Calibri" w:hAnsi="Calibri"/>
          <w:sz w:val="22"/>
          <w:lang w:val="sv-SE"/>
        </w:rPr>
      </w:pPr>
      <w:hyperlink w:anchor="_Toc256000269" w:history="1">
        <w:r w:rsidR="00A77B3E" w:rsidRPr="00800D1B">
          <w:rPr>
            <w:rStyle w:val="Hyperlnk"/>
            <w:lang w:val="sv-SE"/>
          </w:rPr>
          <w:t>Angivande av de specifika målterritorierna, inbegripet planerad användning av territoriella verktyg – artikel 22.3 d v i förordningen om gemensamma bestämmelser</w:t>
        </w:r>
        <w:r w:rsidR="00623E14" w:rsidRPr="00800D1B">
          <w:rPr>
            <w:lang w:val="sv-SE"/>
          </w:rPr>
          <w:tab/>
        </w:r>
        <w:r w:rsidR="00623E14" w:rsidRPr="00800D1B">
          <w:rPr>
            <w:lang w:val="sv-SE"/>
          </w:rPr>
          <w:fldChar w:fldCharType="begin"/>
        </w:r>
        <w:r w:rsidR="00623E14" w:rsidRPr="00800D1B">
          <w:rPr>
            <w:lang w:val="sv-SE"/>
          </w:rPr>
          <w:instrText xml:space="preserve"> PAGEREF _Toc256000269 \h </w:instrText>
        </w:r>
        <w:r w:rsidR="00623E14" w:rsidRPr="00800D1B">
          <w:rPr>
            <w:lang w:val="sv-SE"/>
          </w:rPr>
        </w:r>
        <w:r w:rsidR="00623E14" w:rsidRPr="00800D1B">
          <w:rPr>
            <w:lang w:val="sv-SE"/>
          </w:rPr>
          <w:fldChar w:fldCharType="separate"/>
        </w:r>
        <w:r w:rsidR="00623E14" w:rsidRPr="00800D1B">
          <w:rPr>
            <w:lang w:val="sv-SE"/>
          </w:rPr>
          <w:t>34</w:t>
        </w:r>
        <w:r w:rsidR="00623E14" w:rsidRPr="00800D1B">
          <w:rPr>
            <w:lang w:val="sv-SE"/>
          </w:rPr>
          <w:fldChar w:fldCharType="end"/>
        </w:r>
      </w:hyperlink>
    </w:p>
    <w:p w14:paraId="2D065410" w14:textId="77777777" w:rsidR="003422DB" w:rsidRPr="00800D1B" w:rsidRDefault="00000000">
      <w:pPr>
        <w:pStyle w:val="Innehll5"/>
        <w:tabs>
          <w:tab w:val="right" w:leader="dot" w:pos="10240"/>
        </w:tabs>
        <w:rPr>
          <w:rFonts w:ascii="Calibri" w:hAnsi="Calibri"/>
          <w:sz w:val="22"/>
          <w:lang w:val="sv-SE"/>
        </w:rPr>
      </w:pPr>
      <w:hyperlink w:anchor="_Toc256000270" w:history="1">
        <w:r w:rsidR="00A77B3E" w:rsidRPr="00800D1B">
          <w:rPr>
            <w:rStyle w:val="Hyperlnk"/>
            <w:lang w:val="sv-SE"/>
          </w:rPr>
          <w:t>Interregionala, gränsregionala och transnationella åtgärder – artikel 22.3 d vi i förordningen om gemensamma bestämmelser</w:t>
        </w:r>
        <w:r w:rsidR="00623E14" w:rsidRPr="00800D1B">
          <w:rPr>
            <w:lang w:val="sv-SE"/>
          </w:rPr>
          <w:tab/>
        </w:r>
        <w:r w:rsidR="00623E14" w:rsidRPr="00800D1B">
          <w:rPr>
            <w:lang w:val="sv-SE"/>
          </w:rPr>
          <w:fldChar w:fldCharType="begin"/>
        </w:r>
        <w:r w:rsidR="00623E14" w:rsidRPr="00800D1B">
          <w:rPr>
            <w:lang w:val="sv-SE"/>
          </w:rPr>
          <w:instrText xml:space="preserve"> PAGEREF _Toc256000270 \h </w:instrText>
        </w:r>
        <w:r w:rsidR="00623E14" w:rsidRPr="00800D1B">
          <w:rPr>
            <w:lang w:val="sv-SE"/>
          </w:rPr>
        </w:r>
        <w:r w:rsidR="00623E14" w:rsidRPr="00800D1B">
          <w:rPr>
            <w:lang w:val="sv-SE"/>
          </w:rPr>
          <w:fldChar w:fldCharType="separate"/>
        </w:r>
        <w:r w:rsidR="00623E14" w:rsidRPr="00800D1B">
          <w:rPr>
            <w:lang w:val="sv-SE"/>
          </w:rPr>
          <w:t>34</w:t>
        </w:r>
        <w:r w:rsidR="00623E14" w:rsidRPr="00800D1B">
          <w:rPr>
            <w:lang w:val="sv-SE"/>
          </w:rPr>
          <w:fldChar w:fldCharType="end"/>
        </w:r>
      </w:hyperlink>
    </w:p>
    <w:p w14:paraId="2D065411" w14:textId="77777777" w:rsidR="003422DB" w:rsidRPr="00800D1B" w:rsidRDefault="00000000">
      <w:pPr>
        <w:pStyle w:val="Innehll5"/>
        <w:tabs>
          <w:tab w:val="right" w:leader="dot" w:pos="10240"/>
        </w:tabs>
        <w:rPr>
          <w:rFonts w:ascii="Calibri" w:hAnsi="Calibri"/>
          <w:sz w:val="22"/>
          <w:lang w:val="sv-SE"/>
        </w:rPr>
      </w:pPr>
      <w:hyperlink w:anchor="_Toc256000271" w:history="1">
        <w:r w:rsidR="00A77B3E" w:rsidRPr="00800D1B">
          <w:rPr>
            <w:rStyle w:val="Hyperlnk"/>
            <w:lang w:val="sv-SE"/>
          </w:rPr>
          <w:t>Planerad användning av finansieringsinstrument – artikel 22.3 d vii i förordningen om gemensamma bestämmelser</w:t>
        </w:r>
        <w:r w:rsidR="00623E14" w:rsidRPr="00800D1B">
          <w:rPr>
            <w:lang w:val="sv-SE"/>
          </w:rPr>
          <w:tab/>
        </w:r>
        <w:r w:rsidR="00623E14" w:rsidRPr="00800D1B">
          <w:rPr>
            <w:lang w:val="sv-SE"/>
          </w:rPr>
          <w:fldChar w:fldCharType="begin"/>
        </w:r>
        <w:r w:rsidR="00623E14" w:rsidRPr="00800D1B">
          <w:rPr>
            <w:lang w:val="sv-SE"/>
          </w:rPr>
          <w:instrText xml:space="preserve"> PAGEREF _Toc256000271 \h </w:instrText>
        </w:r>
        <w:r w:rsidR="00623E14" w:rsidRPr="00800D1B">
          <w:rPr>
            <w:lang w:val="sv-SE"/>
          </w:rPr>
        </w:r>
        <w:r w:rsidR="00623E14" w:rsidRPr="00800D1B">
          <w:rPr>
            <w:lang w:val="sv-SE"/>
          </w:rPr>
          <w:fldChar w:fldCharType="separate"/>
        </w:r>
        <w:r w:rsidR="00623E14" w:rsidRPr="00800D1B">
          <w:rPr>
            <w:lang w:val="sv-SE"/>
          </w:rPr>
          <w:t>35</w:t>
        </w:r>
        <w:r w:rsidR="00623E14" w:rsidRPr="00800D1B">
          <w:rPr>
            <w:lang w:val="sv-SE"/>
          </w:rPr>
          <w:fldChar w:fldCharType="end"/>
        </w:r>
      </w:hyperlink>
    </w:p>
    <w:p w14:paraId="2D065412" w14:textId="77777777" w:rsidR="003422DB" w:rsidRPr="00800D1B" w:rsidRDefault="00000000" w:rsidP="004F0B72">
      <w:pPr>
        <w:pStyle w:val="Innehll4"/>
        <w:rPr>
          <w:rFonts w:ascii="Calibri" w:hAnsi="Calibri"/>
          <w:sz w:val="22"/>
          <w:lang w:val="sv-SE"/>
        </w:rPr>
      </w:pPr>
      <w:hyperlink w:anchor="_Toc256000272" w:history="1">
        <w:r w:rsidR="00A77B3E" w:rsidRPr="00800D1B">
          <w:rPr>
            <w:rStyle w:val="Hyperlnk"/>
            <w:lang w:val="sv-SE"/>
          </w:rPr>
          <w:t>2.1.1.1.2. Indikatorer</w:t>
        </w:r>
        <w:r w:rsidR="00623E14" w:rsidRPr="00800D1B">
          <w:rPr>
            <w:lang w:val="sv-SE"/>
          </w:rPr>
          <w:tab/>
        </w:r>
        <w:r w:rsidR="00623E14" w:rsidRPr="00800D1B">
          <w:rPr>
            <w:lang w:val="sv-SE"/>
          </w:rPr>
          <w:fldChar w:fldCharType="begin"/>
        </w:r>
        <w:r w:rsidR="00623E14" w:rsidRPr="00800D1B">
          <w:rPr>
            <w:lang w:val="sv-SE"/>
          </w:rPr>
          <w:instrText xml:space="preserve"> PAGEREF _Toc256000272 \h </w:instrText>
        </w:r>
        <w:r w:rsidR="00623E14" w:rsidRPr="00800D1B">
          <w:rPr>
            <w:lang w:val="sv-SE"/>
          </w:rPr>
        </w:r>
        <w:r w:rsidR="00623E14" w:rsidRPr="00800D1B">
          <w:rPr>
            <w:lang w:val="sv-SE"/>
          </w:rPr>
          <w:fldChar w:fldCharType="separate"/>
        </w:r>
        <w:r w:rsidR="00623E14" w:rsidRPr="00800D1B">
          <w:rPr>
            <w:lang w:val="sv-SE"/>
          </w:rPr>
          <w:t>35</w:t>
        </w:r>
        <w:r w:rsidR="00623E14" w:rsidRPr="00800D1B">
          <w:rPr>
            <w:lang w:val="sv-SE"/>
          </w:rPr>
          <w:fldChar w:fldCharType="end"/>
        </w:r>
      </w:hyperlink>
    </w:p>
    <w:p w14:paraId="2D065413" w14:textId="77777777" w:rsidR="003422DB" w:rsidRPr="00800D1B" w:rsidRDefault="00000000">
      <w:pPr>
        <w:pStyle w:val="Innehll5"/>
        <w:tabs>
          <w:tab w:val="right" w:leader="dot" w:pos="10240"/>
        </w:tabs>
        <w:rPr>
          <w:rFonts w:ascii="Calibri" w:hAnsi="Calibri"/>
          <w:sz w:val="22"/>
          <w:lang w:val="sv-SE"/>
        </w:rPr>
      </w:pPr>
      <w:hyperlink w:anchor="_Toc256000273" w:history="1">
        <w:r w:rsidR="00A77B3E" w:rsidRPr="00800D1B">
          <w:rPr>
            <w:rStyle w:val="Hyperlnk"/>
            <w:lang w:val="sv-SE"/>
          </w:rPr>
          <w:t>Tabell 2: Utfallsindikatorer</w:t>
        </w:r>
        <w:r w:rsidR="00623E14" w:rsidRPr="00800D1B">
          <w:rPr>
            <w:lang w:val="sv-SE"/>
          </w:rPr>
          <w:tab/>
        </w:r>
        <w:r w:rsidR="00623E14" w:rsidRPr="00800D1B">
          <w:rPr>
            <w:lang w:val="sv-SE"/>
          </w:rPr>
          <w:fldChar w:fldCharType="begin"/>
        </w:r>
        <w:r w:rsidR="00623E14" w:rsidRPr="00800D1B">
          <w:rPr>
            <w:lang w:val="sv-SE"/>
          </w:rPr>
          <w:instrText xml:space="preserve"> PAGEREF _Toc256000273 \h </w:instrText>
        </w:r>
        <w:r w:rsidR="00623E14" w:rsidRPr="00800D1B">
          <w:rPr>
            <w:lang w:val="sv-SE"/>
          </w:rPr>
        </w:r>
        <w:r w:rsidR="00623E14" w:rsidRPr="00800D1B">
          <w:rPr>
            <w:lang w:val="sv-SE"/>
          </w:rPr>
          <w:fldChar w:fldCharType="separate"/>
        </w:r>
        <w:r w:rsidR="00623E14" w:rsidRPr="00800D1B">
          <w:rPr>
            <w:lang w:val="sv-SE"/>
          </w:rPr>
          <w:t>35</w:t>
        </w:r>
        <w:r w:rsidR="00623E14" w:rsidRPr="00800D1B">
          <w:rPr>
            <w:lang w:val="sv-SE"/>
          </w:rPr>
          <w:fldChar w:fldCharType="end"/>
        </w:r>
      </w:hyperlink>
    </w:p>
    <w:p w14:paraId="2D065414" w14:textId="77777777" w:rsidR="003422DB" w:rsidRPr="00800D1B" w:rsidRDefault="00000000">
      <w:pPr>
        <w:pStyle w:val="Innehll5"/>
        <w:tabs>
          <w:tab w:val="right" w:leader="dot" w:pos="10240"/>
        </w:tabs>
        <w:rPr>
          <w:rFonts w:ascii="Calibri" w:hAnsi="Calibri"/>
          <w:sz w:val="22"/>
          <w:lang w:val="sv-SE"/>
        </w:rPr>
      </w:pPr>
      <w:hyperlink w:anchor="_Toc256000274" w:history="1">
        <w:r w:rsidR="00A77B3E" w:rsidRPr="00800D1B">
          <w:rPr>
            <w:rStyle w:val="Hyperlnk"/>
            <w:lang w:val="sv-SE"/>
          </w:rPr>
          <w:t>Tabell 3: Resultatindikatorer</w:t>
        </w:r>
        <w:r w:rsidR="00623E14" w:rsidRPr="00800D1B">
          <w:rPr>
            <w:lang w:val="sv-SE"/>
          </w:rPr>
          <w:tab/>
        </w:r>
        <w:r w:rsidR="00623E14" w:rsidRPr="00800D1B">
          <w:rPr>
            <w:lang w:val="sv-SE"/>
          </w:rPr>
          <w:fldChar w:fldCharType="begin"/>
        </w:r>
        <w:r w:rsidR="00623E14" w:rsidRPr="00800D1B">
          <w:rPr>
            <w:lang w:val="sv-SE"/>
          </w:rPr>
          <w:instrText xml:space="preserve"> PAGEREF _Toc256000274 \h </w:instrText>
        </w:r>
        <w:r w:rsidR="00623E14" w:rsidRPr="00800D1B">
          <w:rPr>
            <w:lang w:val="sv-SE"/>
          </w:rPr>
        </w:r>
        <w:r w:rsidR="00623E14" w:rsidRPr="00800D1B">
          <w:rPr>
            <w:lang w:val="sv-SE"/>
          </w:rPr>
          <w:fldChar w:fldCharType="separate"/>
        </w:r>
        <w:r w:rsidR="00623E14" w:rsidRPr="00800D1B">
          <w:rPr>
            <w:lang w:val="sv-SE"/>
          </w:rPr>
          <w:t>35</w:t>
        </w:r>
        <w:r w:rsidR="00623E14" w:rsidRPr="00800D1B">
          <w:rPr>
            <w:lang w:val="sv-SE"/>
          </w:rPr>
          <w:fldChar w:fldCharType="end"/>
        </w:r>
      </w:hyperlink>
    </w:p>
    <w:p w14:paraId="2D065415" w14:textId="77777777" w:rsidR="003422DB" w:rsidRPr="00800D1B" w:rsidRDefault="00000000" w:rsidP="004F0B72">
      <w:pPr>
        <w:pStyle w:val="Innehll4"/>
        <w:rPr>
          <w:rFonts w:ascii="Calibri" w:hAnsi="Calibri"/>
          <w:sz w:val="22"/>
          <w:lang w:val="sv-SE"/>
        </w:rPr>
      </w:pPr>
      <w:hyperlink w:anchor="_Toc256000275" w:history="1">
        <w:r w:rsidR="00A77B3E" w:rsidRPr="00800D1B">
          <w:rPr>
            <w:rStyle w:val="Hyperlnk"/>
            <w:lang w:val="sv-SE"/>
          </w:rPr>
          <w:t>2.1.1.1.3. Preliminär fördelning av anslagna (EU-)medel efter interventionstyp</w:t>
        </w:r>
        <w:r w:rsidR="00623E14" w:rsidRPr="00800D1B">
          <w:rPr>
            <w:lang w:val="sv-SE"/>
          </w:rPr>
          <w:tab/>
        </w:r>
        <w:r w:rsidR="00623E14" w:rsidRPr="00800D1B">
          <w:rPr>
            <w:lang w:val="sv-SE"/>
          </w:rPr>
          <w:fldChar w:fldCharType="begin"/>
        </w:r>
        <w:r w:rsidR="00623E14" w:rsidRPr="00800D1B">
          <w:rPr>
            <w:lang w:val="sv-SE"/>
          </w:rPr>
          <w:instrText xml:space="preserve"> PAGEREF _Toc256000275 \h </w:instrText>
        </w:r>
        <w:r w:rsidR="00623E14" w:rsidRPr="00800D1B">
          <w:rPr>
            <w:lang w:val="sv-SE"/>
          </w:rPr>
        </w:r>
        <w:r w:rsidR="00623E14" w:rsidRPr="00800D1B">
          <w:rPr>
            <w:lang w:val="sv-SE"/>
          </w:rPr>
          <w:fldChar w:fldCharType="separate"/>
        </w:r>
        <w:r w:rsidR="00623E14" w:rsidRPr="00800D1B">
          <w:rPr>
            <w:lang w:val="sv-SE"/>
          </w:rPr>
          <w:t>36</w:t>
        </w:r>
        <w:r w:rsidR="00623E14" w:rsidRPr="00800D1B">
          <w:rPr>
            <w:lang w:val="sv-SE"/>
          </w:rPr>
          <w:fldChar w:fldCharType="end"/>
        </w:r>
      </w:hyperlink>
    </w:p>
    <w:p w14:paraId="2D065416" w14:textId="77777777" w:rsidR="003422DB" w:rsidRPr="00800D1B" w:rsidRDefault="00000000">
      <w:pPr>
        <w:pStyle w:val="Innehll5"/>
        <w:tabs>
          <w:tab w:val="right" w:leader="dot" w:pos="10240"/>
        </w:tabs>
        <w:rPr>
          <w:rFonts w:ascii="Calibri" w:hAnsi="Calibri"/>
          <w:sz w:val="22"/>
          <w:lang w:val="sv-SE"/>
        </w:rPr>
      </w:pPr>
      <w:hyperlink w:anchor="_Toc256000276" w:history="1">
        <w:r w:rsidR="00A77B3E" w:rsidRPr="00800D1B">
          <w:rPr>
            <w:rStyle w:val="Hyperlnk"/>
            <w:lang w:val="sv-SE"/>
          </w:rPr>
          <w:t>Tabell 4: Dimension 1 – interventionsområde</w:t>
        </w:r>
        <w:r w:rsidR="00623E14" w:rsidRPr="00800D1B">
          <w:rPr>
            <w:lang w:val="sv-SE"/>
          </w:rPr>
          <w:tab/>
        </w:r>
        <w:r w:rsidR="00623E14" w:rsidRPr="00800D1B">
          <w:rPr>
            <w:lang w:val="sv-SE"/>
          </w:rPr>
          <w:fldChar w:fldCharType="begin"/>
        </w:r>
        <w:r w:rsidR="00623E14" w:rsidRPr="00800D1B">
          <w:rPr>
            <w:lang w:val="sv-SE"/>
          </w:rPr>
          <w:instrText xml:space="preserve"> PAGEREF _Toc256000276 \h </w:instrText>
        </w:r>
        <w:r w:rsidR="00623E14" w:rsidRPr="00800D1B">
          <w:rPr>
            <w:lang w:val="sv-SE"/>
          </w:rPr>
        </w:r>
        <w:r w:rsidR="00623E14" w:rsidRPr="00800D1B">
          <w:rPr>
            <w:lang w:val="sv-SE"/>
          </w:rPr>
          <w:fldChar w:fldCharType="separate"/>
        </w:r>
        <w:r w:rsidR="00623E14" w:rsidRPr="00800D1B">
          <w:rPr>
            <w:lang w:val="sv-SE"/>
          </w:rPr>
          <w:t>36</w:t>
        </w:r>
        <w:r w:rsidR="00623E14" w:rsidRPr="00800D1B">
          <w:rPr>
            <w:lang w:val="sv-SE"/>
          </w:rPr>
          <w:fldChar w:fldCharType="end"/>
        </w:r>
      </w:hyperlink>
    </w:p>
    <w:p w14:paraId="2D065417" w14:textId="77777777" w:rsidR="003422DB" w:rsidRPr="00800D1B" w:rsidRDefault="00000000">
      <w:pPr>
        <w:pStyle w:val="Innehll5"/>
        <w:tabs>
          <w:tab w:val="right" w:leader="dot" w:pos="10240"/>
        </w:tabs>
        <w:rPr>
          <w:rFonts w:ascii="Calibri" w:hAnsi="Calibri"/>
          <w:sz w:val="22"/>
          <w:lang w:val="sv-SE"/>
        </w:rPr>
      </w:pPr>
      <w:hyperlink w:anchor="_Toc256000277" w:history="1">
        <w:r w:rsidR="00A77B3E" w:rsidRPr="00800D1B">
          <w:rPr>
            <w:rStyle w:val="Hyperlnk"/>
            <w:lang w:val="sv-SE"/>
          </w:rPr>
          <w:t>Tabell 5: Dimension 2 – finansieringsform</w:t>
        </w:r>
        <w:r w:rsidR="00623E14" w:rsidRPr="00800D1B">
          <w:rPr>
            <w:lang w:val="sv-SE"/>
          </w:rPr>
          <w:tab/>
        </w:r>
        <w:r w:rsidR="00623E14" w:rsidRPr="00800D1B">
          <w:rPr>
            <w:lang w:val="sv-SE"/>
          </w:rPr>
          <w:fldChar w:fldCharType="begin"/>
        </w:r>
        <w:r w:rsidR="00623E14" w:rsidRPr="00800D1B">
          <w:rPr>
            <w:lang w:val="sv-SE"/>
          </w:rPr>
          <w:instrText xml:space="preserve"> PAGEREF _Toc256000277 \h </w:instrText>
        </w:r>
        <w:r w:rsidR="00623E14" w:rsidRPr="00800D1B">
          <w:rPr>
            <w:lang w:val="sv-SE"/>
          </w:rPr>
        </w:r>
        <w:r w:rsidR="00623E14" w:rsidRPr="00800D1B">
          <w:rPr>
            <w:lang w:val="sv-SE"/>
          </w:rPr>
          <w:fldChar w:fldCharType="separate"/>
        </w:r>
        <w:r w:rsidR="00623E14" w:rsidRPr="00800D1B">
          <w:rPr>
            <w:lang w:val="sv-SE"/>
          </w:rPr>
          <w:t>36</w:t>
        </w:r>
        <w:r w:rsidR="00623E14" w:rsidRPr="00800D1B">
          <w:rPr>
            <w:lang w:val="sv-SE"/>
          </w:rPr>
          <w:fldChar w:fldCharType="end"/>
        </w:r>
      </w:hyperlink>
    </w:p>
    <w:p w14:paraId="2D065418" w14:textId="77777777" w:rsidR="003422DB" w:rsidRPr="00800D1B" w:rsidRDefault="00000000">
      <w:pPr>
        <w:pStyle w:val="Innehll5"/>
        <w:tabs>
          <w:tab w:val="right" w:leader="dot" w:pos="10240"/>
        </w:tabs>
        <w:rPr>
          <w:rFonts w:ascii="Calibri" w:hAnsi="Calibri"/>
          <w:sz w:val="22"/>
          <w:lang w:val="sv-SE"/>
        </w:rPr>
      </w:pPr>
      <w:hyperlink w:anchor="_Toc256000278" w:history="1">
        <w:r w:rsidR="00A77B3E" w:rsidRPr="00800D1B">
          <w:rPr>
            <w:rStyle w:val="Hyperlnk"/>
            <w:lang w:val="sv-SE"/>
          </w:rPr>
          <w:t>Tabell 6: Dimension 3 – territoriell genomförandemetod och territoriellt fokus</w:t>
        </w:r>
        <w:r w:rsidR="00623E14" w:rsidRPr="00800D1B">
          <w:rPr>
            <w:lang w:val="sv-SE"/>
          </w:rPr>
          <w:tab/>
        </w:r>
        <w:r w:rsidR="00623E14" w:rsidRPr="00800D1B">
          <w:rPr>
            <w:lang w:val="sv-SE"/>
          </w:rPr>
          <w:fldChar w:fldCharType="begin"/>
        </w:r>
        <w:r w:rsidR="00623E14" w:rsidRPr="00800D1B">
          <w:rPr>
            <w:lang w:val="sv-SE"/>
          </w:rPr>
          <w:instrText xml:space="preserve"> PAGEREF _Toc256000278 \h </w:instrText>
        </w:r>
        <w:r w:rsidR="00623E14" w:rsidRPr="00800D1B">
          <w:rPr>
            <w:lang w:val="sv-SE"/>
          </w:rPr>
        </w:r>
        <w:r w:rsidR="00623E14" w:rsidRPr="00800D1B">
          <w:rPr>
            <w:lang w:val="sv-SE"/>
          </w:rPr>
          <w:fldChar w:fldCharType="separate"/>
        </w:r>
        <w:r w:rsidR="00623E14" w:rsidRPr="00800D1B">
          <w:rPr>
            <w:lang w:val="sv-SE"/>
          </w:rPr>
          <w:t>36</w:t>
        </w:r>
        <w:r w:rsidR="00623E14" w:rsidRPr="00800D1B">
          <w:rPr>
            <w:lang w:val="sv-SE"/>
          </w:rPr>
          <w:fldChar w:fldCharType="end"/>
        </w:r>
      </w:hyperlink>
    </w:p>
    <w:p w14:paraId="2D065419" w14:textId="77777777" w:rsidR="003422DB" w:rsidRPr="00800D1B" w:rsidRDefault="00000000">
      <w:pPr>
        <w:pStyle w:val="Innehll5"/>
        <w:tabs>
          <w:tab w:val="right" w:leader="dot" w:pos="10240"/>
        </w:tabs>
        <w:rPr>
          <w:rFonts w:ascii="Calibri" w:hAnsi="Calibri"/>
          <w:sz w:val="22"/>
          <w:lang w:val="sv-SE"/>
        </w:rPr>
      </w:pPr>
      <w:hyperlink w:anchor="_Toc256000279" w:history="1">
        <w:r w:rsidR="00A77B3E" w:rsidRPr="00800D1B">
          <w:rPr>
            <w:rStyle w:val="Hyperlnk"/>
            <w:lang w:val="sv-SE"/>
          </w:rPr>
          <w:t>Tabell 7: Dimension 6 – ESF+-sekundärteman</w:t>
        </w:r>
        <w:r w:rsidR="00623E14" w:rsidRPr="00800D1B">
          <w:rPr>
            <w:lang w:val="sv-SE"/>
          </w:rPr>
          <w:tab/>
        </w:r>
        <w:r w:rsidR="00623E14" w:rsidRPr="00800D1B">
          <w:rPr>
            <w:lang w:val="sv-SE"/>
          </w:rPr>
          <w:fldChar w:fldCharType="begin"/>
        </w:r>
        <w:r w:rsidR="00623E14" w:rsidRPr="00800D1B">
          <w:rPr>
            <w:lang w:val="sv-SE"/>
          </w:rPr>
          <w:instrText xml:space="preserve"> PAGEREF _Toc256000279 \h </w:instrText>
        </w:r>
        <w:r w:rsidR="00623E14" w:rsidRPr="00800D1B">
          <w:rPr>
            <w:lang w:val="sv-SE"/>
          </w:rPr>
        </w:r>
        <w:r w:rsidR="00623E14" w:rsidRPr="00800D1B">
          <w:rPr>
            <w:lang w:val="sv-SE"/>
          </w:rPr>
          <w:fldChar w:fldCharType="separate"/>
        </w:r>
        <w:r w:rsidR="00623E14" w:rsidRPr="00800D1B">
          <w:rPr>
            <w:lang w:val="sv-SE"/>
          </w:rPr>
          <w:t>37</w:t>
        </w:r>
        <w:r w:rsidR="00623E14" w:rsidRPr="00800D1B">
          <w:rPr>
            <w:lang w:val="sv-SE"/>
          </w:rPr>
          <w:fldChar w:fldCharType="end"/>
        </w:r>
      </w:hyperlink>
    </w:p>
    <w:p w14:paraId="2D06541A" w14:textId="77777777" w:rsidR="003422DB" w:rsidRPr="00800D1B" w:rsidRDefault="00000000">
      <w:pPr>
        <w:pStyle w:val="Innehll5"/>
        <w:tabs>
          <w:tab w:val="right" w:leader="dot" w:pos="10240"/>
        </w:tabs>
        <w:rPr>
          <w:rFonts w:ascii="Calibri" w:hAnsi="Calibri"/>
          <w:sz w:val="22"/>
          <w:lang w:val="sv-SE"/>
        </w:rPr>
      </w:pPr>
      <w:hyperlink w:anchor="_Toc256000280" w:history="1">
        <w:r w:rsidR="00A77B3E" w:rsidRPr="00800D1B">
          <w:rPr>
            <w:rStyle w:val="Hyperlnk"/>
            <w:lang w:val="sv-SE"/>
          </w:rPr>
          <w:t>Tabell 8: Dimension 7 – ESF+, Eruf, Sammanhållningsfonden och FRO, jämställdhetsdimensionen</w:t>
        </w:r>
        <w:r w:rsidR="00623E14" w:rsidRPr="00800D1B">
          <w:rPr>
            <w:lang w:val="sv-SE"/>
          </w:rPr>
          <w:tab/>
        </w:r>
        <w:r w:rsidR="00623E14" w:rsidRPr="00800D1B">
          <w:rPr>
            <w:lang w:val="sv-SE"/>
          </w:rPr>
          <w:fldChar w:fldCharType="begin"/>
        </w:r>
        <w:r w:rsidR="00623E14" w:rsidRPr="00800D1B">
          <w:rPr>
            <w:lang w:val="sv-SE"/>
          </w:rPr>
          <w:instrText xml:space="preserve"> PAGEREF _Toc256000280 \h </w:instrText>
        </w:r>
        <w:r w:rsidR="00623E14" w:rsidRPr="00800D1B">
          <w:rPr>
            <w:lang w:val="sv-SE"/>
          </w:rPr>
        </w:r>
        <w:r w:rsidR="00623E14" w:rsidRPr="00800D1B">
          <w:rPr>
            <w:lang w:val="sv-SE"/>
          </w:rPr>
          <w:fldChar w:fldCharType="separate"/>
        </w:r>
        <w:r w:rsidR="00623E14" w:rsidRPr="00800D1B">
          <w:rPr>
            <w:lang w:val="sv-SE"/>
          </w:rPr>
          <w:t>37</w:t>
        </w:r>
        <w:r w:rsidR="00623E14" w:rsidRPr="00800D1B">
          <w:rPr>
            <w:lang w:val="sv-SE"/>
          </w:rPr>
          <w:fldChar w:fldCharType="end"/>
        </w:r>
      </w:hyperlink>
    </w:p>
    <w:p w14:paraId="2D06541B" w14:textId="77777777" w:rsidR="003422DB" w:rsidRPr="00800D1B" w:rsidRDefault="00000000">
      <w:pPr>
        <w:pStyle w:val="Innehll3"/>
        <w:tabs>
          <w:tab w:val="right" w:leader="dot" w:pos="10240"/>
        </w:tabs>
        <w:rPr>
          <w:rFonts w:ascii="Calibri" w:hAnsi="Calibri"/>
          <w:sz w:val="22"/>
          <w:lang w:val="sv-SE"/>
        </w:rPr>
      </w:pPr>
      <w:hyperlink w:anchor="_Toc256000281" w:history="1">
        <w:r w:rsidR="00A77B3E" w:rsidRPr="00800D1B">
          <w:rPr>
            <w:rStyle w:val="Hyperlnk"/>
            <w:lang w:val="sv-SE"/>
          </w:rPr>
          <w:t>2.1.1. Prioritering: 3. Smart specialisering inom digitalisering, entreprenörskap och kompetensförsörjning</w:t>
        </w:r>
        <w:r w:rsidR="00623E14" w:rsidRPr="00800D1B">
          <w:rPr>
            <w:lang w:val="sv-SE"/>
          </w:rPr>
          <w:tab/>
        </w:r>
        <w:r w:rsidR="00623E14" w:rsidRPr="00800D1B">
          <w:rPr>
            <w:lang w:val="sv-SE"/>
          </w:rPr>
          <w:fldChar w:fldCharType="begin"/>
        </w:r>
        <w:r w:rsidR="00623E14" w:rsidRPr="00800D1B">
          <w:rPr>
            <w:lang w:val="sv-SE"/>
          </w:rPr>
          <w:instrText xml:space="preserve"> PAGEREF _Toc256000281 \h </w:instrText>
        </w:r>
        <w:r w:rsidR="00623E14" w:rsidRPr="00800D1B">
          <w:rPr>
            <w:lang w:val="sv-SE"/>
          </w:rPr>
        </w:r>
        <w:r w:rsidR="00623E14" w:rsidRPr="00800D1B">
          <w:rPr>
            <w:lang w:val="sv-SE"/>
          </w:rPr>
          <w:fldChar w:fldCharType="separate"/>
        </w:r>
        <w:r w:rsidR="00623E14" w:rsidRPr="00800D1B">
          <w:rPr>
            <w:lang w:val="sv-SE"/>
          </w:rPr>
          <w:t>38</w:t>
        </w:r>
        <w:r w:rsidR="00623E14" w:rsidRPr="00800D1B">
          <w:rPr>
            <w:lang w:val="sv-SE"/>
          </w:rPr>
          <w:fldChar w:fldCharType="end"/>
        </w:r>
      </w:hyperlink>
    </w:p>
    <w:p w14:paraId="2D06541C" w14:textId="77777777" w:rsidR="003422DB" w:rsidRPr="00800D1B" w:rsidRDefault="00000000" w:rsidP="004F0B72">
      <w:pPr>
        <w:pStyle w:val="Innehll4"/>
        <w:rPr>
          <w:rFonts w:ascii="Calibri" w:hAnsi="Calibri"/>
          <w:sz w:val="22"/>
          <w:lang w:val="sv-SE"/>
        </w:rPr>
      </w:pPr>
      <w:hyperlink w:anchor="_Toc256000282" w:history="1">
        <w:r w:rsidR="00A77B3E" w:rsidRPr="00800D1B">
          <w:rPr>
            <w:rStyle w:val="Hyperlnk"/>
            <w:lang w:val="sv-SE"/>
          </w:rPr>
          <w:t>2.1.1.1. Specifikt mål: RSO1.2. Dra nytta av digitaliseringens fördelar för invånare, företag, forskningsorganisationer och offentliga myndigheter (Eruf)</w:t>
        </w:r>
        <w:r w:rsidR="00623E14" w:rsidRPr="00800D1B">
          <w:rPr>
            <w:lang w:val="sv-SE"/>
          </w:rPr>
          <w:tab/>
        </w:r>
        <w:r w:rsidR="00623E14" w:rsidRPr="00800D1B">
          <w:rPr>
            <w:lang w:val="sv-SE"/>
          </w:rPr>
          <w:fldChar w:fldCharType="begin"/>
        </w:r>
        <w:r w:rsidR="00623E14" w:rsidRPr="00800D1B">
          <w:rPr>
            <w:lang w:val="sv-SE"/>
          </w:rPr>
          <w:instrText xml:space="preserve"> PAGEREF _Toc256000282 \h </w:instrText>
        </w:r>
        <w:r w:rsidR="00623E14" w:rsidRPr="00800D1B">
          <w:rPr>
            <w:lang w:val="sv-SE"/>
          </w:rPr>
        </w:r>
        <w:r w:rsidR="00623E14" w:rsidRPr="00800D1B">
          <w:rPr>
            <w:lang w:val="sv-SE"/>
          </w:rPr>
          <w:fldChar w:fldCharType="separate"/>
        </w:r>
        <w:r w:rsidR="00623E14" w:rsidRPr="00800D1B">
          <w:rPr>
            <w:lang w:val="sv-SE"/>
          </w:rPr>
          <w:t>38</w:t>
        </w:r>
        <w:r w:rsidR="00623E14" w:rsidRPr="00800D1B">
          <w:rPr>
            <w:lang w:val="sv-SE"/>
          </w:rPr>
          <w:fldChar w:fldCharType="end"/>
        </w:r>
      </w:hyperlink>
    </w:p>
    <w:p w14:paraId="2D06541D" w14:textId="77777777" w:rsidR="003422DB" w:rsidRPr="00800D1B" w:rsidRDefault="00000000" w:rsidP="004F0B72">
      <w:pPr>
        <w:pStyle w:val="Innehll4"/>
        <w:rPr>
          <w:rFonts w:ascii="Calibri" w:hAnsi="Calibri"/>
          <w:sz w:val="22"/>
          <w:lang w:val="sv-SE"/>
        </w:rPr>
      </w:pPr>
      <w:hyperlink w:anchor="_Toc256000283" w:history="1">
        <w:r w:rsidR="00A77B3E" w:rsidRPr="00800D1B">
          <w:rPr>
            <w:rStyle w:val="Hyperlnk"/>
            <w:lang w:val="sv-SE"/>
          </w:rPr>
          <w:t>2.1.1.1.1. Interventioner inom ramen för fonderna</w:t>
        </w:r>
        <w:r w:rsidR="00623E14" w:rsidRPr="00800D1B">
          <w:rPr>
            <w:lang w:val="sv-SE"/>
          </w:rPr>
          <w:tab/>
        </w:r>
        <w:r w:rsidR="00623E14" w:rsidRPr="00800D1B">
          <w:rPr>
            <w:lang w:val="sv-SE"/>
          </w:rPr>
          <w:fldChar w:fldCharType="begin"/>
        </w:r>
        <w:r w:rsidR="00623E14" w:rsidRPr="00800D1B">
          <w:rPr>
            <w:lang w:val="sv-SE"/>
          </w:rPr>
          <w:instrText xml:space="preserve"> PAGEREF _Toc256000283 \h </w:instrText>
        </w:r>
        <w:r w:rsidR="00623E14" w:rsidRPr="00800D1B">
          <w:rPr>
            <w:lang w:val="sv-SE"/>
          </w:rPr>
        </w:r>
        <w:r w:rsidR="00623E14" w:rsidRPr="00800D1B">
          <w:rPr>
            <w:lang w:val="sv-SE"/>
          </w:rPr>
          <w:fldChar w:fldCharType="separate"/>
        </w:r>
        <w:r w:rsidR="00623E14" w:rsidRPr="00800D1B">
          <w:rPr>
            <w:lang w:val="sv-SE"/>
          </w:rPr>
          <w:t>38</w:t>
        </w:r>
        <w:r w:rsidR="00623E14" w:rsidRPr="00800D1B">
          <w:rPr>
            <w:lang w:val="sv-SE"/>
          </w:rPr>
          <w:fldChar w:fldCharType="end"/>
        </w:r>
      </w:hyperlink>
    </w:p>
    <w:p w14:paraId="2D06541E" w14:textId="77777777" w:rsidR="003422DB" w:rsidRPr="00800D1B" w:rsidRDefault="00000000">
      <w:pPr>
        <w:pStyle w:val="Innehll5"/>
        <w:tabs>
          <w:tab w:val="right" w:leader="dot" w:pos="10240"/>
        </w:tabs>
        <w:rPr>
          <w:rFonts w:ascii="Calibri" w:hAnsi="Calibri"/>
          <w:sz w:val="22"/>
          <w:lang w:val="sv-SE"/>
        </w:rPr>
      </w:pPr>
      <w:hyperlink w:anchor="_Toc256000284" w:history="1">
        <w:r w:rsidR="00A77B3E" w:rsidRPr="00800D1B">
          <w:rPr>
            <w:rStyle w:val="Hyperlnk"/>
            <w:lang w:val="sv-SE"/>
          </w:rPr>
          <w:t>Relaterade typer av åtgärder – artikel 22.3 d i i förordningen om gemensamma bestämmelser och artikel 6 i ESF+-förordningen</w:t>
        </w:r>
        <w:r w:rsidR="00623E14" w:rsidRPr="00800D1B">
          <w:rPr>
            <w:lang w:val="sv-SE"/>
          </w:rPr>
          <w:tab/>
        </w:r>
        <w:r w:rsidR="00623E14" w:rsidRPr="00800D1B">
          <w:rPr>
            <w:lang w:val="sv-SE"/>
          </w:rPr>
          <w:fldChar w:fldCharType="begin"/>
        </w:r>
        <w:r w:rsidR="00623E14" w:rsidRPr="00800D1B">
          <w:rPr>
            <w:lang w:val="sv-SE"/>
          </w:rPr>
          <w:instrText xml:space="preserve"> PAGEREF _Toc256000284 \h </w:instrText>
        </w:r>
        <w:r w:rsidR="00623E14" w:rsidRPr="00800D1B">
          <w:rPr>
            <w:lang w:val="sv-SE"/>
          </w:rPr>
        </w:r>
        <w:r w:rsidR="00623E14" w:rsidRPr="00800D1B">
          <w:rPr>
            <w:lang w:val="sv-SE"/>
          </w:rPr>
          <w:fldChar w:fldCharType="separate"/>
        </w:r>
        <w:r w:rsidR="00623E14" w:rsidRPr="00800D1B">
          <w:rPr>
            <w:lang w:val="sv-SE"/>
          </w:rPr>
          <w:t>38</w:t>
        </w:r>
        <w:r w:rsidR="00623E14" w:rsidRPr="00800D1B">
          <w:rPr>
            <w:lang w:val="sv-SE"/>
          </w:rPr>
          <w:fldChar w:fldCharType="end"/>
        </w:r>
      </w:hyperlink>
    </w:p>
    <w:p w14:paraId="2D06541F" w14:textId="77777777" w:rsidR="003422DB" w:rsidRPr="00800D1B" w:rsidRDefault="00000000">
      <w:pPr>
        <w:pStyle w:val="Innehll5"/>
        <w:tabs>
          <w:tab w:val="right" w:leader="dot" w:pos="10240"/>
        </w:tabs>
        <w:rPr>
          <w:rFonts w:ascii="Calibri" w:hAnsi="Calibri"/>
          <w:sz w:val="22"/>
          <w:lang w:val="sv-SE"/>
        </w:rPr>
      </w:pPr>
      <w:hyperlink w:anchor="_Toc256000285" w:history="1">
        <w:r w:rsidR="00A77B3E" w:rsidRPr="00800D1B">
          <w:rPr>
            <w:rStyle w:val="Hyperlnk"/>
            <w:lang w:val="sv-SE"/>
          </w:rPr>
          <w:t>Huvudsakliga målgrupper – artikel 22.3 d iii i förordningen om gemensamma bestämmelser</w:t>
        </w:r>
        <w:r w:rsidR="00623E14" w:rsidRPr="00800D1B">
          <w:rPr>
            <w:lang w:val="sv-SE"/>
          </w:rPr>
          <w:tab/>
        </w:r>
        <w:r w:rsidR="00623E14" w:rsidRPr="00800D1B">
          <w:rPr>
            <w:lang w:val="sv-SE"/>
          </w:rPr>
          <w:fldChar w:fldCharType="begin"/>
        </w:r>
        <w:r w:rsidR="00623E14" w:rsidRPr="00800D1B">
          <w:rPr>
            <w:lang w:val="sv-SE"/>
          </w:rPr>
          <w:instrText xml:space="preserve"> PAGEREF _Toc256000285 \h </w:instrText>
        </w:r>
        <w:r w:rsidR="00623E14" w:rsidRPr="00800D1B">
          <w:rPr>
            <w:lang w:val="sv-SE"/>
          </w:rPr>
        </w:r>
        <w:r w:rsidR="00623E14" w:rsidRPr="00800D1B">
          <w:rPr>
            <w:lang w:val="sv-SE"/>
          </w:rPr>
          <w:fldChar w:fldCharType="separate"/>
        </w:r>
        <w:r w:rsidR="00623E14" w:rsidRPr="00800D1B">
          <w:rPr>
            <w:lang w:val="sv-SE"/>
          </w:rPr>
          <w:t>39</w:t>
        </w:r>
        <w:r w:rsidR="00623E14" w:rsidRPr="00800D1B">
          <w:rPr>
            <w:lang w:val="sv-SE"/>
          </w:rPr>
          <w:fldChar w:fldCharType="end"/>
        </w:r>
      </w:hyperlink>
    </w:p>
    <w:p w14:paraId="2D065420" w14:textId="77777777" w:rsidR="003422DB" w:rsidRPr="00800D1B" w:rsidRDefault="00000000">
      <w:pPr>
        <w:pStyle w:val="Innehll5"/>
        <w:tabs>
          <w:tab w:val="right" w:leader="dot" w:pos="10240"/>
        </w:tabs>
        <w:rPr>
          <w:rFonts w:ascii="Calibri" w:hAnsi="Calibri"/>
          <w:sz w:val="22"/>
          <w:lang w:val="sv-SE"/>
        </w:rPr>
      </w:pPr>
      <w:hyperlink w:anchor="_Toc256000286" w:history="1">
        <w:r w:rsidR="00A77B3E" w:rsidRPr="00800D1B">
          <w:rPr>
            <w:rStyle w:val="Hyperlnk"/>
            <w:lang w:val="sv-SE"/>
          </w:rPr>
          <w:t>Åtgärder för säkerställande av jämställdhet, inkludering och icke-diskriminering – artikel 22.3 d iv i förordningen om gemensamma bestämmelser och artikel 6 i ESF+-förordningen</w:t>
        </w:r>
        <w:r w:rsidR="00623E14" w:rsidRPr="00800D1B">
          <w:rPr>
            <w:lang w:val="sv-SE"/>
          </w:rPr>
          <w:tab/>
        </w:r>
        <w:r w:rsidR="00623E14" w:rsidRPr="00800D1B">
          <w:rPr>
            <w:lang w:val="sv-SE"/>
          </w:rPr>
          <w:fldChar w:fldCharType="begin"/>
        </w:r>
        <w:r w:rsidR="00623E14" w:rsidRPr="00800D1B">
          <w:rPr>
            <w:lang w:val="sv-SE"/>
          </w:rPr>
          <w:instrText xml:space="preserve"> PAGEREF _Toc256000286 \h </w:instrText>
        </w:r>
        <w:r w:rsidR="00623E14" w:rsidRPr="00800D1B">
          <w:rPr>
            <w:lang w:val="sv-SE"/>
          </w:rPr>
        </w:r>
        <w:r w:rsidR="00623E14" w:rsidRPr="00800D1B">
          <w:rPr>
            <w:lang w:val="sv-SE"/>
          </w:rPr>
          <w:fldChar w:fldCharType="separate"/>
        </w:r>
        <w:r w:rsidR="00623E14" w:rsidRPr="00800D1B">
          <w:rPr>
            <w:lang w:val="sv-SE"/>
          </w:rPr>
          <w:t>40</w:t>
        </w:r>
        <w:r w:rsidR="00623E14" w:rsidRPr="00800D1B">
          <w:rPr>
            <w:lang w:val="sv-SE"/>
          </w:rPr>
          <w:fldChar w:fldCharType="end"/>
        </w:r>
      </w:hyperlink>
    </w:p>
    <w:p w14:paraId="2D065421" w14:textId="77777777" w:rsidR="003422DB" w:rsidRPr="00800D1B" w:rsidRDefault="00000000">
      <w:pPr>
        <w:pStyle w:val="Innehll5"/>
        <w:tabs>
          <w:tab w:val="right" w:leader="dot" w:pos="10240"/>
        </w:tabs>
        <w:rPr>
          <w:rFonts w:ascii="Calibri" w:hAnsi="Calibri"/>
          <w:sz w:val="22"/>
          <w:lang w:val="sv-SE"/>
        </w:rPr>
      </w:pPr>
      <w:hyperlink w:anchor="_Toc256000287" w:history="1">
        <w:r w:rsidR="00A77B3E" w:rsidRPr="00800D1B">
          <w:rPr>
            <w:rStyle w:val="Hyperlnk"/>
            <w:lang w:val="sv-SE"/>
          </w:rPr>
          <w:t>Angivande av de specifika målterritorierna, inbegripet planerad användning av territoriella verktyg – artikel 22.3 d v i förordningen om gemensamma bestämmelser</w:t>
        </w:r>
        <w:r w:rsidR="00623E14" w:rsidRPr="00800D1B">
          <w:rPr>
            <w:lang w:val="sv-SE"/>
          </w:rPr>
          <w:tab/>
        </w:r>
        <w:r w:rsidR="00623E14" w:rsidRPr="00800D1B">
          <w:rPr>
            <w:lang w:val="sv-SE"/>
          </w:rPr>
          <w:fldChar w:fldCharType="begin"/>
        </w:r>
        <w:r w:rsidR="00623E14" w:rsidRPr="00800D1B">
          <w:rPr>
            <w:lang w:val="sv-SE"/>
          </w:rPr>
          <w:instrText xml:space="preserve"> PAGEREF _Toc256000287 \h </w:instrText>
        </w:r>
        <w:r w:rsidR="00623E14" w:rsidRPr="00800D1B">
          <w:rPr>
            <w:lang w:val="sv-SE"/>
          </w:rPr>
        </w:r>
        <w:r w:rsidR="00623E14" w:rsidRPr="00800D1B">
          <w:rPr>
            <w:lang w:val="sv-SE"/>
          </w:rPr>
          <w:fldChar w:fldCharType="separate"/>
        </w:r>
        <w:r w:rsidR="00623E14" w:rsidRPr="00800D1B">
          <w:rPr>
            <w:lang w:val="sv-SE"/>
          </w:rPr>
          <w:t>40</w:t>
        </w:r>
        <w:r w:rsidR="00623E14" w:rsidRPr="00800D1B">
          <w:rPr>
            <w:lang w:val="sv-SE"/>
          </w:rPr>
          <w:fldChar w:fldCharType="end"/>
        </w:r>
      </w:hyperlink>
    </w:p>
    <w:p w14:paraId="2D065422" w14:textId="77777777" w:rsidR="003422DB" w:rsidRPr="00800D1B" w:rsidRDefault="00000000">
      <w:pPr>
        <w:pStyle w:val="Innehll5"/>
        <w:tabs>
          <w:tab w:val="right" w:leader="dot" w:pos="10240"/>
        </w:tabs>
        <w:rPr>
          <w:rFonts w:ascii="Calibri" w:hAnsi="Calibri"/>
          <w:sz w:val="22"/>
          <w:lang w:val="sv-SE"/>
        </w:rPr>
      </w:pPr>
      <w:hyperlink w:anchor="_Toc256000288" w:history="1">
        <w:r w:rsidR="00A77B3E" w:rsidRPr="00800D1B">
          <w:rPr>
            <w:rStyle w:val="Hyperlnk"/>
            <w:lang w:val="sv-SE"/>
          </w:rPr>
          <w:t>Interregionala, gränsregionala och transnationella åtgärder – artikel 22.3 d vi i förordningen om gemensamma bestämmelser</w:t>
        </w:r>
        <w:r w:rsidR="00623E14" w:rsidRPr="00800D1B">
          <w:rPr>
            <w:lang w:val="sv-SE"/>
          </w:rPr>
          <w:tab/>
        </w:r>
        <w:r w:rsidR="00623E14" w:rsidRPr="00800D1B">
          <w:rPr>
            <w:lang w:val="sv-SE"/>
          </w:rPr>
          <w:fldChar w:fldCharType="begin"/>
        </w:r>
        <w:r w:rsidR="00623E14" w:rsidRPr="00800D1B">
          <w:rPr>
            <w:lang w:val="sv-SE"/>
          </w:rPr>
          <w:instrText xml:space="preserve"> PAGEREF _Toc256000288 \h </w:instrText>
        </w:r>
        <w:r w:rsidR="00623E14" w:rsidRPr="00800D1B">
          <w:rPr>
            <w:lang w:val="sv-SE"/>
          </w:rPr>
        </w:r>
        <w:r w:rsidR="00623E14" w:rsidRPr="00800D1B">
          <w:rPr>
            <w:lang w:val="sv-SE"/>
          </w:rPr>
          <w:fldChar w:fldCharType="separate"/>
        </w:r>
        <w:r w:rsidR="00623E14" w:rsidRPr="00800D1B">
          <w:rPr>
            <w:lang w:val="sv-SE"/>
          </w:rPr>
          <w:t>40</w:t>
        </w:r>
        <w:r w:rsidR="00623E14" w:rsidRPr="00800D1B">
          <w:rPr>
            <w:lang w:val="sv-SE"/>
          </w:rPr>
          <w:fldChar w:fldCharType="end"/>
        </w:r>
      </w:hyperlink>
    </w:p>
    <w:p w14:paraId="2D065423" w14:textId="77777777" w:rsidR="003422DB" w:rsidRPr="00800D1B" w:rsidRDefault="00000000">
      <w:pPr>
        <w:pStyle w:val="Innehll5"/>
        <w:tabs>
          <w:tab w:val="right" w:leader="dot" w:pos="10240"/>
        </w:tabs>
        <w:rPr>
          <w:rFonts w:ascii="Calibri" w:hAnsi="Calibri"/>
          <w:sz w:val="22"/>
          <w:lang w:val="sv-SE"/>
        </w:rPr>
      </w:pPr>
      <w:hyperlink w:anchor="_Toc256000289" w:history="1">
        <w:r w:rsidR="00A77B3E" w:rsidRPr="00800D1B">
          <w:rPr>
            <w:rStyle w:val="Hyperlnk"/>
            <w:lang w:val="sv-SE"/>
          </w:rPr>
          <w:t>Planerad användning av finansieringsinstrument – artikel 22.3 d vii i förordningen om gemensamma bestämmelser</w:t>
        </w:r>
        <w:r w:rsidR="00623E14" w:rsidRPr="00800D1B">
          <w:rPr>
            <w:lang w:val="sv-SE"/>
          </w:rPr>
          <w:tab/>
        </w:r>
        <w:r w:rsidR="00623E14" w:rsidRPr="00800D1B">
          <w:rPr>
            <w:lang w:val="sv-SE"/>
          </w:rPr>
          <w:fldChar w:fldCharType="begin"/>
        </w:r>
        <w:r w:rsidR="00623E14" w:rsidRPr="00800D1B">
          <w:rPr>
            <w:lang w:val="sv-SE"/>
          </w:rPr>
          <w:instrText xml:space="preserve"> PAGEREF _Toc256000289 \h </w:instrText>
        </w:r>
        <w:r w:rsidR="00623E14" w:rsidRPr="00800D1B">
          <w:rPr>
            <w:lang w:val="sv-SE"/>
          </w:rPr>
        </w:r>
        <w:r w:rsidR="00623E14" w:rsidRPr="00800D1B">
          <w:rPr>
            <w:lang w:val="sv-SE"/>
          </w:rPr>
          <w:fldChar w:fldCharType="separate"/>
        </w:r>
        <w:r w:rsidR="00623E14" w:rsidRPr="00800D1B">
          <w:rPr>
            <w:lang w:val="sv-SE"/>
          </w:rPr>
          <w:t>41</w:t>
        </w:r>
        <w:r w:rsidR="00623E14" w:rsidRPr="00800D1B">
          <w:rPr>
            <w:lang w:val="sv-SE"/>
          </w:rPr>
          <w:fldChar w:fldCharType="end"/>
        </w:r>
      </w:hyperlink>
    </w:p>
    <w:p w14:paraId="2D065424" w14:textId="77777777" w:rsidR="003422DB" w:rsidRPr="00800D1B" w:rsidRDefault="00000000" w:rsidP="004F0B72">
      <w:pPr>
        <w:pStyle w:val="Innehll4"/>
        <w:rPr>
          <w:rFonts w:ascii="Calibri" w:hAnsi="Calibri"/>
          <w:sz w:val="22"/>
          <w:lang w:val="sv-SE"/>
        </w:rPr>
      </w:pPr>
      <w:hyperlink w:anchor="_Toc256000290" w:history="1">
        <w:r w:rsidR="00A77B3E" w:rsidRPr="00800D1B">
          <w:rPr>
            <w:rStyle w:val="Hyperlnk"/>
            <w:lang w:val="sv-SE"/>
          </w:rPr>
          <w:t>2.1.1.1.2. Indikatorer</w:t>
        </w:r>
        <w:r w:rsidR="00623E14" w:rsidRPr="00800D1B">
          <w:rPr>
            <w:lang w:val="sv-SE"/>
          </w:rPr>
          <w:tab/>
        </w:r>
        <w:r w:rsidR="00623E14" w:rsidRPr="00800D1B">
          <w:rPr>
            <w:lang w:val="sv-SE"/>
          </w:rPr>
          <w:fldChar w:fldCharType="begin"/>
        </w:r>
        <w:r w:rsidR="00623E14" w:rsidRPr="00800D1B">
          <w:rPr>
            <w:lang w:val="sv-SE"/>
          </w:rPr>
          <w:instrText xml:space="preserve"> PAGEREF _Toc256000290 \h </w:instrText>
        </w:r>
        <w:r w:rsidR="00623E14" w:rsidRPr="00800D1B">
          <w:rPr>
            <w:lang w:val="sv-SE"/>
          </w:rPr>
        </w:r>
        <w:r w:rsidR="00623E14" w:rsidRPr="00800D1B">
          <w:rPr>
            <w:lang w:val="sv-SE"/>
          </w:rPr>
          <w:fldChar w:fldCharType="separate"/>
        </w:r>
        <w:r w:rsidR="00623E14" w:rsidRPr="00800D1B">
          <w:rPr>
            <w:lang w:val="sv-SE"/>
          </w:rPr>
          <w:t>41</w:t>
        </w:r>
        <w:r w:rsidR="00623E14" w:rsidRPr="00800D1B">
          <w:rPr>
            <w:lang w:val="sv-SE"/>
          </w:rPr>
          <w:fldChar w:fldCharType="end"/>
        </w:r>
      </w:hyperlink>
    </w:p>
    <w:p w14:paraId="2D065425" w14:textId="77777777" w:rsidR="003422DB" w:rsidRPr="00800D1B" w:rsidRDefault="00000000">
      <w:pPr>
        <w:pStyle w:val="Innehll5"/>
        <w:tabs>
          <w:tab w:val="right" w:leader="dot" w:pos="10240"/>
        </w:tabs>
        <w:rPr>
          <w:rFonts w:ascii="Calibri" w:hAnsi="Calibri"/>
          <w:sz w:val="22"/>
          <w:lang w:val="sv-SE"/>
        </w:rPr>
      </w:pPr>
      <w:hyperlink w:anchor="_Toc256000291" w:history="1">
        <w:r w:rsidR="00A77B3E" w:rsidRPr="00800D1B">
          <w:rPr>
            <w:rStyle w:val="Hyperlnk"/>
            <w:lang w:val="sv-SE"/>
          </w:rPr>
          <w:t>Tabell 2: Utfallsindikatorer</w:t>
        </w:r>
        <w:r w:rsidR="00623E14" w:rsidRPr="00800D1B">
          <w:rPr>
            <w:lang w:val="sv-SE"/>
          </w:rPr>
          <w:tab/>
        </w:r>
        <w:r w:rsidR="00623E14" w:rsidRPr="00800D1B">
          <w:rPr>
            <w:lang w:val="sv-SE"/>
          </w:rPr>
          <w:fldChar w:fldCharType="begin"/>
        </w:r>
        <w:r w:rsidR="00623E14" w:rsidRPr="00800D1B">
          <w:rPr>
            <w:lang w:val="sv-SE"/>
          </w:rPr>
          <w:instrText xml:space="preserve"> PAGEREF _Toc256000291 \h </w:instrText>
        </w:r>
        <w:r w:rsidR="00623E14" w:rsidRPr="00800D1B">
          <w:rPr>
            <w:lang w:val="sv-SE"/>
          </w:rPr>
        </w:r>
        <w:r w:rsidR="00623E14" w:rsidRPr="00800D1B">
          <w:rPr>
            <w:lang w:val="sv-SE"/>
          </w:rPr>
          <w:fldChar w:fldCharType="separate"/>
        </w:r>
        <w:r w:rsidR="00623E14" w:rsidRPr="00800D1B">
          <w:rPr>
            <w:lang w:val="sv-SE"/>
          </w:rPr>
          <w:t>41</w:t>
        </w:r>
        <w:r w:rsidR="00623E14" w:rsidRPr="00800D1B">
          <w:rPr>
            <w:lang w:val="sv-SE"/>
          </w:rPr>
          <w:fldChar w:fldCharType="end"/>
        </w:r>
      </w:hyperlink>
    </w:p>
    <w:p w14:paraId="2D065426" w14:textId="77777777" w:rsidR="003422DB" w:rsidRPr="00800D1B" w:rsidRDefault="00000000">
      <w:pPr>
        <w:pStyle w:val="Innehll5"/>
        <w:tabs>
          <w:tab w:val="right" w:leader="dot" w:pos="10240"/>
        </w:tabs>
        <w:rPr>
          <w:rFonts w:ascii="Calibri" w:hAnsi="Calibri"/>
          <w:sz w:val="22"/>
          <w:lang w:val="sv-SE"/>
        </w:rPr>
      </w:pPr>
      <w:hyperlink w:anchor="_Toc256000292" w:history="1">
        <w:r w:rsidR="00A77B3E" w:rsidRPr="00800D1B">
          <w:rPr>
            <w:rStyle w:val="Hyperlnk"/>
            <w:lang w:val="sv-SE"/>
          </w:rPr>
          <w:t>Tabell 3: Resultatindikatorer</w:t>
        </w:r>
        <w:r w:rsidR="00623E14" w:rsidRPr="00800D1B">
          <w:rPr>
            <w:lang w:val="sv-SE"/>
          </w:rPr>
          <w:tab/>
        </w:r>
        <w:r w:rsidR="00623E14" w:rsidRPr="00800D1B">
          <w:rPr>
            <w:lang w:val="sv-SE"/>
          </w:rPr>
          <w:fldChar w:fldCharType="begin"/>
        </w:r>
        <w:r w:rsidR="00623E14" w:rsidRPr="00800D1B">
          <w:rPr>
            <w:lang w:val="sv-SE"/>
          </w:rPr>
          <w:instrText xml:space="preserve"> PAGEREF _Toc256000292 \h </w:instrText>
        </w:r>
        <w:r w:rsidR="00623E14" w:rsidRPr="00800D1B">
          <w:rPr>
            <w:lang w:val="sv-SE"/>
          </w:rPr>
        </w:r>
        <w:r w:rsidR="00623E14" w:rsidRPr="00800D1B">
          <w:rPr>
            <w:lang w:val="sv-SE"/>
          </w:rPr>
          <w:fldChar w:fldCharType="separate"/>
        </w:r>
        <w:r w:rsidR="00623E14" w:rsidRPr="00800D1B">
          <w:rPr>
            <w:lang w:val="sv-SE"/>
          </w:rPr>
          <w:t>42</w:t>
        </w:r>
        <w:r w:rsidR="00623E14" w:rsidRPr="00800D1B">
          <w:rPr>
            <w:lang w:val="sv-SE"/>
          </w:rPr>
          <w:fldChar w:fldCharType="end"/>
        </w:r>
      </w:hyperlink>
    </w:p>
    <w:p w14:paraId="2D065427" w14:textId="77777777" w:rsidR="003422DB" w:rsidRPr="00800D1B" w:rsidRDefault="00000000" w:rsidP="004F0B72">
      <w:pPr>
        <w:pStyle w:val="Innehll4"/>
        <w:rPr>
          <w:rFonts w:ascii="Calibri" w:hAnsi="Calibri"/>
          <w:sz w:val="22"/>
          <w:lang w:val="sv-SE"/>
        </w:rPr>
      </w:pPr>
      <w:hyperlink w:anchor="_Toc256000293" w:history="1">
        <w:r w:rsidR="00A77B3E" w:rsidRPr="00800D1B">
          <w:rPr>
            <w:rStyle w:val="Hyperlnk"/>
            <w:lang w:val="sv-SE"/>
          </w:rPr>
          <w:t>2.1.1.1.3. Preliminär fördelning av anslagna (EU-)medel efter interventionstyp</w:t>
        </w:r>
        <w:r w:rsidR="00623E14" w:rsidRPr="00800D1B">
          <w:rPr>
            <w:lang w:val="sv-SE"/>
          </w:rPr>
          <w:tab/>
        </w:r>
        <w:r w:rsidR="00623E14" w:rsidRPr="00800D1B">
          <w:rPr>
            <w:lang w:val="sv-SE"/>
          </w:rPr>
          <w:fldChar w:fldCharType="begin"/>
        </w:r>
        <w:r w:rsidR="00623E14" w:rsidRPr="00800D1B">
          <w:rPr>
            <w:lang w:val="sv-SE"/>
          </w:rPr>
          <w:instrText xml:space="preserve"> PAGEREF _Toc256000293 \h </w:instrText>
        </w:r>
        <w:r w:rsidR="00623E14" w:rsidRPr="00800D1B">
          <w:rPr>
            <w:lang w:val="sv-SE"/>
          </w:rPr>
        </w:r>
        <w:r w:rsidR="00623E14" w:rsidRPr="00800D1B">
          <w:rPr>
            <w:lang w:val="sv-SE"/>
          </w:rPr>
          <w:fldChar w:fldCharType="separate"/>
        </w:r>
        <w:r w:rsidR="00623E14" w:rsidRPr="00800D1B">
          <w:rPr>
            <w:lang w:val="sv-SE"/>
          </w:rPr>
          <w:t>43</w:t>
        </w:r>
        <w:r w:rsidR="00623E14" w:rsidRPr="00800D1B">
          <w:rPr>
            <w:lang w:val="sv-SE"/>
          </w:rPr>
          <w:fldChar w:fldCharType="end"/>
        </w:r>
      </w:hyperlink>
    </w:p>
    <w:p w14:paraId="2D065428" w14:textId="77777777" w:rsidR="003422DB" w:rsidRPr="00800D1B" w:rsidRDefault="00000000">
      <w:pPr>
        <w:pStyle w:val="Innehll5"/>
        <w:tabs>
          <w:tab w:val="right" w:leader="dot" w:pos="10240"/>
        </w:tabs>
        <w:rPr>
          <w:rFonts w:ascii="Calibri" w:hAnsi="Calibri"/>
          <w:sz w:val="22"/>
          <w:lang w:val="sv-SE"/>
        </w:rPr>
      </w:pPr>
      <w:hyperlink w:anchor="_Toc256000294" w:history="1">
        <w:r w:rsidR="00A77B3E" w:rsidRPr="00800D1B">
          <w:rPr>
            <w:rStyle w:val="Hyperlnk"/>
            <w:lang w:val="sv-SE"/>
          </w:rPr>
          <w:t>Tabell 4: Dimension 1 – interventionsområde</w:t>
        </w:r>
        <w:r w:rsidR="00623E14" w:rsidRPr="00800D1B">
          <w:rPr>
            <w:lang w:val="sv-SE"/>
          </w:rPr>
          <w:tab/>
        </w:r>
        <w:r w:rsidR="00623E14" w:rsidRPr="00800D1B">
          <w:rPr>
            <w:lang w:val="sv-SE"/>
          </w:rPr>
          <w:fldChar w:fldCharType="begin"/>
        </w:r>
        <w:r w:rsidR="00623E14" w:rsidRPr="00800D1B">
          <w:rPr>
            <w:lang w:val="sv-SE"/>
          </w:rPr>
          <w:instrText xml:space="preserve"> PAGEREF _Toc256000294 \h </w:instrText>
        </w:r>
        <w:r w:rsidR="00623E14" w:rsidRPr="00800D1B">
          <w:rPr>
            <w:lang w:val="sv-SE"/>
          </w:rPr>
        </w:r>
        <w:r w:rsidR="00623E14" w:rsidRPr="00800D1B">
          <w:rPr>
            <w:lang w:val="sv-SE"/>
          </w:rPr>
          <w:fldChar w:fldCharType="separate"/>
        </w:r>
        <w:r w:rsidR="00623E14" w:rsidRPr="00800D1B">
          <w:rPr>
            <w:lang w:val="sv-SE"/>
          </w:rPr>
          <w:t>43</w:t>
        </w:r>
        <w:r w:rsidR="00623E14" w:rsidRPr="00800D1B">
          <w:rPr>
            <w:lang w:val="sv-SE"/>
          </w:rPr>
          <w:fldChar w:fldCharType="end"/>
        </w:r>
      </w:hyperlink>
    </w:p>
    <w:p w14:paraId="2D065429" w14:textId="77777777" w:rsidR="003422DB" w:rsidRPr="00800D1B" w:rsidRDefault="00000000">
      <w:pPr>
        <w:pStyle w:val="Innehll5"/>
        <w:tabs>
          <w:tab w:val="right" w:leader="dot" w:pos="10240"/>
        </w:tabs>
        <w:rPr>
          <w:rFonts w:ascii="Calibri" w:hAnsi="Calibri"/>
          <w:sz w:val="22"/>
          <w:lang w:val="sv-SE"/>
        </w:rPr>
      </w:pPr>
      <w:hyperlink w:anchor="_Toc256000295" w:history="1">
        <w:r w:rsidR="00A77B3E" w:rsidRPr="00800D1B">
          <w:rPr>
            <w:rStyle w:val="Hyperlnk"/>
            <w:lang w:val="sv-SE"/>
          </w:rPr>
          <w:t>Tabell 5: Dimension 2 – finansieringsform</w:t>
        </w:r>
        <w:r w:rsidR="00623E14" w:rsidRPr="00800D1B">
          <w:rPr>
            <w:lang w:val="sv-SE"/>
          </w:rPr>
          <w:tab/>
        </w:r>
        <w:r w:rsidR="00623E14" w:rsidRPr="00800D1B">
          <w:rPr>
            <w:lang w:val="sv-SE"/>
          </w:rPr>
          <w:fldChar w:fldCharType="begin"/>
        </w:r>
        <w:r w:rsidR="00623E14" w:rsidRPr="00800D1B">
          <w:rPr>
            <w:lang w:val="sv-SE"/>
          </w:rPr>
          <w:instrText xml:space="preserve"> PAGEREF _Toc256000295 \h </w:instrText>
        </w:r>
        <w:r w:rsidR="00623E14" w:rsidRPr="00800D1B">
          <w:rPr>
            <w:lang w:val="sv-SE"/>
          </w:rPr>
        </w:r>
        <w:r w:rsidR="00623E14" w:rsidRPr="00800D1B">
          <w:rPr>
            <w:lang w:val="sv-SE"/>
          </w:rPr>
          <w:fldChar w:fldCharType="separate"/>
        </w:r>
        <w:r w:rsidR="00623E14" w:rsidRPr="00800D1B">
          <w:rPr>
            <w:lang w:val="sv-SE"/>
          </w:rPr>
          <w:t>44</w:t>
        </w:r>
        <w:r w:rsidR="00623E14" w:rsidRPr="00800D1B">
          <w:rPr>
            <w:lang w:val="sv-SE"/>
          </w:rPr>
          <w:fldChar w:fldCharType="end"/>
        </w:r>
      </w:hyperlink>
    </w:p>
    <w:p w14:paraId="2D06542A" w14:textId="77777777" w:rsidR="003422DB" w:rsidRPr="00800D1B" w:rsidRDefault="00000000">
      <w:pPr>
        <w:pStyle w:val="Innehll5"/>
        <w:tabs>
          <w:tab w:val="right" w:leader="dot" w:pos="10240"/>
        </w:tabs>
        <w:rPr>
          <w:rFonts w:ascii="Calibri" w:hAnsi="Calibri"/>
          <w:sz w:val="22"/>
          <w:lang w:val="sv-SE"/>
        </w:rPr>
      </w:pPr>
      <w:hyperlink w:anchor="_Toc256000296" w:history="1">
        <w:r w:rsidR="00A77B3E" w:rsidRPr="00800D1B">
          <w:rPr>
            <w:rStyle w:val="Hyperlnk"/>
            <w:lang w:val="sv-SE"/>
          </w:rPr>
          <w:t>Tabell 6: Dimension 3 – territoriell genomförandemetod och territoriellt fokus</w:t>
        </w:r>
        <w:r w:rsidR="00623E14" w:rsidRPr="00800D1B">
          <w:rPr>
            <w:lang w:val="sv-SE"/>
          </w:rPr>
          <w:tab/>
        </w:r>
        <w:r w:rsidR="00623E14" w:rsidRPr="00800D1B">
          <w:rPr>
            <w:lang w:val="sv-SE"/>
          </w:rPr>
          <w:fldChar w:fldCharType="begin"/>
        </w:r>
        <w:r w:rsidR="00623E14" w:rsidRPr="00800D1B">
          <w:rPr>
            <w:lang w:val="sv-SE"/>
          </w:rPr>
          <w:instrText xml:space="preserve"> PAGEREF _Toc256000296 \h </w:instrText>
        </w:r>
        <w:r w:rsidR="00623E14" w:rsidRPr="00800D1B">
          <w:rPr>
            <w:lang w:val="sv-SE"/>
          </w:rPr>
        </w:r>
        <w:r w:rsidR="00623E14" w:rsidRPr="00800D1B">
          <w:rPr>
            <w:lang w:val="sv-SE"/>
          </w:rPr>
          <w:fldChar w:fldCharType="separate"/>
        </w:r>
        <w:r w:rsidR="00623E14" w:rsidRPr="00800D1B">
          <w:rPr>
            <w:lang w:val="sv-SE"/>
          </w:rPr>
          <w:t>44</w:t>
        </w:r>
        <w:r w:rsidR="00623E14" w:rsidRPr="00800D1B">
          <w:rPr>
            <w:lang w:val="sv-SE"/>
          </w:rPr>
          <w:fldChar w:fldCharType="end"/>
        </w:r>
      </w:hyperlink>
    </w:p>
    <w:p w14:paraId="2D06542B" w14:textId="77777777" w:rsidR="003422DB" w:rsidRPr="00800D1B" w:rsidRDefault="00000000">
      <w:pPr>
        <w:pStyle w:val="Innehll5"/>
        <w:tabs>
          <w:tab w:val="right" w:leader="dot" w:pos="10240"/>
        </w:tabs>
        <w:rPr>
          <w:rFonts w:ascii="Calibri" w:hAnsi="Calibri"/>
          <w:sz w:val="22"/>
          <w:lang w:val="sv-SE"/>
        </w:rPr>
      </w:pPr>
      <w:hyperlink w:anchor="_Toc256000297" w:history="1">
        <w:r w:rsidR="00A77B3E" w:rsidRPr="00800D1B">
          <w:rPr>
            <w:rStyle w:val="Hyperlnk"/>
            <w:lang w:val="sv-SE"/>
          </w:rPr>
          <w:t>Tabell 7: Dimension 6 – ESF+-sekundärteman</w:t>
        </w:r>
        <w:r w:rsidR="00623E14" w:rsidRPr="00800D1B">
          <w:rPr>
            <w:lang w:val="sv-SE"/>
          </w:rPr>
          <w:tab/>
        </w:r>
        <w:r w:rsidR="00623E14" w:rsidRPr="00800D1B">
          <w:rPr>
            <w:lang w:val="sv-SE"/>
          </w:rPr>
          <w:fldChar w:fldCharType="begin"/>
        </w:r>
        <w:r w:rsidR="00623E14" w:rsidRPr="00800D1B">
          <w:rPr>
            <w:lang w:val="sv-SE"/>
          </w:rPr>
          <w:instrText xml:space="preserve"> PAGEREF _Toc256000297 \h </w:instrText>
        </w:r>
        <w:r w:rsidR="00623E14" w:rsidRPr="00800D1B">
          <w:rPr>
            <w:lang w:val="sv-SE"/>
          </w:rPr>
        </w:r>
        <w:r w:rsidR="00623E14" w:rsidRPr="00800D1B">
          <w:rPr>
            <w:lang w:val="sv-SE"/>
          </w:rPr>
          <w:fldChar w:fldCharType="separate"/>
        </w:r>
        <w:r w:rsidR="00623E14" w:rsidRPr="00800D1B">
          <w:rPr>
            <w:lang w:val="sv-SE"/>
          </w:rPr>
          <w:t>45</w:t>
        </w:r>
        <w:r w:rsidR="00623E14" w:rsidRPr="00800D1B">
          <w:rPr>
            <w:lang w:val="sv-SE"/>
          </w:rPr>
          <w:fldChar w:fldCharType="end"/>
        </w:r>
      </w:hyperlink>
    </w:p>
    <w:p w14:paraId="2D06542C" w14:textId="77777777" w:rsidR="003422DB" w:rsidRPr="00800D1B" w:rsidRDefault="00000000">
      <w:pPr>
        <w:pStyle w:val="Innehll5"/>
        <w:tabs>
          <w:tab w:val="right" w:leader="dot" w:pos="10240"/>
        </w:tabs>
        <w:rPr>
          <w:rFonts w:ascii="Calibri" w:hAnsi="Calibri"/>
          <w:sz w:val="22"/>
          <w:lang w:val="sv-SE"/>
        </w:rPr>
      </w:pPr>
      <w:hyperlink w:anchor="_Toc256000298" w:history="1">
        <w:r w:rsidR="00A77B3E" w:rsidRPr="00800D1B">
          <w:rPr>
            <w:rStyle w:val="Hyperlnk"/>
            <w:lang w:val="sv-SE"/>
          </w:rPr>
          <w:t>Tabell 8: Dimension 7 – ESF+, Eruf, Sammanhållningsfonden och FRO, jämställdhetsdimensionen</w:t>
        </w:r>
        <w:r w:rsidR="00623E14" w:rsidRPr="00800D1B">
          <w:rPr>
            <w:lang w:val="sv-SE"/>
          </w:rPr>
          <w:tab/>
        </w:r>
        <w:r w:rsidR="00623E14" w:rsidRPr="00800D1B">
          <w:rPr>
            <w:lang w:val="sv-SE"/>
          </w:rPr>
          <w:fldChar w:fldCharType="begin"/>
        </w:r>
        <w:r w:rsidR="00623E14" w:rsidRPr="00800D1B">
          <w:rPr>
            <w:lang w:val="sv-SE"/>
          </w:rPr>
          <w:instrText xml:space="preserve"> PAGEREF _Toc256000298 \h </w:instrText>
        </w:r>
        <w:r w:rsidR="00623E14" w:rsidRPr="00800D1B">
          <w:rPr>
            <w:lang w:val="sv-SE"/>
          </w:rPr>
        </w:r>
        <w:r w:rsidR="00623E14" w:rsidRPr="00800D1B">
          <w:rPr>
            <w:lang w:val="sv-SE"/>
          </w:rPr>
          <w:fldChar w:fldCharType="separate"/>
        </w:r>
        <w:r w:rsidR="00623E14" w:rsidRPr="00800D1B">
          <w:rPr>
            <w:lang w:val="sv-SE"/>
          </w:rPr>
          <w:t>45</w:t>
        </w:r>
        <w:r w:rsidR="00623E14" w:rsidRPr="00800D1B">
          <w:rPr>
            <w:lang w:val="sv-SE"/>
          </w:rPr>
          <w:fldChar w:fldCharType="end"/>
        </w:r>
      </w:hyperlink>
    </w:p>
    <w:p w14:paraId="2D06542D" w14:textId="77777777" w:rsidR="003422DB" w:rsidRPr="00800D1B" w:rsidRDefault="00000000" w:rsidP="004F0B72">
      <w:pPr>
        <w:pStyle w:val="Innehll4"/>
        <w:rPr>
          <w:rFonts w:ascii="Calibri" w:hAnsi="Calibri"/>
          <w:sz w:val="22"/>
          <w:lang w:val="sv-SE"/>
        </w:rPr>
      </w:pPr>
      <w:hyperlink w:anchor="_Toc256000299" w:history="1">
        <w:r w:rsidR="00A77B3E" w:rsidRPr="00800D1B">
          <w:rPr>
            <w:rStyle w:val="Hyperlnk"/>
            <w:lang w:val="sv-SE"/>
          </w:rPr>
          <w:t>2.1.1.1. Specifikt mål: RSO1.3. Förbättra de små och medelstora företagens hållbara tillväxt och konkurrenskraft och skapandet av arbetstillfällen i dessa företag, inbegripet genom produktiva investeringar (Eruf)</w:t>
        </w:r>
        <w:r w:rsidR="00623E14" w:rsidRPr="00800D1B">
          <w:rPr>
            <w:lang w:val="sv-SE"/>
          </w:rPr>
          <w:tab/>
        </w:r>
        <w:r w:rsidR="00623E14" w:rsidRPr="00800D1B">
          <w:rPr>
            <w:lang w:val="sv-SE"/>
          </w:rPr>
          <w:fldChar w:fldCharType="begin"/>
        </w:r>
        <w:r w:rsidR="00623E14" w:rsidRPr="00800D1B">
          <w:rPr>
            <w:lang w:val="sv-SE"/>
          </w:rPr>
          <w:instrText xml:space="preserve"> PAGEREF _Toc256000299 \h </w:instrText>
        </w:r>
        <w:r w:rsidR="00623E14" w:rsidRPr="00800D1B">
          <w:rPr>
            <w:lang w:val="sv-SE"/>
          </w:rPr>
        </w:r>
        <w:r w:rsidR="00623E14" w:rsidRPr="00800D1B">
          <w:rPr>
            <w:lang w:val="sv-SE"/>
          </w:rPr>
          <w:fldChar w:fldCharType="separate"/>
        </w:r>
        <w:r w:rsidR="00623E14" w:rsidRPr="00800D1B">
          <w:rPr>
            <w:lang w:val="sv-SE"/>
          </w:rPr>
          <w:t>46</w:t>
        </w:r>
        <w:r w:rsidR="00623E14" w:rsidRPr="00800D1B">
          <w:rPr>
            <w:lang w:val="sv-SE"/>
          </w:rPr>
          <w:fldChar w:fldCharType="end"/>
        </w:r>
      </w:hyperlink>
    </w:p>
    <w:p w14:paraId="2D06542E" w14:textId="77777777" w:rsidR="003422DB" w:rsidRPr="00800D1B" w:rsidRDefault="00000000" w:rsidP="004F0B72">
      <w:pPr>
        <w:pStyle w:val="Innehll4"/>
        <w:rPr>
          <w:rFonts w:ascii="Calibri" w:hAnsi="Calibri"/>
          <w:sz w:val="22"/>
          <w:lang w:val="sv-SE"/>
        </w:rPr>
      </w:pPr>
      <w:hyperlink w:anchor="_Toc256000300" w:history="1">
        <w:r w:rsidR="00A77B3E" w:rsidRPr="00800D1B">
          <w:rPr>
            <w:rStyle w:val="Hyperlnk"/>
            <w:lang w:val="sv-SE"/>
          </w:rPr>
          <w:t>2.1.1.1.1. Interventioner inom ramen för fonderna</w:t>
        </w:r>
        <w:r w:rsidR="00623E14" w:rsidRPr="00800D1B">
          <w:rPr>
            <w:lang w:val="sv-SE"/>
          </w:rPr>
          <w:tab/>
        </w:r>
        <w:r w:rsidR="00623E14" w:rsidRPr="00800D1B">
          <w:rPr>
            <w:lang w:val="sv-SE"/>
          </w:rPr>
          <w:fldChar w:fldCharType="begin"/>
        </w:r>
        <w:r w:rsidR="00623E14" w:rsidRPr="00800D1B">
          <w:rPr>
            <w:lang w:val="sv-SE"/>
          </w:rPr>
          <w:instrText xml:space="preserve"> PAGEREF _Toc256000300 \h </w:instrText>
        </w:r>
        <w:r w:rsidR="00623E14" w:rsidRPr="00800D1B">
          <w:rPr>
            <w:lang w:val="sv-SE"/>
          </w:rPr>
        </w:r>
        <w:r w:rsidR="00623E14" w:rsidRPr="00800D1B">
          <w:rPr>
            <w:lang w:val="sv-SE"/>
          </w:rPr>
          <w:fldChar w:fldCharType="separate"/>
        </w:r>
        <w:r w:rsidR="00623E14" w:rsidRPr="00800D1B">
          <w:rPr>
            <w:lang w:val="sv-SE"/>
          </w:rPr>
          <w:t>46</w:t>
        </w:r>
        <w:r w:rsidR="00623E14" w:rsidRPr="00800D1B">
          <w:rPr>
            <w:lang w:val="sv-SE"/>
          </w:rPr>
          <w:fldChar w:fldCharType="end"/>
        </w:r>
      </w:hyperlink>
    </w:p>
    <w:p w14:paraId="2D06542F" w14:textId="77777777" w:rsidR="003422DB" w:rsidRPr="00800D1B" w:rsidRDefault="00000000">
      <w:pPr>
        <w:pStyle w:val="Innehll5"/>
        <w:tabs>
          <w:tab w:val="right" w:leader="dot" w:pos="10240"/>
        </w:tabs>
        <w:rPr>
          <w:rFonts w:ascii="Calibri" w:hAnsi="Calibri"/>
          <w:sz w:val="22"/>
          <w:lang w:val="sv-SE"/>
        </w:rPr>
      </w:pPr>
      <w:hyperlink w:anchor="_Toc256000301" w:history="1">
        <w:r w:rsidR="00A77B3E" w:rsidRPr="00800D1B">
          <w:rPr>
            <w:rStyle w:val="Hyperlnk"/>
            <w:lang w:val="sv-SE"/>
          </w:rPr>
          <w:t>Relaterade typer av åtgärder – artikel 22.3 d i i förordningen om gemensamma bestämmelser och artikel 6 i ESF+-förordningen</w:t>
        </w:r>
        <w:r w:rsidR="00623E14" w:rsidRPr="00800D1B">
          <w:rPr>
            <w:lang w:val="sv-SE"/>
          </w:rPr>
          <w:tab/>
        </w:r>
        <w:r w:rsidR="00623E14" w:rsidRPr="00800D1B">
          <w:rPr>
            <w:lang w:val="sv-SE"/>
          </w:rPr>
          <w:fldChar w:fldCharType="begin"/>
        </w:r>
        <w:r w:rsidR="00623E14" w:rsidRPr="00800D1B">
          <w:rPr>
            <w:lang w:val="sv-SE"/>
          </w:rPr>
          <w:instrText xml:space="preserve"> PAGEREF _Toc256000301 \h </w:instrText>
        </w:r>
        <w:r w:rsidR="00623E14" w:rsidRPr="00800D1B">
          <w:rPr>
            <w:lang w:val="sv-SE"/>
          </w:rPr>
        </w:r>
        <w:r w:rsidR="00623E14" w:rsidRPr="00800D1B">
          <w:rPr>
            <w:lang w:val="sv-SE"/>
          </w:rPr>
          <w:fldChar w:fldCharType="separate"/>
        </w:r>
        <w:r w:rsidR="00623E14" w:rsidRPr="00800D1B">
          <w:rPr>
            <w:lang w:val="sv-SE"/>
          </w:rPr>
          <w:t>46</w:t>
        </w:r>
        <w:r w:rsidR="00623E14" w:rsidRPr="00800D1B">
          <w:rPr>
            <w:lang w:val="sv-SE"/>
          </w:rPr>
          <w:fldChar w:fldCharType="end"/>
        </w:r>
      </w:hyperlink>
    </w:p>
    <w:p w14:paraId="2D065430" w14:textId="77777777" w:rsidR="003422DB" w:rsidRPr="00800D1B" w:rsidRDefault="00000000">
      <w:pPr>
        <w:pStyle w:val="Innehll5"/>
        <w:tabs>
          <w:tab w:val="right" w:leader="dot" w:pos="10240"/>
        </w:tabs>
        <w:rPr>
          <w:rFonts w:ascii="Calibri" w:hAnsi="Calibri"/>
          <w:sz w:val="22"/>
          <w:lang w:val="sv-SE"/>
        </w:rPr>
      </w:pPr>
      <w:hyperlink w:anchor="_Toc256000302" w:history="1">
        <w:r w:rsidR="00A77B3E" w:rsidRPr="00800D1B">
          <w:rPr>
            <w:rStyle w:val="Hyperlnk"/>
            <w:lang w:val="sv-SE"/>
          </w:rPr>
          <w:t>Huvudsakliga målgrupper – artikel 22.3 d iii i förordningen om gemensamma bestämmelser</w:t>
        </w:r>
        <w:r w:rsidR="00623E14" w:rsidRPr="00800D1B">
          <w:rPr>
            <w:lang w:val="sv-SE"/>
          </w:rPr>
          <w:tab/>
        </w:r>
        <w:r w:rsidR="00623E14" w:rsidRPr="00800D1B">
          <w:rPr>
            <w:lang w:val="sv-SE"/>
          </w:rPr>
          <w:fldChar w:fldCharType="begin"/>
        </w:r>
        <w:r w:rsidR="00623E14" w:rsidRPr="00800D1B">
          <w:rPr>
            <w:lang w:val="sv-SE"/>
          </w:rPr>
          <w:instrText xml:space="preserve"> PAGEREF _Toc256000302 \h </w:instrText>
        </w:r>
        <w:r w:rsidR="00623E14" w:rsidRPr="00800D1B">
          <w:rPr>
            <w:lang w:val="sv-SE"/>
          </w:rPr>
        </w:r>
        <w:r w:rsidR="00623E14" w:rsidRPr="00800D1B">
          <w:rPr>
            <w:lang w:val="sv-SE"/>
          </w:rPr>
          <w:fldChar w:fldCharType="separate"/>
        </w:r>
        <w:r w:rsidR="00623E14" w:rsidRPr="00800D1B">
          <w:rPr>
            <w:lang w:val="sv-SE"/>
          </w:rPr>
          <w:t>48</w:t>
        </w:r>
        <w:r w:rsidR="00623E14" w:rsidRPr="00800D1B">
          <w:rPr>
            <w:lang w:val="sv-SE"/>
          </w:rPr>
          <w:fldChar w:fldCharType="end"/>
        </w:r>
      </w:hyperlink>
    </w:p>
    <w:p w14:paraId="2D065431" w14:textId="77777777" w:rsidR="003422DB" w:rsidRPr="00800D1B" w:rsidRDefault="00000000">
      <w:pPr>
        <w:pStyle w:val="Innehll5"/>
        <w:tabs>
          <w:tab w:val="right" w:leader="dot" w:pos="10240"/>
        </w:tabs>
        <w:rPr>
          <w:rFonts w:ascii="Calibri" w:hAnsi="Calibri"/>
          <w:sz w:val="22"/>
          <w:lang w:val="sv-SE"/>
        </w:rPr>
      </w:pPr>
      <w:hyperlink w:anchor="_Toc256000303" w:history="1">
        <w:r w:rsidR="00A77B3E" w:rsidRPr="00800D1B">
          <w:rPr>
            <w:rStyle w:val="Hyperlnk"/>
            <w:lang w:val="sv-SE"/>
          </w:rPr>
          <w:t>Åtgärder för säkerställande av jämställdhet, inkludering och icke-diskriminering – artikel 22.3 d iv i förordningen om gemensamma bestämmelser och artikel 6 i ESF+-förordningen</w:t>
        </w:r>
        <w:r w:rsidR="00623E14" w:rsidRPr="00800D1B">
          <w:rPr>
            <w:lang w:val="sv-SE"/>
          </w:rPr>
          <w:tab/>
        </w:r>
        <w:r w:rsidR="00623E14" w:rsidRPr="00800D1B">
          <w:rPr>
            <w:lang w:val="sv-SE"/>
          </w:rPr>
          <w:fldChar w:fldCharType="begin"/>
        </w:r>
        <w:r w:rsidR="00623E14" w:rsidRPr="00800D1B">
          <w:rPr>
            <w:lang w:val="sv-SE"/>
          </w:rPr>
          <w:instrText xml:space="preserve"> PAGEREF _Toc256000303 \h </w:instrText>
        </w:r>
        <w:r w:rsidR="00623E14" w:rsidRPr="00800D1B">
          <w:rPr>
            <w:lang w:val="sv-SE"/>
          </w:rPr>
        </w:r>
        <w:r w:rsidR="00623E14" w:rsidRPr="00800D1B">
          <w:rPr>
            <w:lang w:val="sv-SE"/>
          </w:rPr>
          <w:fldChar w:fldCharType="separate"/>
        </w:r>
        <w:r w:rsidR="00623E14" w:rsidRPr="00800D1B">
          <w:rPr>
            <w:lang w:val="sv-SE"/>
          </w:rPr>
          <w:t>48</w:t>
        </w:r>
        <w:r w:rsidR="00623E14" w:rsidRPr="00800D1B">
          <w:rPr>
            <w:lang w:val="sv-SE"/>
          </w:rPr>
          <w:fldChar w:fldCharType="end"/>
        </w:r>
      </w:hyperlink>
    </w:p>
    <w:p w14:paraId="2D065432" w14:textId="77777777" w:rsidR="003422DB" w:rsidRPr="00800D1B" w:rsidRDefault="00000000">
      <w:pPr>
        <w:pStyle w:val="Innehll5"/>
        <w:tabs>
          <w:tab w:val="right" w:leader="dot" w:pos="10240"/>
        </w:tabs>
        <w:rPr>
          <w:rFonts w:ascii="Calibri" w:hAnsi="Calibri"/>
          <w:sz w:val="22"/>
          <w:lang w:val="sv-SE"/>
        </w:rPr>
      </w:pPr>
      <w:hyperlink w:anchor="_Toc256000304" w:history="1">
        <w:r w:rsidR="00A77B3E" w:rsidRPr="00800D1B">
          <w:rPr>
            <w:rStyle w:val="Hyperlnk"/>
            <w:lang w:val="sv-SE"/>
          </w:rPr>
          <w:t>Angivande av de specifika målterritorierna, inbegripet planerad användning av territoriella verktyg – artikel 22.3 d v i förordningen om gemensamma bestämmelser</w:t>
        </w:r>
        <w:r w:rsidR="00623E14" w:rsidRPr="00800D1B">
          <w:rPr>
            <w:lang w:val="sv-SE"/>
          </w:rPr>
          <w:tab/>
        </w:r>
        <w:r w:rsidR="00623E14" w:rsidRPr="00800D1B">
          <w:rPr>
            <w:lang w:val="sv-SE"/>
          </w:rPr>
          <w:fldChar w:fldCharType="begin"/>
        </w:r>
        <w:r w:rsidR="00623E14" w:rsidRPr="00800D1B">
          <w:rPr>
            <w:lang w:val="sv-SE"/>
          </w:rPr>
          <w:instrText xml:space="preserve"> PAGEREF _Toc256000304 \h </w:instrText>
        </w:r>
        <w:r w:rsidR="00623E14" w:rsidRPr="00800D1B">
          <w:rPr>
            <w:lang w:val="sv-SE"/>
          </w:rPr>
        </w:r>
        <w:r w:rsidR="00623E14" w:rsidRPr="00800D1B">
          <w:rPr>
            <w:lang w:val="sv-SE"/>
          </w:rPr>
          <w:fldChar w:fldCharType="separate"/>
        </w:r>
        <w:r w:rsidR="00623E14" w:rsidRPr="00800D1B">
          <w:rPr>
            <w:lang w:val="sv-SE"/>
          </w:rPr>
          <w:t>48</w:t>
        </w:r>
        <w:r w:rsidR="00623E14" w:rsidRPr="00800D1B">
          <w:rPr>
            <w:lang w:val="sv-SE"/>
          </w:rPr>
          <w:fldChar w:fldCharType="end"/>
        </w:r>
      </w:hyperlink>
    </w:p>
    <w:p w14:paraId="2D065433" w14:textId="77777777" w:rsidR="003422DB" w:rsidRPr="00800D1B" w:rsidRDefault="00000000">
      <w:pPr>
        <w:pStyle w:val="Innehll5"/>
        <w:tabs>
          <w:tab w:val="right" w:leader="dot" w:pos="10240"/>
        </w:tabs>
        <w:rPr>
          <w:rFonts w:ascii="Calibri" w:hAnsi="Calibri"/>
          <w:sz w:val="22"/>
          <w:lang w:val="sv-SE"/>
        </w:rPr>
      </w:pPr>
      <w:hyperlink w:anchor="_Toc256000305" w:history="1">
        <w:r w:rsidR="00A77B3E" w:rsidRPr="00800D1B">
          <w:rPr>
            <w:rStyle w:val="Hyperlnk"/>
            <w:lang w:val="sv-SE"/>
          </w:rPr>
          <w:t>Interregionala, gränsregionala och transnationella åtgärder – artikel 22.3 d vi i förordningen om gemensamma bestämmelser</w:t>
        </w:r>
        <w:r w:rsidR="00623E14" w:rsidRPr="00800D1B">
          <w:rPr>
            <w:lang w:val="sv-SE"/>
          </w:rPr>
          <w:tab/>
        </w:r>
        <w:r w:rsidR="00623E14" w:rsidRPr="00800D1B">
          <w:rPr>
            <w:lang w:val="sv-SE"/>
          </w:rPr>
          <w:fldChar w:fldCharType="begin"/>
        </w:r>
        <w:r w:rsidR="00623E14" w:rsidRPr="00800D1B">
          <w:rPr>
            <w:lang w:val="sv-SE"/>
          </w:rPr>
          <w:instrText xml:space="preserve"> PAGEREF _Toc256000305 \h </w:instrText>
        </w:r>
        <w:r w:rsidR="00623E14" w:rsidRPr="00800D1B">
          <w:rPr>
            <w:lang w:val="sv-SE"/>
          </w:rPr>
        </w:r>
        <w:r w:rsidR="00623E14" w:rsidRPr="00800D1B">
          <w:rPr>
            <w:lang w:val="sv-SE"/>
          </w:rPr>
          <w:fldChar w:fldCharType="separate"/>
        </w:r>
        <w:r w:rsidR="00623E14" w:rsidRPr="00800D1B">
          <w:rPr>
            <w:lang w:val="sv-SE"/>
          </w:rPr>
          <w:t>49</w:t>
        </w:r>
        <w:r w:rsidR="00623E14" w:rsidRPr="00800D1B">
          <w:rPr>
            <w:lang w:val="sv-SE"/>
          </w:rPr>
          <w:fldChar w:fldCharType="end"/>
        </w:r>
      </w:hyperlink>
    </w:p>
    <w:p w14:paraId="2D065434" w14:textId="77777777" w:rsidR="003422DB" w:rsidRPr="00800D1B" w:rsidRDefault="00000000">
      <w:pPr>
        <w:pStyle w:val="Innehll5"/>
        <w:tabs>
          <w:tab w:val="right" w:leader="dot" w:pos="10240"/>
        </w:tabs>
        <w:rPr>
          <w:rFonts w:ascii="Calibri" w:hAnsi="Calibri"/>
          <w:sz w:val="22"/>
          <w:lang w:val="sv-SE"/>
        </w:rPr>
      </w:pPr>
      <w:hyperlink w:anchor="_Toc256000306" w:history="1">
        <w:r w:rsidR="00A77B3E" w:rsidRPr="00800D1B">
          <w:rPr>
            <w:rStyle w:val="Hyperlnk"/>
            <w:lang w:val="sv-SE"/>
          </w:rPr>
          <w:t>Planerad användning av finansieringsinstrument – artikel 22.3 d vii i förordningen om gemensamma bestämmelser</w:t>
        </w:r>
        <w:r w:rsidR="00623E14" w:rsidRPr="00800D1B">
          <w:rPr>
            <w:lang w:val="sv-SE"/>
          </w:rPr>
          <w:tab/>
        </w:r>
        <w:r w:rsidR="00623E14" w:rsidRPr="00800D1B">
          <w:rPr>
            <w:lang w:val="sv-SE"/>
          </w:rPr>
          <w:fldChar w:fldCharType="begin"/>
        </w:r>
        <w:r w:rsidR="00623E14" w:rsidRPr="00800D1B">
          <w:rPr>
            <w:lang w:val="sv-SE"/>
          </w:rPr>
          <w:instrText xml:space="preserve"> PAGEREF _Toc256000306 \h </w:instrText>
        </w:r>
        <w:r w:rsidR="00623E14" w:rsidRPr="00800D1B">
          <w:rPr>
            <w:lang w:val="sv-SE"/>
          </w:rPr>
        </w:r>
        <w:r w:rsidR="00623E14" w:rsidRPr="00800D1B">
          <w:rPr>
            <w:lang w:val="sv-SE"/>
          </w:rPr>
          <w:fldChar w:fldCharType="separate"/>
        </w:r>
        <w:r w:rsidR="00623E14" w:rsidRPr="00800D1B">
          <w:rPr>
            <w:lang w:val="sv-SE"/>
          </w:rPr>
          <w:t>49</w:t>
        </w:r>
        <w:r w:rsidR="00623E14" w:rsidRPr="00800D1B">
          <w:rPr>
            <w:lang w:val="sv-SE"/>
          </w:rPr>
          <w:fldChar w:fldCharType="end"/>
        </w:r>
      </w:hyperlink>
    </w:p>
    <w:p w14:paraId="2D065435" w14:textId="77777777" w:rsidR="003422DB" w:rsidRPr="00800D1B" w:rsidRDefault="00000000" w:rsidP="004F0B72">
      <w:pPr>
        <w:pStyle w:val="Innehll4"/>
        <w:rPr>
          <w:rFonts w:ascii="Calibri" w:hAnsi="Calibri"/>
          <w:sz w:val="22"/>
          <w:lang w:val="sv-SE"/>
        </w:rPr>
      </w:pPr>
      <w:hyperlink w:anchor="_Toc256000307" w:history="1">
        <w:r w:rsidR="00A77B3E" w:rsidRPr="00800D1B">
          <w:rPr>
            <w:rStyle w:val="Hyperlnk"/>
            <w:lang w:val="sv-SE"/>
          </w:rPr>
          <w:t>2.1.1.1.2. Indikatorer</w:t>
        </w:r>
        <w:r w:rsidR="00623E14" w:rsidRPr="00800D1B">
          <w:rPr>
            <w:lang w:val="sv-SE"/>
          </w:rPr>
          <w:tab/>
        </w:r>
        <w:r w:rsidR="00623E14" w:rsidRPr="00800D1B">
          <w:rPr>
            <w:lang w:val="sv-SE"/>
          </w:rPr>
          <w:fldChar w:fldCharType="begin"/>
        </w:r>
        <w:r w:rsidR="00623E14" w:rsidRPr="00800D1B">
          <w:rPr>
            <w:lang w:val="sv-SE"/>
          </w:rPr>
          <w:instrText xml:space="preserve"> PAGEREF _Toc256000307 \h </w:instrText>
        </w:r>
        <w:r w:rsidR="00623E14" w:rsidRPr="00800D1B">
          <w:rPr>
            <w:lang w:val="sv-SE"/>
          </w:rPr>
        </w:r>
        <w:r w:rsidR="00623E14" w:rsidRPr="00800D1B">
          <w:rPr>
            <w:lang w:val="sv-SE"/>
          </w:rPr>
          <w:fldChar w:fldCharType="separate"/>
        </w:r>
        <w:r w:rsidR="00623E14" w:rsidRPr="00800D1B">
          <w:rPr>
            <w:lang w:val="sv-SE"/>
          </w:rPr>
          <w:t>49</w:t>
        </w:r>
        <w:r w:rsidR="00623E14" w:rsidRPr="00800D1B">
          <w:rPr>
            <w:lang w:val="sv-SE"/>
          </w:rPr>
          <w:fldChar w:fldCharType="end"/>
        </w:r>
      </w:hyperlink>
    </w:p>
    <w:p w14:paraId="2D065436" w14:textId="77777777" w:rsidR="003422DB" w:rsidRPr="00800D1B" w:rsidRDefault="00000000">
      <w:pPr>
        <w:pStyle w:val="Innehll5"/>
        <w:tabs>
          <w:tab w:val="right" w:leader="dot" w:pos="10240"/>
        </w:tabs>
        <w:rPr>
          <w:rFonts w:ascii="Calibri" w:hAnsi="Calibri"/>
          <w:sz w:val="22"/>
          <w:lang w:val="sv-SE"/>
        </w:rPr>
      </w:pPr>
      <w:hyperlink w:anchor="_Toc256000308" w:history="1">
        <w:r w:rsidR="00A77B3E" w:rsidRPr="00800D1B">
          <w:rPr>
            <w:rStyle w:val="Hyperlnk"/>
            <w:lang w:val="sv-SE"/>
          </w:rPr>
          <w:t>Tabell 2: Utfallsindikatorer</w:t>
        </w:r>
        <w:r w:rsidR="00623E14" w:rsidRPr="00800D1B">
          <w:rPr>
            <w:lang w:val="sv-SE"/>
          </w:rPr>
          <w:tab/>
        </w:r>
        <w:r w:rsidR="00623E14" w:rsidRPr="00800D1B">
          <w:rPr>
            <w:lang w:val="sv-SE"/>
          </w:rPr>
          <w:fldChar w:fldCharType="begin"/>
        </w:r>
        <w:r w:rsidR="00623E14" w:rsidRPr="00800D1B">
          <w:rPr>
            <w:lang w:val="sv-SE"/>
          </w:rPr>
          <w:instrText xml:space="preserve"> PAGEREF _Toc256000308 \h </w:instrText>
        </w:r>
        <w:r w:rsidR="00623E14" w:rsidRPr="00800D1B">
          <w:rPr>
            <w:lang w:val="sv-SE"/>
          </w:rPr>
        </w:r>
        <w:r w:rsidR="00623E14" w:rsidRPr="00800D1B">
          <w:rPr>
            <w:lang w:val="sv-SE"/>
          </w:rPr>
          <w:fldChar w:fldCharType="separate"/>
        </w:r>
        <w:r w:rsidR="00623E14" w:rsidRPr="00800D1B">
          <w:rPr>
            <w:lang w:val="sv-SE"/>
          </w:rPr>
          <w:t>50</w:t>
        </w:r>
        <w:r w:rsidR="00623E14" w:rsidRPr="00800D1B">
          <w:rPr>
            <w:lang w:val="sv-SE"/>
          </w:rPr>
          <w:fldChar w:fldCharType="end"/>
        </w:r>
      </w:hyperlink>
    </w:p>
    <w:p w14:paraId="2D065437" w14:textId="77777777" w:rsidR="003422DB" w:rsidRPr="00800D1B" w:rsidRDefault="00000000">
      <w:pPr>
        <w:pStyle w:val="Innehll5"/>
        <w:tabs>
          <w:tab w:val="right" w:leader="dot" w:pos="10240"/>
        </w:tabs>
        <w:rPr>
          <w:rFonts w:ascii="Calibri" w:hAnsi="Calibri"/>
          <w:sz w:val="22"/>
          <w:lang w:val="sv-SE"/>
        </w:rPr>
      </w:pPr>
      <w:hyperlink w:anchor="_Toc256000309" w:history="1">
        <w:r w:rsidR="00A77B3E" w:rsidRPr="00800D1B">
          <w:rPr>
            <w:rStyle w:val="Hyperlnk"/>
            <w:lang w:val="sv-SE"/>
          </w:rPr>
          <w:t>Tabell 3: Resultatindikatorer</w:t>
        </w:r>
        <w:r w:rsidR="00623E14" w:rsidRPr="00800D1B">
          <w:rPr>
            <w:lang w:val="sv-SE"/>
          </w:rPr>
          <w:tab/>
        </w:r>
        <w:r w:rsidR="00623E14" w:rsidRPr="00800D1B">
          <w:rPr>
            <w:lang w:val="sv-SE"/>
          </w:rPr>
          <w:fldChar w:fldCharType="begin"/>
        </w:r>
        <w:r w:rsidR="00623E14" w:rsidRPr="00800D1B">
          <w:rPr>
            <w:lang w:val="sv-SE"/>
          </w:rPr>
          <w:instrText xml:space="preserve"> PAGEREF _Toc256000309 \h </w:instrText>
        </w:r>
        <w:r w:rsidR="00623E14" w:rsidRPr="00800D1B">
          <w:rPr>
            <w:lang w:val="sv-SE"/>
          </w:rPr>
        </w:r>
        <w:r w:rsidR="00623E14" w:rsidRPr="00800D1B">
          <w:rPr>
            <w:lang w:val="sv-SE"/>
          </w:rPr>
          <w:fldChar w:fldCharType="separate"/>
        </w:r>
        <w:r w:rsidR="00623E14" w:rsidRPr="00800D1B">
          <w:rPr>
            <w:lang w:val="sv-SE"/>
          </w:rPr>
          <w:t>50</w:t>
        </w:r>
        <w:r w:rsidR="00623E14" w:rsidRPr="00800D1B">
          <w:rPr>
            <w:lang w:val="sv-SE"/>
          </w:rPr>
          <w:fldChar w:fldCharType="end"/>
        </w:r>
      </w:hyperlink>
    </w:p>
    <w:p w14:paraId="2D065438" w14:textId="77777777" w:rsidR="003422DB" w:rsidRPr="00800D1B" w:rsidRDefault="00000000" w:rsidP="004F0B72">
      <w:pPr>
        <w:pStyle w:val="Innehll4"/>
        <w:rPr>
          <w:rFonts w:ascii="Calibri" w:hAnsi="Calibri"/>
          <w:sz w:val="22"/>
          <w:lang w:val="sv-SE"/>
        </w:rPr>
      </w:pPr>
      <w:hyperlink w:anchor="_Toc256000310" w:history="1">
        <w:r w:rsidR="00A77B3E" w:rsidRPr="00800D1B">
          <w:rPr>
            <w:rStyle w:val="Hyperlnk"/>
            <w:lang w:val="sv-SE"/>
          </w:rPr>
          <w:t>2.1.1.1.3. Preliminär fördelning av anslagna (EU-)medel efter interventionstyp</w:t>
        </w:r>
        <w:r w:rsidR="00623E14" w:rsidRPr="00800D1B">
          <w:rPr>
            <w:lang w:val="sv-SE"/>
          </w:rPr>
          <w:tab/>
        </w:r>
        <w:r w:rsidR="00623E14" w:rsidRPr="00800D1B">
          <w:rPr>
            <w:lang w:val="sv-SE"/>
          </w:rPr>
          <w:fldChar w:fldCharType="begin"/>
        </w:r>
        <w:r w:rsidR="00623E14" w:rsidRPr="00800D1B">
          <w:rPr>
            <w:lang w:val="sv-SE"/>
          </w:rPr>
          <w:instrText xml:space="preserve"> PAGEREF _Toc256000310 \h </w:instrText>
        </w:r>
        <w:r w:rsidR="00623E14" w:rsidRPr="00800D1B">
          <w:rPr>
            <w:lang w:val="sv-SE"/>
          </w:rPr>
        </w:r>
        <w:r w:rsidR="00623E14" w:rsidRPr="00800D1B">
          <w:rPr>
            <w:lang w:val="sv-SE"/>
          </w:rPr>
          <w:fldChar w:fldCharType="separate"/>
        </w:r>
        <w:r w:rsidR="00623E14" w:rsidRPr="00800D1B">
          <w:rPr>
            <w:lang w:val="sv-SE"/>
          </w:rPr>
          <w:t>52</w:t>
        </w:r>
        <w:r w:rsidR="00623E14" w:rsidRPr="00800D1B">
          <w:rPr>
            <w:lang w:val="sv-SE"/>
          </w:rPr>
          <w:fldChar w:fldCharType="end"/>
        </w:r>
      </w:hyperlink>
    </w:p>
    <w:p w14:paraId="2D065439" w14:textId="77777777" w:rsidR="003422DB" w:rsidRPr="00800D1B" w:rsidRDefault="00000000">
      <w:pPr>
        <w:pStyle w:val="Innehll5"/>
        <w:tabs>
          <w:tab w:val="right" w:leader="dot" w:pos="10240"/>
        </w:tabs>
        <w:rPr>
          <w:rFonts w:ascii="Calibri" w:hAnsi="Calibri"/>
          <w:sz w:val="22"/>
          <w:lang w:val="sv-SE"/>
        </w:rPr>
      </w:pPr>
      <w:hyperlink w:anchor="_Toc256000311" w:history="1">
        <w:r w:rsidR="00A77B3E" w:rsidRPr="00800D1B">
          <w:rPr>
            <w:rStyle w:val="Hyperlnk"/>
            <w:lang w:val="sv-SE"/>
          </w:rPr>
          <w:t>Tabell 4: Dimension 1 – interventionsområde</w:t>
        </w:r>
        <w:r w:rsidR="00623E14" w:rsidRPr="00800D1B">
          <w:rPr>
            <w:lang w:val="sv-SE"/>
          </w:rPr>
          <w:tab/>
        </w:r>
        <w:r w:rsidR="00623E14" w:rsidRPr="00800D1B">
          <w:rPr>
            <w:lang w:val="sv-SE"/>
          </w:rPr>
          <w:fldChar w:fldCharType="begin"/>
        </w:r>
        <w:r w:rsidR="00623E14" w:rsidRPr="00800D1B">
          <w:rPr>
            <w:lang w:val="sv-SE"/>
          </w:rPr>
          <w:instrText xml:space="preserve"> PAGEREF _Toc256000311 \h </w:instrText>
        </w:r>
        <w:r w:rsidR="00623E14" w:rsidRPr="00800D1B">
          <w:rPr>
            <w:lang w:val="sv-SE"/>
          </w:rPr>
        </w:r>
        <w:r w:rsidR="00623E14" w:rsidRPr="00800D1B">
          <w:rPr>
            <w:lang w:val="sv-SE"/>
          </w:rPr>
          <w:fldChar w:fldCharType="separate"/>
        </w:r>
        <w:r w:rsidR="00623E14" w:rsidRPr="00800D1B">
          <w:rPr>
            <w:lang w:val="sv-SE"/>
          </w:rPr>
          <w:t>53</w:t>
        </w:r>
        <w:r w:rsidR="00623E14" w:rsidRPr="00800D1B">
          <w:rPr>
            <w:lang w:val="sv-SE"/>
          </w:rPr>
          <w:fldChar w:fldCharType="end"/>
        </w:r>
      </w:hyperlink>
    </w:p>
    <w:p w14:paraId="2D06543A" w14:textId="77777777" w:rsidR="003422DB" w:rsidRPr="00800D1B" w:rsidRDefault="00000000">
      <w:pPr>
        <w:pStyle w:val="Innehll5"/>
        <w:tabs>
          <w:tab w:val="right" w:leader="dot" w:pos="10240"/>
        </w:tabs>
        <w:rPr>
          <w:rFonts w:ascii="Calibri" w:hAnsi="Calibri"/>
          <w:sz w:val="22"/>
          <w:lang w:val="sv-SE"/>
        </w:rPr>
      </w:pPr>
      <w:hyperlink w:anchor="_Toc256000312" w:history="1">
        <w:r w:rsidR="00A77B3E" w:rsidRPr="00800D1B">
          <w:rPr>
            <w:rStyle w:val="Hyperlnk"/>
            <w:lang w:val="sv-SE"/>
          </w:rPr>
          <w:t>Tabell 5: Dimension 2 – finansieringsform</w:t>
        </w:r>
        <w:r w:rsidR="00623E14" w:rsidRPr="00800D1B">
          <w:rPr>
            <w:lang w:val="sv-SE"/>
          </w:rPr>
          <w:tab/>
        </w:r>
        <w:r w:rsidR="00623E14" w:rsidRPr="00800D1B">
          <w:rPr>
            <w:lang w:val="sv-SE"/>
          </w:rPr>
          <w:fldChar w:fldCharType="begin"/>
        </w:r>
        <w:r w:rsidR="00623E14" w:rsidRPr="00800D1B">
          <w:rPr>
            <w:lang w:val="sv-SE"/>
          </w:rPr>
          <w:instrText xml:space="preserve"> PAGEREF _Toc256000312 \h </w:instrText>
        </w:r>
        <w:r w:rsidR="00623E14" w:rsidRPr="00800D1B">
          <w:rPr>
            <w:lang w:val="sv-SE"/>
          </w:rPr>
        </w:r>
        <w:r w:rsidR="00623E14" w:rsidRPr="00800D1B">
          <w:rPr>
            <w:lang w:val="sv-SE"/>
          </w:rPr>
          <w:fldChar w:fldCharType="separate"/>
        </w:r>
        <w:r w:rsidR="00623E14" w:rsidRPr="00800D1B">
          <w:rPr>
            <w:lang w:val="sv-SE"/>
          </w:rPr>
          <w:t>53</w:t>
        </w:r>
        <w:r w:rsidR="00623E14" w:rsidRPr="00800D1B">
          <w:rPr>
            <w:lang w:val="sv-SE"/>
          </w:rPr>
          <w:fldChar w:fldCharType="end"/>
        </w:r>
      </w:hyperlink>
    </w:p>
    <w:p w14:paraId="2D06543B" w14:textId="77777777" w:rsidR="003422DB" w:rsidRPr="00800D1B" w:rsidRDefault="00000000">
      <w:pPr>
        <w:pStyle w:val="Innehll5"/>
        <w:tabs>
          <w:tab w:val="right" w:leader="dot" w:pos="10240"/>
        </w:tabs>
        <w:rPr>
          <w:rFonts w:ascii="Calibri" w:hAnsi="Calibri"/>
          <w:sz w:val="22"/>
          <w:lang w:val="sv-SE"/>
        </w:rPr>
      </w:pPr>
      <w:hyperlink w:anchor="_Toc256000313" w:history="1">
        <w:r w:rsidR="00A77B3E" w:rsidRPr="00800D1B">
          <w:rPr>
            <w:rStyle w:val="Hyperlnk"/>
            <w:lang w:val="sv-SE"/>
          </w:rPr>
          <w:t>Tabell 6: Dimension 3 – territoriell genomförandemetod och territoriellt fokus</w:t>
        </w:r>
        <w:r w:rsidR="00623E14" w:rsidRPr="00800D1B">
          <w:rPr>
            <w:lang w:val="sv-SE"/>
          </w:rPr>
          <w:tab/>
        </w:r>
        <w:r w:rsidR="00623E14" w:rsidRPr="00800D1B">
          <w:rPr>
            <w:lang w:val="sv-SE"/>
          </w:rPr>
          <w:fldChar w:fldCharType="begin"/>
        </w:r>
        <w:r w:rsidR="00623E14" w:rsidRPr="00800D1B">
          <w:rPr>
            <w:lang w:val="sv-SE"/>
          </w:rPr>
          <w:instrText xml:space="preserve"> PAGEREF _Toc256000313 \h </w:instrText>
        </w:r>
        <w:r w:rsidR="00623E14" w:rsidRPr="00800D1B">
          <w:rPr>
            <w:lang w:val="sv-SE"/>
          </w:rPr>
        </w:r>
        <w:r w:rsidR="00623E14" w:rsidRPr="00800D1B">
          <w:rPr>
            <w:lang w:val="sv-SE"/>
          </w:rPr>
          <w:fldChar w:fldCharType="separate"/>
        </w:r>
        <w:r w:rsidR="00623E14" w:rsidRPr="00800D1B">
          <w:rPr>
            <w:lang w:val="sv-SE"/>
          </w:rPr>
          <w:t>54</w:t>
        </w:r>
        <w:r w:rsidR="00623E14" w:rsidRPr="00800D1B">
          <w:rPr>
            <w:lang w:val="sv-SE"/>
          </w:rPr>
          <w:fldChar w:fldCharType="end"/>
        </w:r>
      </w:hyperlink>
    </w:p>
    <w:p w14:paraId="2D06543C" w14:textId="77777777" w:rsidR="003422DB" w:rsidRPr="00800D1B" w:rsidRDefault="00000000">
      <w:pPr>
        <w:pStyle w:val="Innehll5"/>
        <w:tabs>
          <w:tab w:val="right" w:leader="dot" w:pos="10240"/>
        </w:tabs>
        <w:rPr>
          <w:rFonts w:ascii="Calibri" w:hAnsi="Calibri"/>
          <w:sz w:val="22"/>
          <w:lang w:val="sv-SE"/>
        </w:rPr>
      </w:pPr>
      <w:hyperlink w:anchor="_Toc256000314" w:history="1">
        <w:r w:rsidR="00A77B3E" w:rsidRPr="00800D1B">
          <w:rPr>
            <w:rStyle w:val="Hyperlnk"/>
            <w:lang w:val="sv-SE"/>
          </w:rPr>
          <w:t>Tabell 7: Dimension 6 – ESF+-sekundärteman</w:t>
        </w:r>
        <w:r w:rsidR="00623E14" w:rsidRPr="00800D1B">
          <w:rPr>
            <w:lang w:val="sv-SE"/>
          </w:rPr>
          <w:tab/>
        </w:r>
        <w:r w:rsidR="00623E14" w:rsidRPr="00800D1B">
          <w:rPr>
            <w:lang w:val="sv-SE"/>
          </w:rPr>
          <w:fldChar w:fldCharType="begin"/>
        </w:r>
        <w:r w:rsidR="00623E14" w:rsidRPr="00800D1B">
          <w:rPr>
            <w:lang w:val="sv-SE"/>
          </w:rPr>
          <w:instrText xml:space="preserve"> PAGEREF _Toc256000314 \h </w:instrText>
        </w:r>
        <w:r w:rsidR="00623E14" w:rsidRPr="00800D1B">
          <w:rPr>
            <w:lang w:val="sv-SE"/>
          </w:rPr>
        </w:r>
        <w:r w:rsidR="00623E14" w:rsidRPr="00800D1B">
          <w:rPr>
            <w:lang w:val="sv-SE"/>
          </w:rPr>
          <w:fldChar w:fldCharType="separate"/>
        </w:r>
        <w:r w:rsidR="00623E14" w:rsidRPr="00800D1B">
          <w:rPr>
            <w:lang w:val="sv-SE"/>
          </w:rPr>
          <w:t>54</w:t>
        </w:r>
        <w:r w:rsidR="00623E14" w:rsidRPr="00800D1B">
          <w:rPr>
            <w:lang w:val="sv-SE"/>
          </w:rPr>
          <w:fldChar w:fldCharType="end"/>
        </w:r>
      </w:hyperlink>
    </w:p>
    <w:p w14:paraId="2D06543D" w14:textId="77777777" w:rsidR="003422DB" w:rsidRPr="00800D1B" w:rsidRDefault="00000000">
      <w:pPr>
        <w:pStyle w:val="Innehll5"/>
        <w:tabs>
          <w:tab w:val="right" w:leader="dot" w:pos="10240"/>
        </w:tabs>
        <w:rPr>
          <w:rFonts w:ascii="Calibri" w:hAnsi="Calibri"/>
          <w:sz w:val="22"/>
          <w:lang w:val="sv-SE"/>
        </w:rPr>
      </w:pPr>
      <w:hyperlink w:anchor="_Toc256000315" w:history="1">
        <w:r w:rsidR="00A77B3E" w:rsidRPr="00800D1B">
          <w:rPr>
            <w:rStyle w:val="Hyperlnk"/>
            <w:lang w:val="sv-SE"/>
          </w:rPr>
          <w:t>Tabell 8: Dimension 7 – ESF+, Eruf, Sammanhållningsfonden och FRO, jämställdhetsdimensionen</w:t>
        </w:r>
        <w:r w:rsidR="00623E14" w:rsidRPr="00800D1B">
          <w:rPr>
            <w:lang w:val="sv-SE"/>
          </w:rPr>
          <w:tab/>
        </w:r>
        <w:r w:rsidR="00623E14" w:rsidRPr="00800D1B">
          <w:rPr>
            <w:lang w:val="sv-SE"/>
          </w:rPr>
          <w:fldChar w:fldCharType="begin"/>
        </w:r>
        <w:r w:rsidR="00623E14" w:rsidRPr="00800D1B">
          <w:rPr>
            <w:lang w:val="sv-SE"/>
          </w:rPr>
          <w:instrText xml:space="preserve"> PAGEREF _Toc256000315 \h </w:instrText>
        </w:r>
        <w:r w:rsidR="00623E14" w:rsidRPr="00800D1B">
          <w:rPr>
            <w:lang w:val="sv-SE"/>
          </w:rPr>
        </w:r>
        <w:r w:rsidR="00623E14" w:rsidRPr="00800D1B">
          <w:rPr>
            <w:lang w:val="sv-SE"/>
          </w:rPr>
          <w:fldChar w:fldCharType="separate"/>
        </w:r>
        <w:r w:rsidR="00623E14" w:rsidRPr="00800D1B">
          <w:rPr>
            <w:lang w:val="sv-SE"/>
          </w:rPr>
          <w:t>54</w:t>
        </w:r>
        <w:r w:rsidR="00623E14" w:rsidRPr="00800D1B">
          <w:rPr>
            <w:lang w:val="sv-SE"/>
          </w:rPr>
          <w:fldChar w:fldCharType="end"/>
        </w:r>
      </w:hyperlink>
    </w:p>
    <w:p w14:paraId="2D06543E" w14:textId="77777777" w:rsidR="003422DB" w:rsidRPr="00800D1B" w:rsidRDefault="00000000" w:rsidP="004F0B72">
      <w:pPr>
        <w:pStyle w:val="Innehll4"/>
        <w:rPr>
          <w:rFonts w:ascii="Calibri" w:hAnsi="Calibri"/>
          <w:sz w:val="22"/>
          <w:lang w:val="sv-SE"/>
        </w:rPr>
      </w:pPr>
      <w:hyperlink w:anchor="_Toc256000316" w:history="1">
        <w:r w:rsidR="00A77B3E" w:rsidRPr="00800D1B">
          <w:rPr>
            <w:rStyle w:val="Hyperlnk"/>
            <w:lang w:val="sv-SE"/>
          </w:rPr>
          <w:t>2.1.1.1. Specifikt mål: RSO1.4. Utveckla färdigheter för smart specialisering, industriomställning och entreprenörskap (Eruf)</w:t>
        </w:r>
        <w:r w:rsidR="00623E14" w:rsidRPr="00800D1B">
          <w:rPr>
            <w:lang w:val="sv-SE"/>
          </w:rPr>
          <w:tab/>
        </w:r>
        <w:r w:rsidR="00623E14" w:rsidRPr="00800D1B">
          <w:rPr>
            <w:lang w:val="sv-SE"/>
          </w:rPr>
          <w:fldChar w:fldCharType="begin"/>
        </w:r>
        <w:r w:rsidR="00623E14" w:rsidRPr="00800D1B">
          <w:rPr>
            <w:lang w:val="sv-SE"/>
          </w:rPr>
          <w:instrText xml:space="preserve"> PAGEREF _Toc256000316 \h </w:instrText>
        </w:r>
        <w:r w:rsidR="00623E14" w:rsidRPr="00800D1B">
          <w:rPr>
            <w:lang w:val="sv-SE"/>
          </w:rPr>
        </w:r>
        <w:r w:rsidR="00623E14" w:rsidRPr="00800D1B">
          <w:rPr>
            <w:lang w:val="sv-SE"/>
          </w:rPr>
          <w:fldChar w:fldCharType="separate"/>
        </w:r>
        <w:r w:rsidR="00623E14" w:rsidRPr="00800D1B">
          <w:rPr>
            <w:lang w:val="sv-SE"/>
          </w:rPr>
          <w:t>55</w:t>
        </w:r>
        <w:r w:rsidR="00623E14" w:rsidRPr="00800D1B">
          <w:rPr>
            <w:lang w:val="sv-SE"/>
          </w:rPr>
          <w:fldChar w:fldCharType="end"/>
        </w:r>
      </w:hyperlink>
    </w:p>
    <w:p w14:paraId="2D06543F" w14:textId="77777777" w:rsidR="003422DB" w:rsidRPr="00800D1B" w:rsidRDefault="00000000" w:rsidP="004F0B72">
      <w:pPr>
        <w:pStyle w:val="Innehll4"/>
        <w:rPr>
          <w:rFonts w:ascii="Calibri" w:hAnsi="Calibri"/>
          <w:sz w:val="22"/>
          <w:lang w:val="sv-SE"/>
        </w:rPr>
      </w:pPr>
      <w:hyperlink w:anchor="_Toc256000317" w:history="1">
        <w:r w:rsidR="00A77B3E" w:rsidRPr="00800D1B">
          <w:rPr>
            <w:rStyle w:val="Hyperlnk"/>
            <w:lang w:val="sv-SE"/>
          </w:rPr>
          <w:t>2.1.1.1.1. Interventioner inom ramen för fonderna</w:t>
        </w:r>
        <w:r w:rsidR="00623E14" w:rsidRPr="00800D1B">
          <w:rPr>
            <w:lang w:val="sv-SE"/>
          </w:rPr>
          <w:tab/>
        </w:r>
        <w:r w:rsidR="00623E14" w:rsidRPr="00800D1B">
          <w:rPr>
            <w:lang w:val="sv-SE"/>
          </w:rPr>
          <w:fldChar w:fldCharType="begin"/>
        </w:r>
        <w:r w:rsidR="00623E14" w:rsidRPr="00800D1B">
          <w:rPr>
            <w:lang w:val="sv-SE"/>
          </w:rPr>
          <w:instrText xml:space="preserve"> PAGEREF _Toc256000317 \h </w:instrText>
        </w:r>
        <w:r w:rsidR="00623E14" w:rsidRPr="00800D1B">
          <w:rPr>
            <w:lang w:val="sv-SE"/>
          </w:rPr>
        </w:r>
        <w:r w:rsidR="00623E14" w:rsidRPr="00800D1B">
          <w:rPr>
            <w:lang w:val="sv-SE"/>
          </w:rPr>
          <w:fldChar w:fldCharType="separate"/>
        </w:r>
        <w:r w:rsidR="00623E14" w:rsidRPr="00800D1B">
          <w:rPr>
            <w:lang w:val="sv-SE"/>
          </w:rPr>
          <w:t>55</w:t>
        </w:r>
        <w:r w:rsidR="00623E14" w:rsidRPr="00800D1B">
          <w:rPr>
            <w:lang w:val="sv-SE"/>
          </w:rPr>
          <w:fldChar w:fldCharType="end"/>
        </w:r>
      </w:hyperlink>
    </w:p>
    <w:p w14:paraId="2D065440" w14:textId="77777777" w:rsidR="003422DB" w:rsidRPr="00800D1B" w:rsidRDefault="00000000">
      <w:pPr>
        <w:pStyle w:val="Innehll5"/>
        <w:tabs>
          <w:tab w:val="right" w:leader="dot" w:pos="10240"/>
        </w:tabs>
        <w:rPr>
          <w:rFonts w:ascii="Calibri" w:hAnsi="Calibri"/>
          <w:sz w:val="22"/>
          <w:lang w:val="sv-SE"/>
        </w:rPr>
      </w:pPr>
      <w:hyperlink w:anchor="_Toc256000318" w:history="1">
        <w:r w:rsidR="00A77B3E" w:rsidRPr="00800D1B">
          <w:rPr>
            <w:rStyle w:val="Hyperlnk"/>
            <w:lang w:val="sv-SE"/>
          </w:rPr>
          <w:t>Relaterade typer av åtgärder – artikel 22.3 d i i förordningen om gemensamma bestämmelser och artikel 6 i ESF+-förordningen</w:t>
        </w:r>
        <w:r w:rsidR="00623E14" w:rsidRPr="00800D1B">
          <w:rPr>
            <w:lang w:val="sv-SE"/>
          </w:rPr>
          <w:tab/>
        </w:r>
        <w:r w:rsidR="00623E14" w:rsidRPr="00800D1B">
          <w:rPr>
            <w:lang w:val="sv-SE"/>
          </w:rPr>
          <w:fldChar w:fldCharType="begin"/>
        </w:r>
        <w:r w:rsidR="00623E14" w:rsidRPr="00800D1B">
          <w:rPr>
            <w:lang w:val="sv-SE"/>
          </w:rPr>
          <w:instrText xml:space="preserve"> PAGEREF _Toc256000318 \h </w:instrText>
        </w:r>
        <w:r w:rsidR="00623E14" w:rsidRPr="00800D1B">
          <w:rPr>
            <w:lang w:val="sv-SE"/>
          </w:rPr>
        </w:r>
        <w:r w:rsidR="00623E14" w:rsidRPr="00800D1B">
          <w:rPr>
            <w:lang w:val="sv-SE"/>
          </w:rPr>
          <w:fldChar w:fldCharType="separate"/>
        </w:r>
        <w:r w:rsidR="00623E14" w:rsidRPr="00800D1B">
          <w:rPr>
            <w:lang w:val="sv-SE"/>
          </w:rPr>
          <w:t>55</w:t>
        </w:r>
        <w:r w:rsidR="00623E14" w:rsidRPr="00800D1B">
          <w:rPr>
            <w:lang w:val="sv-SE"/>
          </w:rPr>
          <w:fldChar w:fldCharType="end"/>
        </w:r>
      </w:hyperlink>
    </w:p>
    <w:p w14:paraId="2D065441" w14:textId="77777777" w:rsidR="003422DB" w:rsidRPr="00800D1B" w:rsidRDefault="00000000">
      <w:pPr>
        <w:pStyle w:val="Innehll5"/>
        <w:tabs>
          <w:tab w:val="right" w:leader="dot" w:pos="10240"/>
        </w:tabs>
        <w:rPr>
          <w:rFonts w:ascii="Calibri" w:hAnsi="Calibri"/>
          <w:sz w:val="22"/>
          <w:lang w:val="sv-SE"/>
        </w:rPr>
      </w:pPr>
      <w:hyperlink w:anchor="_Toc256000319" w:history="1">
        <w:r w:rsidR="00A77B3E" w:rsidRPr="00800D1B">
          <w:rPr>
            <w:rStyle w:val="Hyperlnk"/>
            <w:lang w:val="sv-SE"/>
          </w:rPr>
          <w:t>Huvudsakliga målgrupper – artikel 22.3 d iii i förordningen om gemensamma bestämmelser</w:t>
        </w:r>
        <w:r w:rsidR="00623E14" w:rsidRPr="00800D1B">
          <w:rPr>
            <w:lang w:val="sv-SE"/>
          </w:rPr>
          <w:tab/>
        </w:r>
        <w:r w:rsidR="00623E14" w:rsidRPr="00800D1B">
          <w:rPr>
            <w:lang w:val="sv-SE"/>
          </w:rPr>
          <w:fldChar w:fldCharType="begin"/>
        </w:r>
        <w:r w:rsidR="00623E14" w:rsidRPr="00800D1B">
          <w:rPr>
            <w:lang w:val="sv-SE"/>
          </w:rPr>
          <w:instrText xml:space="preserve"> PAGEREF _Toc256000319 \h </w:instrText>
        </w:r>
        <w:r w:rsidR="00623E14" w:rsidRPr="00800D1B">
          <w:rPr>
            <w:lang w:val="sv-SE"/>
          </w:rPr>
        </w:r>
        <w:r w:rsidR="00623E14" w:rsidRPr="00800D1B">
          <w:rPr>
            <w:lang w:val="sv-SE"/>
          </w:rPr>
          <w:fldChar w:fldCharType="separate"/>
        </w:r>
        <w:r w:rsidR="00623E14" w:rsidRPr="00800D1B">
          <w:rPr>
            <w:lang w:val="sv-SE"/>
          </w:rPr>
          <w:t>57</w:t>
        </w:r>
        <w:r w:rsidR="00623E14" w:rsidRPr="00800D1B">
          <w:rPr>
            <w:lang w:val="sv-SE"/>
          </w:rPr>
          <w:fldChar w:fldCharType="end"/>
        </w:r>
      </w:hyperlink>
    </w:p>
    <w:p w14:paraId="2D065442" w14:textId="77777777" w:rsidR="003422DB" w:rsidRPr="00800D1B" w:rsidRDefault="00000000">
      <w:pPr>
        <w:pStyle w:val="Innehll5"/>
        <w:tabs>
          <w:tab w:val="right" w:leader="dot" w:pos="10240"/>
        </w:tabs>
        <w:rPr>
          <w:rFonts w:ascii="Calibri" w:hAnsi="Calibri"/>
          <w:sz w:val="22"/>
          <w:lang w:val="sv-SE"/>
        </w:rPr>
      </w:pPr>
      <w:hyperlink w:anchor="_Toc256000320" w:history="1">
        <w:r w:rsidR="00A77B3E" w:rsidRPr="00800D1B">
          <w:rPr>
            <w:rStyle w:val="Hyperlnk"/>
            <w:lang w:val="sv-SE"/>
          </w:rPr>
          <w:t>Åtgärder för säkerställande av jämställdhet, inkludering och icke-diskriminering – artikel 22.3 d iv i förordningen om gemensamma bestämmelser och artikel 6 i ESF+-förordningen</w:t>
        </w:r>
        <w:r w:rsidR="00623E14" w:rsidRPr="00800D1B">
          <w:rPr>
            <w:lang w:val="sv-SE"/>
          </w:rPr>
          <w:tab/>
        </w:r>
        <w:r w:rsidR="00623E14" w:rsidRPr="00800D1B">
          <w:rPr>
            <w:lang w:val="sv-SE"/>
          </w:rPr>
          <w:fldChar w:fldCharType="begin"/>
        </w:r>
        <w:r w:rsidR="00623E14" w:rsidRPr="00800D1B">
          <w:rPr>
            <w:lang w:val="sv-SE"/>
          </w:rPr>
          <w:instrText xml:space="preserve"> PAGEREF _Toc256000320 \h </w:instrText>
        </w:r>
        <w:r w:rsidR="00623E14" w:rsidRPr="00800D1B">
          <w:rPr>
            <w:lang w:val="sv-SE"/>
          </w:rPr>
        </w:r>
        <w:r w:rsidR="00623E14" w:rsidRPr="00800D1B">
          <w:rPr>
            <w:lang w:val="sv-SE"/>
          </w:rPr>
          <w:fldChar w:fldCharType="separate"/>
        </w:r>
        <w:r w:rsidR="00623E14" w:rsidRPr="00800D1B">
          <w:rPr>
            <w:lang w:val="sv-SE"/>
          </w:rPr>
          <w:t>57</w:t>
        </w:r>
        <w:r w:rsidR="00623E14" w:rsidRPr="00800D1B">
          <w:rPr>
            <w:lang w:val="sv-SE"/>
          </w:rPr>
          <w:fldChar w:fldCharType="end"/>
        </w:r>
      </w:hyperlink>
    </w:p>
    <w:p w14:paraId="2D065443" w14:textId="77777777" w:rsidR="003422DB" w:rsidRPr="00800D1B" w:rsidRDefault="00000000">
      <w:pPr>
        <w:pStyle w:val="Innehll5"/>
        <w:tabs>
          <w:tab w:val="right" w:leader="dot" w:pos="10240"/>
        </w:tabs>
        <w:rPr>
          <w:rFonts w:ascii="Calibri" w:hAnsi="Calibri"/>
          <w:sz w:val="22"/>
          <w:lang w:val="sv-SE"/>
        </w:rPr>
      </w:pPr>
      <w:hyperlink w:anchor="_Toc256000321" w:history="1">
        <w:r w:rsidR="00A77B3E" w:rsidRPr="00800D1B">
          <w:rPr>
            <w:rStyle w:val="Hyperlnk"/>
            <w:lang w:val="sv-SE"/>
          </w:rPr>
          <w:t>Angivande av de specifika målterritorierna, inbegripet planerad användning av territoriella verktyg – artikel 22.3 d v i förordningen om gemensamma bestämmelser</w:t>
        </w:r>
        <w:r w:rsidR="00623E14" w:rsidRPr="00800D1B">
          <w:rPr>
            <w:lang w:val="sv-SE"/>
          </w:rPr>
          <w:tab/>
        </w:r>
        <w:r w:rsidR="00623E14" w:rsidRPr="00800D1B">
          <w:rPr>
            <w:lang w:val="sv-SE"/>
          </w:rPr>
          <w:fldChar w:fldCharType="begin"/>
        </w:r>
        <w:r w:rsidR="00623E14" w:rsidRPr="00800D1B">
          <w:rPr>
            <w:lang w:val="sv-SE"/>
          </w:rPr>
          <w:instrText xml:space="preserve"> PAGEREF _Toc256000321 \h </w:instrText>
        </w:r>
        <w:r w:rsidR="00623E14" w:rsidRPr="00800D1B">
          <w:rPr>
            <w:lang w:val="sv-SE"/>
          </w:rPr>
        </w:r>
        <w:r w:rsidR="00623E14" w:rsidRPr="00800D1B">
          <w:rPr>
            <w:lang w:val="sv-SE"/>
          </w:rPr>
          <w:fldChar w:fldCharType="separate"/>
        </w:r>
        <w:r w:rsidR="00623E14" w:rsidRPr="00800D1B">
          <w:rPr>
            <w:lang w:val="sv-SE"/>
          </w:rPr>
          <w:t>57</w:t>
        </w:r>
        <w:r w:rsidR="00623E14" w:rsidRPr="00800D1B">
          <w:rPr>
            <w:lang w:val="sv-SE"/>
          </w:rPr>
          <w:fldChar w:fldCharType="end"/>
        </w:r>
      </w:hyperlink>
    </w:p>
    <w:p w14:paraId="2D065444" w14:textId="77777777" w:rsidR="003422DB" w:rsidRPr="00800D1B" w:rsidRDefault="00000000">
      <w:pPr>
        <w:pStyle w:val="Innehll5"/>
        <w:tabs>
          <w:tab w:val="right" w:leader="dot" w:pos="10240"/>
        </w:tabs>
        <w:rPr>
          <w:rFonts w:ascii="Calibri" w:hAnsi="Calibri"/>
          <w:sz w:val="22"/>
          <w:lang w:val="sv-SE"/>
        </w:rPr>
      </w:pPr>
      <w:hyperlink w:anchor="_Toc256000322" w:history="1">
        <w:r w:rsidR="00A77B3E" w:rsidRPr="00800D1B">
          <w:rPr>
            <w:rStyle w:val="Hyperlnk"/>
            <w:lang w:val="sv-SE"/>
          </w:rPr>
          <w:t>Interregionala, gränsregionala och transnationella åtgärder – artikel 22.3 d vi i förordningen om gemensamma bestämmelser</w:t>
        </w:r>
        <w:r w:rsidR="00623E14" w:rsidRPr="00800D1B">
          <w:rPr>
            <w:lang w:val="sv-SE"/>
          </w:rPr>
          <w:tab/>
        </w:r>
        <w:r w:rsidR="00623E14" w:rsidRPr="00800D1B">
          <w:rPr>
            <w:lang w:val="sv-SE"/>
          </w:rPr>
          <w:fldChar w:fldCharType="begin"/>
        </w:r>
        <w:r w:rsidR="00623E14" w:rsidRPr="00800D1B">
          <w:rPr>
            <w:lang w:val="sv-SE"/>
          </w:rPr>
          <w:instrText xml:space="preserve"> PAGEREF _Toc256000322 \h </w:instrText>
        </w:r>
        <w:r w:rsidR="00623E14" w:rsidRPr="00800D1B">
          <w:rPr>
            <w:lang w:val="sv-SE"/>
          </w:rPr>
        </w:r>
        <w:r w:rsidR="00623E14" w:rsidRPr="00800D1B">
          <w:rPr>
            <w:lang w:val="sv-SE"/>
          </w:rPr>
          <w:fldChar w:fldCharType="separate"/>
        </w:r>
        <w:r w:rsidR="00623E14" w:rsidRPr="00800D1B">
          <w:rPr>
            <w:lang w:val="sv-SE"/>
          </w:rPr>
          <w:t>58</w:t>
        </w:r>
        <w:r w:rsidR="00623E14" w:rsidRPr="00800D1B">
          <w:rPr>
            <w:lang w:val="sv-SE"/>
          </w:rPr>
          <w:fldChar w:fldCharType="end"/>
        </w:r>
      </w:hyperlink>
    </w:p>
    <w:p w14:paraId="2D065445" w14:textId="77777777" w:rsidR="003422DB" w:rsidRPr="00800D1B" w:rsidRDefault="00000000">
      <w:pPr>
        <w:pStyle w:val="Innehll5"/>
        <w:tabs>
          <w:tab w:val="right" w:leader="dot" w:pos="10240"/>
        </w:tabs>
        <w:rPr>
          <w:rFonts w:ascii="Calibri" w:hAnsi="Calibri"/>
          <w:sz w:val="22"/>
          <w:lang w:val="sv-SE"/>
        </w:rPr>
      </w:pPr>
      <w:hyperlink w:anchor="_Toc256000323" w:history="1">
        <w:r w:rsidR="00A77B3E" w:rsidRPr="00800D1B">
          <w:rPr>
            <w:rStyle w:val="Hyperlnk"/>
            <w:lang w:val="sv-SE"/>
          </w:rPr>
          <w:t>Planerad användning av finansieringsinstrument – artikel 22.3 d vii i förordningen om gemensamma bestämmelser</w:t>
        </w:r>
        <w:r w:rsidR="00623E14" w:rsidRPr="00800D1B">
          <w:rPr>
            <w:lang w:val="sv-SE"/>
          </w:rPr>
          <w:tab/>
        </w:r>
        <w:r w:rsidR="00623E14" w:rsidRPr="00800D1B">
          <w:rPr>
            <w:lang w:val="sv-SE"/>
          </w:rPr>
          <w:fldChar w:fldCharType="begin"/>
        </w:r>
        <w:r w:rsidR="00623E14" w:rsidRPr="00800D1B">
          <w:rPr>
            <w:lang w:val="sv-SE"/>
          </w:rPr>
          <w:instrText xml:space="preserve"> PAGEREF _Toc256000323 \h </w:instrText>
        </w:r>
        <w:r w:rsidR="00623E14" w:rsidRPr="00800D1B">
          <w:rPr>
            <w:lang w:val="sv-SE"/>
          </w:rPr>
        </w:r>
        <w:r w:rsidR="00623E14" w:rsidRPr="00800D1B">
          <w:rPr>
            <w:lang w:val="sv-SE"/>
          </w:rPr>
          <w:fldChar w:fldCharType="separate"/>
        </w:r>
        <w:r w:rsidR="00623E14" w:rsidRPr="00800D1B">
          <w:rPr>
            <w:lang w:val="sv-SE"/>
          </w:rPr>
          <w:t>58</w:t>
        </w:r>
        <w:r w:rsidR="00623E14" w:rsidRPr="00800D1B">
          <w:rPr>
            <w:lang w:val="sv-SE"/>
          </w:rPr>
          <w:fldChar w:fldCharType="end"/>
        </w:r>
      </w:hyperlink>
    </w:p>
    <w:p w14:paraId="2D065446" w14:textId="77777777" w:rsidR="003422DB" w:rsidRPr="00800D1B" w:rsidRDefault="00000000" w:rsidP="004F0B72">
      <w:pPr>
        <w:pStyle w:val="Innehll4"/>
        <w:rPr>
          <w:rFonts w:ascii="Calibri" w:hAnsi="Calibri"/>
          <w:sz w:val="22"/>
          <w:lang w:val="sv-SE"/>
        </w:rPr>
      </w:pPr>
      <w:hyperlink w:anchor="_Toc256000324" w:history="1">
        <w:r w:rsidR="00A77B3E" w:rsidRPr="00800D1B">
          <w:rPr>
            <w:rStyle w:val="Hyperlnk"/>
            <w:lang w:val="sv-SE"/>
          </w:rPr>
          <w:t>2.1.1.1.2. Indikatorer</w:t>
        </w:r>
        <w:r w:rsidR="00623E14" w:rsidRPr="00800D1B">
          <w:rPr>
            <w:lang w:val="sv-SE"/>
          </w:rPr>
          <w:tab/>
        </w:r>
        <w:r w:rsidR="00623E14" w:rsidRPr="00800D1B">
          <w:rPr>
            <w:lang w:val="sv-SE"/>
          </w:rPr>
          <w:fldChar w:fldCharType="begin"/>
        </w:r>
        <w:r w:rsidR="00623E14" w:rsidRPr="00800D1B">
          <w:rPr>
            <w:lang w:val="sv-SE"/>
          </w:rPr>
          <w:instrText xml:space="preserve"> PAGEREF _Toc256000324 \h </w:instrText>
        </w:r>
        <w:r w:rsidR="00623E14" w:rsidRPr="00800D1B">
          <w:rPr>
            <w:lang w:val="sv-SE"/>
          </w:rPr>
        </w:r>
        <w:r w:rsidR="00623E14" w:rsidRPr="00800D1B">
          <w:rPr>
            <w:lang w:val="sv-SE"/>
          </w:rPr>
          <w:fldChar w:fldCharType="separate"/>
        </w:r>
        <w:r w:rsidR="00623E14" w:rsidRPr="00800D1B">
          <w:rPr>
            <w:lang w:val="sv-SE"/>
          </w:rPr>
          <w:t>58</w:t>
        </w:r>
        <w:r w:rsidR="00623E14" w:rsidRPr="00800D1B">
          <w:rPr>
            <w:lang w:val="sv-SE"/>
          </w:rPr>
          <w:fldChar w:fldCharType="end"/>
        </w:r>
      </w:hyperlink>
    </w:p>
    <w:p w14:paraId="2D065447" w14:textId="77777777" w:rsidR="003422DB" w:rsidRPr="00800D1B" w:rsidRDefault="00000000">
      <w:pPr>
        <w:pStyle w:val="Innehll5"/>
        <w:tabs>
          <w:tab w:val="right" w:leader="dot" w:pos="10240"/>
        </w:tabs>
        <w:rPr>
          <w:rFonts w:ascii="Calibri" w:hAnsi="Calibri"/>
          <w:sz w:val="22"/>
          <w:lang w:val="sv-SE"/>
        </w:rPr>
      </w:pPr>
      <w:hyperlink w:anchor="_Toc256000325" w:history="1">
        <w:r w:rsidR="00A77B3E" w:rsidRPr="00800D1B">
          <w:rPr>
            <w:rStyle w:val="Hyperlnk"/>
            <w:lang w:val="sv-SE"/>
          </w:rPr>
          <w:t>Tabell 2: Utfallsindikatorer</w:t>
        </w:r>
        <w:r w:rsidR="00623E14" w:rsidRPr="00800D1B">
          <w:rPr>
            <w:lang w:val="sv-SE"/>
          </w:rPr>
          <w:tab/>
        </w:r>
        <w:r w:rsidR="00623E14" w:rsidRPr="00800D1B">
          <w:rPr>
            <w:lang w:val="sv-SE"/>
          </w:rPr>
          <w:fldChar w:fldCharType="begin"/>
        </w:r>
        <w:r w:rsidR="00623E14" w:rsidRPr="00800D1B">
          <w:rPr>
            <w:lang w:val="sv-SE"/>
          </w:rPr>
          <w:instrText xml:space="preserve"> PAGEREF _Toc256000325 \h </w:instrText>
        </w:r>
        <w:r w:rsidR="00623E14" w:rsidRPr="00800D1B">
          <w:rPr>
            <w:lang w:val="sv-SE"/>
          </w:rPr>
        </w:r>
        <w:r w:rsidR="00623E14" w:rsidRPr="00800D1B">
          <w:rPr>
            <w:lang w:val="sv-SE"/>
          </w:rPr>
          <w:fldChar w:fldCharType="separate"/>
        </w:r>
        <w:r w:rsidR="00623E14" w:rsidRPr="00800D1B">
          <w:rPr>
            <w:lang w:val="sv-SE"/>
          </w:rPr>
          <w:t>58</w:t>
        </w:r>
        <w:r w:rsidR="00623E14" w:rsidRPr="00800D1B">
          <w:rPr>
            <w:lang w:val="sv-SE"/>
          </w:rPr>
          <w:fldChar w:fldCharType="end"/>
        </w:r>
      </w:hyperlink>
    </w:p>
    <w:p w14:paraId="2D065448" w14:textId="77777777" w:rsidR="003422DB" w:rsidRPr="00800D1B" w:rsidRDefault="00000000">
      <w:pPr>
        <w:pStyle w:val="Innehll5"/>
        <w:tabs>
          <w:tab w:val="right" w:leader="dot" w:pos="10240"/>
        </w:tabs>
        <w:rPr>
          <w:rFonts w:ascii="Calibri" w:hAnsi="Calibri"/>
          <w:sz w:val="22"/>
          <w:lang w:val="sv-SE"/>
        </w:rPr>
      </w:pPr>
      <w:hyperlink w:anchor="_Toc256000326" w:history="1">
        <w:r w:rsidR="00A77B3E" w:rsidRPr="00800D1B">
          <w:rPr>
            <w:rStyle w:val="Hyperlnk"/>
            <w:lang w:val="sv-SE"/>
          </w:rPr>
          <w:t>Tabell 3: Resultatindikatorer</w:t>
        </w:r>
        <w:r w:rsidR="00623E14" w:rsidRPr="00800D1B">
          <w:rPr>
            <w:lang w:val="sv-SE"/>
          </w:rPr>
          <w:tab/>
        </w:r>
        <w:r w:rsidR="00623E14" w:rsidRPr="00800D1B">
          <w:rPr>
            <w:lang w:val="sv-SE"/>
          </w:rPr>
          <w:fldChar w:fldCharType="begin"/>
        </w:r>
        <w:r w:rsidR="00623E14" w:rsidRPr="00800D1B">
          <w:rPr>
            <w:lang w:val="sv-SE"/>
          </w:rPr>
          <w:instrText xml:space="preserve"> PAGEREF _Toc256000326 \h </w:instrText>
        </w:r>
        <w:r w:rsidR="00623E14" w:rsidRPr="00800D1B">
          <w:rPr>
            <w:lang w:val="sv-SE"/>
          </w:rPr>
        </w:r>
        <w:r w:rsidR="00623E14" w:rsidRPr="00800D1B">
          <w:rPr>
            <w:lang w:val="sv-SE"/>
          </w:rPr>
          <w:fldChar w:fldCharType="separate"/>
        </w:r>
        <w:r w:rsidR="00623E14" w:rsidRPr="00800D1B">
          <w:rPr>
            <w:lang w:val="sv-SE"/>
          </w:rPr>
          <w:t>59</w:t>
        </w:r>
        <w:r w:rsidR="00623E14" w:rsidRPr="00800D1B">
          <w:rPr>
            <w:lang w:val="sv-SE"/>
          </w:rPr>
          <w:fldChar w:fldCharType="end"/>
        </w:r>
      </w:hyperlink>
    </w:p>
    <w:p w14:paraId="2D065449" w14:textId="77777777" w:rsidR="003422DB" w:rsidRPr="00800D1B" w:rsidRDefault="00000000" w:rsidP="004F0B72">
      <w:pPr>
        <w:pStyle w:val="Innehll4"/>
        <w:rPr>
          <w:rFonts w:ascii="Calibri" w:hAnsi="Calibri"/>
          <w:sz w:val="22"/>
          <w:lang w:val="sv-SE"/>
        </w:rPr>
      </w:pPr>
      <w:hyperlink w:anchor="_Toc256000327" w:history="1">
        <w:r w:rsidR="00A77B3E" w:rsidRPr="00800D1B">
          <w:rPr>
            <w:rStyle w:val="Hyperlnk"/>
            <w:lang w:val="sv-SE"/>
          </w:rPr>
          <w:t>2.1.1.1.3. Preliminär fördelning av anslagna (EU-)medel efter interventionstyp</w:t>
        </w:r>
        <w:r w:rsidR="00623E14" w:rsidRPr="00800D1B">
          <w:rPr>
            <w:lang w:val="sv-SE"/>
          </w:rPr>
          <w:tab/>
        </w:r>
        <w:r w:rsidR="00623E14" w:rsidRPr="00800D1B">
          <w:rPr>
            <w:lang w:val="sv-SE"/>
          </w:rPr>
          <w:fldChar w:fldCharType="begin"/>
        </w:r>
        <w:r w:rsidR="00623E14" w:rsidRPr="00800D1B">
          <w:rPr>
            <w:lang w:val="sv-SE"/>
          </w:rPr>
          <w:instrText xml:space="preserve"> PAGEREF _Toc256000327 \h </w:instrText>
        </w:r>
        <w:r w:rsidR="00623E14" w:rsidRPr="00800D1B">
          <w:rPr>
            <w:lang w:val="sv-SE"/>
          </w:rPr>
        </w:r>
        <w:r w:rsidR="00623E14" w:rsidRPr="00800D1B">
          <w:rPr>
            <w:lang w:val="sv-SE"/>
          </w:rPr>
          <w:fldChar w:fldCharType="separate"/>
        </w:r>
        <w:r w:rsidR="00623E14" w:rsidRPr="00800D1B">
          <w:rPr>
            <w:lang w:val="sv-SE"/>
          </w:rPr>
          <w:t>59</w:t>
        </w:r>
        <w:r w:rsidR="00623E14" w:rsidRPr="00800D1B">
          <w:rPr>
            <w:lang w:val="sv-SE"/>
          </w:rPr>
          <w:fldChar w:fldCharType="end"/>
        </w:r>
      </w:hyperlink>
    </w:p>
    <w:p w14:paraId="2D06544A" w14:textId="77777777" w:rsidR="003422DB" w:rsidRPr="00800D1B" w:rsidRDefault="00000000">
      <w:pPr>
        <w:pStyle w:val="Innehll5"/>
        <w:tabs>
          <w:tab w:val="right" w:leader="dot" w:pos="10240"/>
        </w:tabs>
        <w:rPr>
          <w:rFonts w:ascii="Calibri" w:hAnsi="Calibri"/>
          <w:sz w:val="22"/>
          <w:lang w:val="sv-SE"/>
        </w:rPr>
      </w:pPr>
      <w:hyperlink w:anchor="_Toc256000328" w:history="1">
        <w:r w:rsidR="00A77B3E" w:rsidRPr="00800D1B">
          <w:rPr>
            <w:rStyle w:val="Hyperlnk"/>
            <w:lang w:val="sv-SE"/>
          </w:rPr>
          <w:t>Tabell 4: Dimension 1 – interventionsområde</w:t>
        </w:r>
        <w:r w:rsidR="00623E14" w:rsidRPr="00800D1B">
          <w:rPr>
            <w:lang w:val="sv-SE"/>
          </w:rPr>
          <w:tab/>
        </w:r>
        <w:r w:rsidR="00623E14" w:rsidRPr="00800D1B">
          <w:rPr>
            <w:lang w:val="sv-SE"/>
          </w:rPr>
          <w:fldChar w:fldCharType="begin"/>
        </w:r>
        <w:r w:rsidR="00623E14" w:rsidRPr="00800D1B">
          <w:rPr>
            <w:lang w:val="sv-SE"/>
          </w:rPr>
          <w:instrText xml:space="preserve"> PAGEREF _Toc256000328 \h </w:instrText>
        </w:r>
        <w:r w:rsidR="00623E14" w:rsidRPr="00800D1B">
          <w:rPr>
            <w:lang w:val="sv-SE"/>
          </w:rPr>
        </w:r>
        <w:r w:rsidR="00623E14" w:rsidRPr="00800D1B">
          <w:rPr>
            <w:lang w:val="sv-SE"/>
          </w:rPr>
          <w:fldChar w:fldCharType="separate"/>
        </w:r>
        <w:r w:rsidR="00623E14" w:rsidRPr="00800D1B">
          <w:rPr>
            <w:lang w:val="sv-SE"/>
          </w:rPr>
          <w:t>59</w:t>
        </w:r>
        <w:r w:rsidR="00623E14" w:rsidRPr="00800D1B">
          <w:rPr>
            <w:lang w:val="sv-SE"/>
          </w:rPr>
          <w:fldChar w:fldCharType="end"/>
        </w:r>
      </w:hyperlink>
    </w:p>
    <w:p w14:paraId="2D06544B" w14:textId="77777777" w:rsidR="003422DB" w:rsidRPr="00800D1B" w:rsidRDefault="00000000">
      <w:pPr>
        <w:pStyle w:val="Innehll5"/>
        <w:tabs>
          <w:tab w:val="right" w:leader="dot" w:pos="10240"/>
        </w:tabs>
        <w:rPr>
          <w:rFonts w:ascii="Calibri" w:hAnsi="Calibri"/>
          <w:sz w:val="22"/>
          <w:lang w:val="sv-SE"/>
        </w:rPr>
      </w:pPr>
      <w:hyperlink w:anchor="_Toc256000329" w:history="1">
        <w:r w:rsidR="00A77B3E" w:rsidRPr="00800D1B">
          <w:rPr>
            <w:rStyle w:val="Hyperlnk"/>
            <w:lang w:val="sv-SE"/>
          </w:rPr>
          <w:t>Tabell 5: Dimension 2 – finansieringsform</w:t>
        </w:r>
        <w:r w:rsidR="00623E14" w:rsidRPr="00800D1B">
          <w:rPr>
            <w:lang w:val="sv-SE"/>
          </w:rPr>
          <w:tab/>
        </w:r>
        <w:r w:rsidR="00623E14" w:rsidRPr="00800D1B">
          <w:rPr>
            <w:lang w:val="sv-SE"/>
          </w:rPr>
          <w:fldChar w:fldCharType="begin"/>
        </w:r>
        <w:r w:rsidR="00623E14" w:rsidRPr="00800D1B">
          <w:rPr>
            <w:lang w:val="sv-SE"/>
          </w:rPr>
          <w:instrText xml:space="preserve"> PAGEREF _Toc256000329 \h </w:instrText>
        </w:r>
        <w:r w:rsidR="00623E14" w:rsidRPr="00800D1B">
          <w:rPr>
            <w:lang w:val="sv-SE"/>
          </w:rPr>
        </w:r>
        <w:r w:rsidR="00623E14" w:rsidRPr="00800D1B">
          <w:rPr>
            <w:lang w:val="sv-SE"/>
          </w:rPr>
          <w:fldChar w:fldCharType="separate"/>
        </w:r>
        <w:r w:rsidR="00623E14" w:rsidRPr="00800D1B">
          <w:rPr>
            <w:lang w:val="sv-SE"/>
          </w:rPr>
          <w:t>60</w:t>
        </w:r>
        <w:r w:rsidR="00623E14" w:rsidRPr="00800D1B">
          <w:rPr>
            <w:lang w:val="sv-SE"/>
          </w:rPr>
          <w:fldChar w:fldCharType="end"/>
        </w:r>
      </w:hyperlink>
    </w:p>
    <w:p w14:paraId="2D06544C" w14:textId="77777777" w:rsidR="003422DB" w:rsidRPr="00800D1B" w:rsidRDefault="00000000">
      <w:pPr>
        <w:pStyle w:val="Innehll5"/>
        <w:tabs>
          <w:tab w:val="right" w:leader="dot" w:pos="10240"/>
        </w:tabs>
        <w:rPr>
          <w:rFonts w:ascii="Calibri" w:hAnsi="Calibri"/>
          <w:sz w:val="22"/>
          <w:lang w:val="sv-SE"/>
        </w:rPr>
      </w:pPr>
      <w:hyperlink w:anchor="_Toc256000330" w:history="1">
        <w:r w:rsidR="00A77B3E" w:rsidRPr="00800D1B">
          <w:rPr>
            <w:rStyle w:val="Hyperlnk"/>
            <w:lang w:val="sv-SE"/>
          </w:rPr>
          <w:t>Tabell 6: Dimension 3 – territoriell genomförandemetod och territoriellt fokus</w:t>
        </w:r>
        <w:r w:rsidR="00623E14" w:rsidRPr="00800D1B">
          <w:rPr>
            <w:lang w:val="sv-SE"/>
          </w:rPr>
          <w:tab/>
        </w:r>
        <w:r w:rsidR="00623E14" w:rsidRPr="00800D1B">
          <w:rPr>
            <w:lang w:val="sv-SE"/>
          </w:rPr>
          <w:fldChar w:fldCharType="begin"/>
        </w:r>
        <w:r w:rsidR="00623E14" w:rsidRPr="00800D1B">
          <w:rPr>
            <w:lang w:val="sv-SE"/>
          </w:rPr>
          <w:instrText xml:space="preserve"> PAGEREF _Toc256000330 \h </w:instrText>
        </w:r>
        <w:r w:rsidR="00623E14" w:rsidRPr="00800D1B">
          <w:rPr>
            <w:lang w:val="sv-SE"/>
          </w:rPr>
        </w:r>
        <w:r w:rsidR="00623E14" w:rsidRPr="00800D1B">
          <w:rPr>
            <w:lang w:val="sv-SE"/>
          </w:rPr>
          <w:fldChar w:fldCharType="separate"/>
        </w:r>
        <w:r w:rsidR="00623E14" w:rsidRPr="00800D1B">
          <w:rPr>
            <w:lang w:val="sv-SE"/>
          </w:rPr>
          <w:t>60</w:t>
        </w:r>
        <w:r w:rsidR="00623E14" w:rsidRPr="00800D1B">
          <w:rPr>
            <w:lang w:val="sv-SE"/>
          </w:rPr>
          <w:fldChar w:fldCharType="end"/>
        </w:r>
      </w:hyperlink>
    </w:p>
    <w:p w14:paraId="2D06544D" w14:textId="77777777" w:rsidR="003422DB" w:rsidRPr="00800D1B" w:rsidRDefault="00000000">
      <w:pPr>
        <w:pStyle w:val="Innehll5"/>
        <w:tabs>
          <w:tab w:val="right" w:leader="dot" w:pos="10240"/>
        </w:tabs>
        <w:rPr>
          <w:rFonts w:ascii="Calibri" w:hAnsi="Calibri"/>
          <w:sz w:val="22"/>
          <w:lang w:val="sv-SE"/>
        </w:rPr>
      </w:pPr>
      <w:hyperlink w:anchor="_Toc256000331" w:history="1">
        <w:r w:rsidR="00A77B3E" w:rsidRPr="00800D1B">
          <w:rPr>
            <w:rStyle w:val="Hyperlnk"/>
            <w:lang w:val="sv-SE"/>
          </w:rPr>
          <w:t>Tabell 7: Dimension 6 – ESF+-sekundärteman</w:t>
        </w:r>
        <w:r w:rsidR="00623E14" w:rsidRPr="00800D1B">
          <w:rPr>
            <w:lang w:val="sv-SE"/>
          </w:rPr>
          <w:tab/>
        </w:r>
        <w:r w:rsidR="00623E14" w:rsidRPr="00800D1B">
          <w:rPr>
            <w:lang w:val="sv-SE"/>
          </w:rPr>
          <w:fldChar w:fldCharType="begin"/>
        </w:r>
        <w:r w:rsidR="00623E14" w:rsidRPr="00800D1B">
          <w:rPr>
            <w:lang w:val="sv-SE"/>
          </w:rPr>
          <w:instrText xml:space="preserve"> PAGEREF _Toc256000331 \h </w:instrText>
        </w:r>
        <w:r w:rsidR="00623E14" w:rsidRPr="00800D1B">
          <w:rPr>
            <w:lang w:val="sv-SE"/>
          </w:rPr>
        </w:r>
        <w:r w:rsidR="00623E14" w:rsidRPr="00800D1B">
          <w:rPr>
            <w:lang w:val="sv-SE"/>
          </w:rPr>
          <w:fldChar w:fldCharType="separate"/>
        </w:r>
        <w:r w:rsidR="00623E14" w:rsidRPr="00800D1B">
          <w:rPr>
            <w:lang w:val="sv-SE"/>
          </w:rPr>
          <w:t>60</w:t>
        </w:r>
        <w:r w:rsidR="00623E14" w:rsidRPr="00800D1B">
          <w:rPr>
            <w:lang w:val="sv-SE"/>
          </w:rPr>
          <w:fldChar w:fldCharType="end"/>
        </w:r>
      </w:hyperlink>
    </w:p>
    <w:p w14:paraId="2D06544E" w14:textId="77777777" w:rsidR="003422DB" w:rsidRPr="00800D1B" w:rsidRDefault="00000000">
      <w:pPr>
        <w:pStyle w:val="Innehll5"/>
        <w:tabs>
          <w:tab w:val="right" w:leader="dot" w:pos="10240"/>
        </w:tabs>
        <w:rPr>
          <w:rFonts w:ascii="Calibri" w:hAnsi="Calibri"/>
          <w:sz w:val="22"/>
          <w:lang w:val="sv-SE"/>
        </w:rPr>
      </w:pPr>
      <w:hyperlink w:anchor="_Toc256000332" w:history="1">
        <w:r w:rsidR="00A77B3E" w:rsidRPr="00800D1B">
          <w:rPr>
            <w:rStyle w:val="Hyperlnk"/>
            <w:lang w:val="sv-SE"/>
          </w:rPr>
          <w:t>Tabell 8: Dimension 7 – ESF+, Eruf, Sammanhållningsfonden och FRO, jämställdhetsdimensionen</w:t>
        </w:r>
        <w:r w:rsidR="00623E14" w:rsidRPr="00800D1B">
          <w:rPr>
            <w:lang w:val="sv-SE"/>
          </w:rPr>
          <w:tab/>
        </w:r>
        <w:r w:rsidR="00623E14" w:rsidRPr="00800D1B">
          <w:rPr>
            <w:lang w:val="sv-SE"/>
          </w:rPr>
          <w:fldChar w:fldCharType="begin"/>
        </w:r>
        <w:r w:rsidR="00623E14" w:rsidRPr="00800D1B">
          <w:rPr>
            <w:lang w:val="sv-SE"/>
          </w:rPr>
          <w:instrText xml:space="preserve"> PAGEREF _Toc256000332 \h </w:instrText>
        </w:r>
        <w:r w:rsidR="00623E14" w:rsidRPr="00800D1B">
          <w:rPr>
            <w:lang w:val="sv-SE"/>
          </w:rPr>
        </w:r>
        <w:r w:rsidR="00623E14" w:rsidRPr="00800D1B">
          <w:rPr>
            <w:lang w:val="sv-SE"/>
          </w:rPr>
          <w:fldChar w:fldCharType="separate"/>
        </w:r>
        <w:r w:rsidR="00623E14" w:rsidRPr="00800D1B">
          <w:rPr>
            <w:lang w:val="sv-SE"/>
          </w:rPr>
          <w:t>60</w:t>
        </w:r>
        <w:r w:rsidR="00623E14" w:rsidRPr="00800D1B">
          <w:rPr>
            <w:lang w:val="sv-SE"/>
          </w:rPr>
          <w:fldChar w:fldCharType="end"/>
        </w:r>
      </w:hyperlink>
    </w:p>
    <w:p w14:paraId="2D06544F" w14:textId="77777777" w:rsidR="003422DB" w:rsidRPr="00800D1B" w:rsidRDefault="00000000">
      <w:pPr>
        <w:pStyle w:val="Innehll3"/>
        <w:tabs>
          <w:tab w:val="right" w:leader="dot" w:pos="10240"/>
        </w:tabs>
        <w:rPr>
          <w:rFonts w:ascii="Calibri" w:hAnsi="Calibri"/>
          <w:sz w:val="22"/>
          <w:lang w:val="sv-SE"/>
        </w:rPr>
      </w:pPr>
      <w:hyperlink w:anchor="_Toc256000333" w:history="1">
        <w:r w:rsidR="00A77B3E" w:rsidRPr="00800D1B">
          <w:rPr>
            <w:rStyle w:val="Hyperlnk"/>
            <w:lang w:val="sv-SE"/>
          </w:rPr>
          <w:t>2.1.1. Prioritering: 4. Klimat - Ett grönare och klimatsmartare övre Norrland</w:t>
        </w:r>
        <w:r w:rsidR="00623E14" w:rsidRPr="00800D1B">
          <w:rPr>
            <w:lang w:val="sv-SE"/>
          </w:rPr>
          <w:tab/>
        </w:r>
        <w:r w:rsidR="00623E14" w:rsidRPr="00800D1B">
          <w:rPr>
            <w:lang w:val="sv-SE"/>
          </w:rPr>
          <w:fldChar w:fldCharType="begin"/>
        </w:r>
        <w:r w:rsidR="00623E14" w:rsidRPr="00800D1B">
          <w:rPr>
            <w:lang w:val="sv-SE"/>
          </w:rPr>
          <w:instrText xml:space="preserve"> PAGEREF _Toc256000333 \h </w:instrText>
        </w:r>
        <w:r w:rsidR="00623E14" w:rsidRPr="00800D1B">
          <w:rPr>
            <w:lang w:val="sv-SE"/>
          </w:rPr>
        </w:r>
        <w:r w:rsidR="00623E14" w:rsidRPr="00800D1B">
          <w:rPr>
            <w:lang w:val="sv-SE"/>
          </w:rPr>
          <w:fldChar w:fldCharType="separate"/>
        </w:r>
        <w:r w:rsidR="00623E14" w:rsidRPr="00800D1B">
          <w:rPr>
            <w:lang w:val="sv-SE"/>
          </w:rPr>
          <w:t>61</w:t>
        </w:r>
        <w:r w:rsidR="00623E14" w:rsidRPr="00800D1B">
          <w:rPr>
            <w:lang w:val="sv-SE"/>
          </w:rPr>
          <w:fldChar w:fldCharType="end"/>
        </w:r>
      </w:hyperlink>
    </w:p>
    <w:p w14:paraId="2D065450" w14:textId="77777777" w:rsidR="003422DB" w:rsidRPr="00800D1B" w:rsidRDefault="00000000" w:rsidP="004F0B72">
      <w:pPr>
        <w:pStyle w:val="Innehll4"/>
        <w:rPr>
          <w:rFonts w:ascii="Calibri" w:hAnsi="Calibri"/>
          <w:sz w:val="22"/>
          <w:lang w:val="sv-SE"/>
        </w:rPr>
      </w:pPr>
      <w:hyperlink w:anchor="_Toc256000334" w:history="1">
        <w:r w:rsidR="00A77B3E" w:rsidRPr="00800D1B">
          <w:rPr>
            <w:rStyle w:val="Hyperlnk"/>
            <w:lang w:val="sv-SE"/>
          </w:rPr>
          <w:t>2.1.1.1. Specifikt mål: RSO2.2. Främja förnybar energi i enlighet med direktiv (EU) 2018/2001[1] om förnybar energi, inbegripet de hållbarhetskriterier som anges där (Eruf)</w:t>
        </w:r>
        <w:r w:rsidR="00623E14" w:rsidRPr="00800D1B">
          <w:rPr>
            <w:lang w:val="sv-SE"/>
          </w:rPr>
          <w:tab/>
        </w:r>
        <w:r w:rsidR="00623E14" w:rsidRPr="00800D1B">
          <w:rPr>
            <w:lang w:val="sv-SE"/>
          </w:rPr>
          <w:fldChar w:fldCharType="begin"/>
        </w:r>
        <w:r w:rsidR="00623E14" w:rsidRPr="00800D1B">
          <w:rPr>
            <w:lang w:val="sv-SE"/>
          </w:rPr>
          <w:instrText xml:space="preserve"> PAGEREF _Toc256000334 \h </w:instrText>
        </w:r>
        <w:r w:rsidR="00623E14" w:rsidRPr="00800D1B">
          <w:rPr>
            <w:lang w:val="sv-SE"/>
          </w:rPr>
        </w:r>
        <w:r w:rsidR="00623E14" w:rsidRPr="00800D1B">
          <w:rPr>
            <w:lang w:val="sv-SE"/>
          </w:rPr>
          <w:fldChar w:fldCharType="separate"/>
        </w:r>
        <w:r w:rsidR="00623E14" w:rsidRPr="00800D1B">
          <w:rPr>
            <w:lang w:val="sv-SE"/>
          </w:rPr>
          <w:t>61</w:t>
        </w:r>
        <w:r w:rsidR="00623E14" w:rsidRPr="00800D1B">
          <w:rPr>
            <w:lang w:val="sv-SE"/>
          </w:rPr>
          <w:fldChar w:fldCharType="end"/>
        </w:r>
      </w:hyperlink>
    </w:p>
    <w:p w14:paraId="2D065451" w14:textId="77777777" w:rsidR="003422DB" w:rsidRPr="00800D1B" w:rsidRDefault="00000000" w:rsidP="004F0B72">
      <w:pPr>
        <w:pStyle w:val="Innehll4"/>
        <w:rPr>
          <w:rFonts w:ascii="Calibri" w:hAnsi="Calibri"/>
          <w:sz w:val="22"/>
          <w:lang w:val="sv-SE"/>
        </w:rPr>
      </w:pPr>
      <w:hyperlink w:anchor="_Toc256000335" w:history="1">
        <w:r w:rsidR="00A77B3E" w:rsidRPr="00800D1B">
          <w:rPr>
            <w:rStyle w:val="Hyperlnk"/>
            <w:lang w:val="sv-SE"/>
          </w:rPr>
          <w:t>2.1.1.1.1. Interventioner inom ramen för fonderna</w:t>
        </w:r>
        <w:r w:rsidR="00623E14" w:rsidRPr="00800D1B">
          <w:rPr>
            <w:lang w:val="sv-SE"/>
          </w:rPr>
          <w:tab/>
        </w:r>
        <w:r w:rsidR="00623E14" w:rsidRPr="00800D1B">
          <w:rPr>
            <w:lang w:val="sv-SE"/>
          </w:rPr>
          <w:fldChar w:fldCharType="begin"/>
        </w:r>
        <w:r w:rsidR="00623E14" w:rsidRPr="00800D1B">
          <w:rPr>
            <w:lang w:val="sv-SE"/>
          </w:rPr>
          <w:instrText xml:space="preserve"> PAGEREF _Toc256000335 \h </w:instrText>
        </w:r>
        <w:r w:rsidR="00623E14" w:rsidRPr="00800D1B">
          <w:rPr>
            <w:lang w:val="sv-SE"/>
          </w:rPr>
        </w:r>
        <w:r w:rsidR="00623E14" w:rsidRPr="00800D1B">
          <w:rPr>
            <w:lang w:val="sv-SE"/>
          </w:rPr>
          <w:fldChar w:fldCharType="separate"/>
        </w:r>
        <w:r w:rsidR="00623E14" w:rsidRPr="00800D1B">
          <w:rPr>
            <w:lang w:val="sv-SE"/>
          </w:rPr>
          <w:t>61</w:t>
        </w:r>
        <w:r w:rsidR="00623E14" w:rsidRPr="00800D1B">
          <w:rPr>
            <w:lang w:val="sv-SE"/>
          </w:rPr>
          <w:fldChar w:fldCharType="end"/>
        </w:r>
      </w:hyperlink>
    </w:p>
    <w:p w14:paraId="2D065452" w14:textId="77777777" w:rsidR="003422DB" w:rsidRPr="00800D1B" w:rsidRDefault="00000000">
      <w:pPr>
        <w:pStyle w:val="Innehll5"/>
        <w:tabs>
          <w:tab w:val="right" w:leader="dot" w:pos="10240"/>
        </w:tabs>
        <w:rPr>
          <w:rFonts w:ascii="Calibri" w:hAnsi="Calibri"/>
          <w:sz w:val="22"/>
          <w:lang w:val="sv-SE"/>
        </w:rPr>
      </w:pPr>
      <w:hyperlink w:anchor="_Toc256000336" w:history="1">
        <w:r w:rsidR="00A77B3E" w:rsidRPr="00800D1B">
          <w:rPr>
            <w:rStyle w:val="Hyperlnk"/>
            <w:lang w:val="sv-SE"/>
          </w:rPr>
          <w:t>Relaterade typer av åtgärder – artikel 22.3 d i i förordningen om gemensamma bestämmelser och artikel 6 i ESF+-förordningen</w:t>
        </w:r>
        <w:r w:rsidR="00623E14" w:rsidRPr="00800D1B">
          <w:rPr>
            <w:lang w:val="sv-SE"/>
          </w:rPr>
          <w:tab/>
        </w:r>
        <w:r w:rsidR="00623E14" w:rsidRPr="00800D1B">
          <w:rPr>
            <w:lang w:val="sv-SE"/>
          </w:rPr>
          <w:fldChar w:fldCharType="begin"/>
        </w:r>
        <w:r w:rsidR="00623E14" w:rsidRPr="00800D1B">
          <w:rPr>
            <w:lang w:val="sv-SE"/>
          </w:rPr>
          <w:instrText xml:space="preserve"> PAGEREF _Toc256000336 \h </w:instrText>
        </w:r>
        <w:r w:rsidR="00623E14" w:rsidRPr="00800D1B">
          <w:rPr>
            <w:lang w:val="sv-SE"/>
          </w:rPr>
        </w:r>
        <w:r w:rsidR="00623E14" w:rsidRPr="00800D1B">
          <w:rPr>
            <w:lang w:val="sv-SE"/>
          </w:rPr>
          <w:fldChar w:fldCharType="separate"/>
        </w:r>
        <w:r w:rsidR="00623E14" w:rsidRPr="00800D1B">
          <w:rPr>
            <w:lang w:val="sv-SE"/>
          </w:rPr>
          <w:t>61</w:t>
        </w:r>
        <w:r w:rsidR="00623E14" w:rsidRPr="00800D1B">
          <w:rPr>
            <w:lang w:val="sv-SE"/>
          </w:rPr>
          <w:fldChar w:fldCharType="end"/>
        </w:r>
      </w:hyperlink>
    </w:p>
    <w:p w14:paraId="2D065453" w14:textId="77777777" w:rsidR="003422DB" w:rsidRPr="00800D1B" w:rsidRDefault="00000000">
      <w:pPr>
        <w:pStyle w:val="Innehll5"/>
        <w:tabs>
          <w:tab w:val="right" w:leader="dot" w:pos="10240"/>
        </w:tabs>
        <w:rPr>
          <w:rFonts w:ascii="Calibri" w:hAnsi="Calibri"/>
          <w:sz w:val="22"/>
          <w:lang w:val="sv-SE"/>
        </w:rPr>
      </w:pPr>
      <w:hyperlink w:anchor="_Toc256000337" w:history="1">
        <w:r w:rsidR="00A77B3E" w:rsidRPr="00800D1B">
          <w:rPr>
            <w:rStyle w:val="Hyperlnk"/>
            <w:lang w:val="sv-SE"/>
          </w:rPr>
          <w:t>Huvudsakliga målgrupper – artikel 22.3 d iii i förordningen om gemensamma bestämmelser</w:t>
        </w:r>
        <w:r w:rsidR="00623E14" w:rsidRPr="00800D1B">
          <w:rPr>
            <w:lang w:val="sv-SE"/>
          </w:rPr>
          <w:tab/>
        </w:r>
        <w:r w:rsidR="00623E14" w:rsidRPr="00800D1B">
          <w:rPr>
            <w:lang w:val="sv-SE"/>
          </w:rPr>
          <w:fldChar w:fldCharType="begin"/>
        </w:r>
        <w:r w:rsidR="00623E14" w:rsidRPr="00800D1B">
          <w:rPr>
            <w:lang w:val="sv-SE"/>
          </w:rPr>
          <w:instrText xml:space="preserve"> PAGEREF _Toc256000337 \h </w:instrText>
        </w:r>
        <w:r w:rsidR="00623E14" w:rsidRPr="00800D1B">
          <w:rPr>
            <w:lang w:val="sv-SE"/>
          </w:rPr>
        </w:r>
        <w:r w:rsidR="00623E14" w:rsidRPr="00800D1B">
          <w:rPr>
            <w:lang w:val="sv-SE"/>
          </w:rPr>
          <w:fldChar w:fldCharType="separate"/>
        </w:r>
        <w:r w:rsidR="00623E14" w:rsidRPr="00800D1B">
          <w:rPr>
            <w:lang w:val="sv-SE"/>
          </w:rPr>
          <w:t>62</w:t>
        </w:r>
        <w:r w:rsidR="00623E14" w:rsidRPr="00800D1B">
          <w:rPr>
            <w:lang w:val="sv-SE"/>
          </w:rPr>
          <w:fldChar w:fldCharType="end"/>
        </w:r>
      </w:hyperlink>
    </w:p>
    <w:p w14:paraId="2D065454" w14:textId="77777777" w:rsidR="003422DB" w:rsidRPr="00800D1B" w:rsidRDefault="00000000">
      <w:pPr>
        <w:pStyle w:val="Innehll5"/>
        <w:tabs>
          <w:tab w:val="right" w:leader="dot" w:pos="10240"/>
        </w:tabs>
        <w:rPr>
          <w:rFonts w:ascii="Calibri" w:hAnsi="Calibri"/>
          <w:sz w:val="22"/>
          <w:lang w:val="sv-SE"/>
        </w:rPr>
      </w:pPr>
      <w:hyperlink w:anchor="_Toc256000338" w:history="1">
        <w:r w:rsidR="00A77B3E" w:rsidRPr="00800D1B">
          <w:rPr>
            <w:rStyle w:val="Hyperlnk"/>
            <w:lang w:val="sv-SE"/>
          </w:rPr>
          <w:t>Åtgärder för säkerställande av jämställdhet, inkludering och icke-diskriminering – artikel 22.3 d iv i förordningen om gemensamma bestämmelser och artikel 6 i ESF+-förordningen</w:t>
        </w:r>
        <w:r w:rsidR="00623E14" w:rsidRPr="00800D1B">
          <w:rPr>
            <w:lang w:val="sv-SE"/>
          </w:rPr>
          <w:tab/>
        </w:r>
        <w:r w:rsidR="00623E14" w:rsidRPr="00800D1B">
          <w:rPr>
            <w:lang w:val="sv-SE"/>
          </w:rPr>
          <w:fldChar w:fldCharType="begin"/>
        </w:r>
        <w:r w:rsidR="00623E14" w:rsidRPr="00800D1B">
          <w:rPr>
            <w:lang w:val="sv-SE"/>
          </w:rPr>
          <w:instrText xml:space="preserve"> PAGEREF _Toc256000338 \h </w:instrText>
        </w:r>
        <w:r w:rsidR="00623E14" w:rsidRPr="00800D1B">
          <w:rPr>
            <w:lang w:val="sv-SE"/>
          </w:rPr>
        </w:r>
        <w:r w:rsidR="00623E14" w:rsidRPr="00800D1B">
          <w:rPr>
            <w:lang w:val="sv-SE"/>
          </w:rPr>
          <w:fldChar w:fldCharType="separate"/>
        </w:r>
        <w:r w:rsidR="00623E14" w:rsidRPr="00800D1B">
          <w:rPr>
            <w:lang w:val="sv-SE"/>
          </w:rPr>
          <w:t>62</w:t>
        </w:r>
        <w:r w:rsidR="00623E14" w:rsidRPr="00800D1B">
          <w:rPr>
            <w:lang w:val="sv-SE"/>
          </w:rPr>
          <w:fldChar w:fldCharType="end"/>
        </w:r>
      </w:hyperlink>
    </w:p>
    <w:p w14:paraId="2D065455" w14:textId="77777777" w:rsidR="003422DB" w:rsidRPr="00800D1B" w:rsidRDefault="00000000">
      <w:pPr>
        <w:pStyle w:val="Innehll5"/>
        <w:tabs>
          <w:tab w:val="right" w:leader="dot" w:pos="10240"/>
        </w:tabs>
        <w:rPr>
          <w:rFonts w:ascii="Calibri" w:hAnsi="Calibri"/>
          <w:sz w:val="22"/>
          <w:lang w:val="sv-SE"/>
        </w:rPr>
      </w:pPr>
      <w:hyperlink w:anchor="_Toc256000339" w:history="1">
        <w:r w:rsidR="00A77B3E" w:rsidRPr="00800D1B">
          <w:rPr>
            <w:rStyle w:val="Hyperlnk"/>
            <w:lang w:val="sv-SE"/>
          </w:rPr>
          <w:t>Angivande av de specifika målterritorierna, inbegripet planerad användning av territoriella verktyg – artikel 22.3 d v i förordningen om gemensamma bestämmelser</w:t>
        </w:r>
        <w:r w:rsidR="00623E14" w:rsidRPr="00800D1B">
          <w:rPr>
            <w:lang w:val="sv-SE"/>
          </w:rPr>
          <w:tab/>
        </w:r>
        <w:r w:rsidR="00623E14" w:rsidRPr="00800D1B">
          <w:rPr>
            <w:lang w:val="sv-SE"/>
          </w:rPr>
          <w:fldChar w:fldCharType="begin"/>
        </w:r>
        <w:r w:rsidR="00623E14" w:rsidRPr="00800D1B">
          <w:rPr>
            <w:lang w:val="sv-SE"/>
          </w:rPr>
          <w:instrText xml:space="preserve"> PAGEREF _Toc256000339 \h </w:instrText>
        </w:r>
        <w:r w:rsidR="00623E14" w:rsidRPr="00800D1B">
          <w:rPr>
            <w:lang w:val="sv-SE"/>
          </w:rPr>
        </w:r>
        <w:r w:rsidR="00623E14" w:rsidRPr="00800D1B">
          <w:rPr>
            <w:lang w:val="sv-SE"/>
          </w:rPr>
          <w:fldChar w:fldCharType="separate"/>
        </w:r>
        <w:r w:rsidR="00623E14" w:rsidRPr="00800D1B">
          <w:rPr>
            <w:lang w:val="sv-SE"/>
          </w:rPr>
          <w:t>63</w:t>
        </w:r>
        <w:r w:rsidR="00623E14" w:rsidRPr="00800D1B">
          <w:rPr>
            <w:lang w:val="sv-SE"/>
          </w:rPr>
          <w:fldChar w:fldCharType="end"/>
        </w:r>
      </w:hyperlink>
    </w:p>
    <w:p w14:paraId="2D065456" w14:textId="77777777" w:rsidR="003422DB" w:rsidRPr="00800D1B" w:rsidRDefault="00000000">
      <w:pPr>
        <w:pStyle w:val="Innehll5"/>
        <w:tabs>
          <w:tab w:val="right" w:leader="dot" w:pos="10240"/>
        </w:tabs>
        <w:rPr>
          <w:rFonts w:ascii="Calibri" w:hAnsi="Calibri"/>
          <w:sz w:val="22"/>
          <w:lang w:val="sv-SE"/>
        </w:rPr>
      </w:pPr>
      <w:hyperlink w:anchor="_Toc256000340" w:history="1">
        <w:r w:rsidR="00A77B3E" w:rsidRPr="00800D1B">
          <w:rPr>
            <w:rStyle w:val="Hyperlnk"/>
            <w:lang w:val="sv-SE"/>
          </w:rPr>
          <w:t>Interregionala, gränsregionala och transnationella åtgärder – artikel 22.3 d vi i förordningen om gemensamma bestämmelser</w:t>
        </w:r>
        <w:r w:rsidR="00623E14" w:rsidRPr="00800D1B">
          <w:rPr>
            <w:lang w:val="sv-SE"/>
          </w:rPr>
          <w:tab/>
        </w:r>
        <w:r w:rsidR="00623E14" w:rsidRPr="00800D1B">
          <w:rPr>
            <w:lang w:val="sv-SE"/>
          </w:rPr>
          <w:fldChar w:fldCharType="begin"/>
        </w:r>
        <w:r w:rsidR="00623E14" w:rsidRPr="00800D1B">
          <w:rPr>
            <w:lang w:val="sv-SE"/>
          </w:rPr>
          <w:instrText xml:space="preserve"> PAGEREF _Toc256000340 \h </w:instrText>
        </w:r>
        <w:r w:rsidR="00623E14" w:rsidRPr="00800D1B">
          <w:rPr>
            <w:lang w:val="sv-SE"/>
          </w:rPr>
        </w:r>
        <w:r w:rsidR="00623E14" w:rsidRPr="00800D1B">
          <w:rPr>
            <w:lang w:val="sv-SE"/>
          </w:rPr>
          <w:fldChar w:fldCharType="separate"/>
        </w:r>
        <w:r w:rsidR="00623E14" w:rsidRPr="00800D1B">
          <w:rPr>
            <w:lang w:val="sv-SE"/>
          </w:rPr>
          <w:t>63</w:t>
        </w:r>
        <w:r w:rsidR="00623E14" w:rsidRPr="00800D1B">
          <w:rPr>
            <w:lang w:val="sv-SE"/>
          </w:rPr>
          <w:fldChar w:fldCharType="end"/>
        </w:r>
      </w:hyperlink>
    </w:p>
    <w:p w14:paraId="2D065457" w14:textId="77777777" w:rsidR="003422DB" w:rsidRPr="00800D1B" w:rsidRDefault="00000000">
      <w:pPr>
        <w:pStyle w:val="Innehll5"/>
        <w:tabs>
          <w:tab w:val="right" w:leader="dot" w:pos="10240"/>
        </w:tabs>
        <w:rPr>
          <w:rFonts w:ascii="Calibri" w:hAnsi="Calibri"/>
          <w:sz w:val="22"/>
          <w:lang w:val="sv-SE"/>
        </w:rPr>
      </w:pPr>
      <w:hyperlink w:anchor="_Toc256000341" w:history="1">
        <w:r w:rsidR="00A77B3E" w:rsidRPr="00800D1B">
          <w:rPr>
            <w:rStyle w:val="Hyperlnk"/>
            <w:lang w:val="sv-SE"/>
          </w:rPr>
          <w:t>Planerad användning av finansieringsinstrument – artikel 22.3 d vii i förordningen om gemensamma bestämmelser</w:t>
        </w:r>
        <w:r w:rsidR="00623E14" w:rsidRPr="00800D1B">
          <w:rPr>
            <w:lang w:val="sv-SE"/>
          </w:rPr>
          <w:tab/>
        </w:r>
        <w:r w:rsidR="00623E14" w:rsidRPr="00800D1B">
          <w:rPr>
            <w:lang w:val="sv-SE"/>
          </w:rPr>
          <w:fldChar w:fldCharType="begin"/>
        </w:r>
        <w:r w:rsidR="00623E14" w:rsidRPr="00800D1B">
          <w:rPr>
            <w:lang w:val="sv-SE"/>
          </w:rPr>
          <w:instrText xml:space="preserve"> PAGEREF _Toc256000341 \h </w:instrText>
        </w:r>
        <w:r w:rsidR="00623E14" w:rsidRPr="00800D1B">
          <w:rPr>
            <w:lang w:val="sv-SE"/>
          </w:rPr>
        </w:r>
        <w:r w:rsidR="00623E14" w:rsidRPr="00800D1B">
          <w:rPr>
            <w:lang w:val="sv-SE"/>
          </w:rPr>
          <w:fldChar w:fldCharType="separate"/>
        </w:r>
        <w:r w:rsidR="00623E14" w:rsidRPr="00800D1B">
          <w:rPr>
            <w:lang w:val="sv-SE"/>
          </w:rPr>
          <w:t>64</w:t>
        </w:r>
        <w:r w:rsidR="00623E14" w:rsidRPr="00800D1B">
          <w:rPr>
            <w:lang w:val="sv-SE"/>
          </w:rPr>
          <w:fldChar w:fldCharType="end"/>
        </w:r>
      </w:hyperlink>
    </w:p>
    <w:p w14:paraId="2D065458" w14:textId="77777777" w:rsidR="003422DB" w:rsidRPr="00800D1B" w:rsidRDefault="00000000" w:rsidP="004F0B72">
      <w:pPr>
        <w:pStyle w:val="Innehll4"/>
        <w:rPr>
          <w:rFonts w:ascii="Calibri" w:hAnsi="Calibri"/>
          <w:sz w:val="22"/>
          <w:lang w:val="sv-SE"/>
        </w:rPr>
      </w:pPr>
      <w:hyperlink w:anchor="_Toc256000342" w:history="1">
        <w:r w:rsidR="00A77B3E" w:rsidRPr="00800D1B">
          <w:rPr>
            <w:rStyle w:val="Hyperlnk"/>
            <w:lang w:val="sv-SE"/>
          </w:rPr>
          <w:t>2.1.1.1.2. Indikatorer</w:t>
        </w:r>
        <w:r w:rsidR="00623E14" w:rsidRPr="00800D1B">
          <w:rPr>
            <w:lang w:val="sv-SE"/>
          </w:rPr>
          <w:tab/>
        </w:r>
        <w:r w:rsidR="00623E14" w:rsidRPr="00800D1B">
          <w:rPr>
            <w:lang w:val="sv-SE"/>
          </w:rPr>
          <w:fldChar w:fldCharType="begin"/>
        </w:r>
        <w:r w:rsidR="00623E14" w:rsidRPr="00800D1B">
          <w:rPr>
            <w:lang w:val="sv-SE"/>
          </w:rPr>
          <w:instrText xml:space="preserve"> PAGEREF _Toc256000342 \h </w:instrText>
        </w:r>
        <w:r w:rsidR="00623E14" w:rsidRPr="00800D1B">
          <w:rPr>
            <w:lang w:val="sv-SE"/>
          </w:rPr>
        </w:r>
        <w:r w:rsidR="00623E14" w:rsidRPr="00800D1B">
          <w:rPr>
            <w:lang w:val="sv-SE"/>
          </w:rPr>
          <w:fldChar w:fldCharType="separate"/>
        </w:r>
        <w:r w:rsidR="00623E14" w:rsidRPr="00800D1B">
          <w:rPr>
            <w:lang w:val="sv-SE"/>
          </w:rPr>
          <w:t>64</w:t>
        </w:r>
        <w:r w:rsidR="00623E14" w:rsidRPr="00800D1B">
          <w:rPr>
            <w:lang w:val="sv-SE"/>
          </w:rPr>
          <w:fldChar w:fldCharType="end"/>
        </w:r>
      </w:hyperlink>
    </w:p>
    <w:p w14:paraId="2D065459" w14:textId="77777777" w:rsidR="003422DB" w:rsidRPr="00800D1B" w:rsidRDefault="00000000">
      <w:pPr>
        <w:pStyle w:val="Innehll5"/>
        <w:tabs>
          <w:tab w:val="right" w:leader="dot" w:pos="10240"/>
        </w:tabs>
        <w:rPr>
          <w:rFonts w:ascii="Calibri" w:hAnsi="Calibri"/>
          <w:sz w:val="22"/>
          <w:lang w:val="sv-SE"/>
        </w:rPr>
      </w:pPr>
      <w:hyperlink w:anchor="_Toc256000343" w:history="1">
        <w:r w:rsidR="00A77B3E" w:rsidRPr="00800D1B">
          <w:rPr>
            <w:rStyle w:val="Hyperlnk"/>
            <w:lang w:val="sv-SE"/>
          </w:rPr>
          <w:t>Tabell 2: Utfallsindikatorer</w:t>
        </w:r>
        <w:r w:rsidR="00623E14" w:rsidRPr="00800D1B">
          <w:rPr>
            <w:lang w:val="sv-SE"/>
          </w:rPr>
          <w:tab/>
        </w:r>
        <w:r w:rsidR="00623E14" w:rsidRPr="00800D1B">
          <w:rPr>
            <w:lang w:val="sv-SE"/>
          </w:rPr>
          <w:fldChar w:fldCharType="begin"/>
        </w:r>
        <w:r w:rsidR="00623E14" w:rsidRPr="00800D1B">
          <w:rPr>
            <w:lang w:val="sv-SE"/>
          </w:rPr>
          <w:instrText xml:space="preserve"> PAGEREF _Toc256000343 \h </w:instrText>
        </w:r>
        <w:r w:rsidR="00623E14" w:rsidRPr="00800D1B">
          <w:rPr>
            <w:lang w:val="sv-SE"/>
          </w:rPr>
        </w:r>
        <w:r w:rsidR="00623E14" w:rsidRPr="00800D1B">
          <w:rPr>
            <w:lang w:val="sv-SE"/>
          </w:rPr>
          <w:fldChar w:fldCharType="separate"/>
        </w:r>
        <w:r w:rsidR="00623E14" w:rsidRPr="00800D1B">
          <w:rPr>
            <w:lang w:val="sv-SE"/>
          </w:rPr>
          <w:t>64</w:t>
        </w:r>
        <w:r w:rsidR="00623E14" w:rsidRPr="00800D1B">
          <w:rPr>
            <w:lang w:val="sv-SE"/>
          </w:rPr>
          <w:fldChar w:fldCharType="end"/>
        </w:r>
      </w:hyperlink>
    </w:p>
    <w:p w14:paraId="2D06545A" w14:textId="77777777" w:rsidR="003422DB" w:rsidRPr="00800D1B" w:rsidRDefault="00000000">
      <w:pPr>
        <w:pStyle w:val="Innehll5"/>
        <w:tabs>
          <w:tab w:val="right" w:leader="dot" w:pos="10240"/>
        </w:tabs>
        <w:rPr>
          <w:rFonts w:ascii="Calibri" w:hAnsi="Calibri"/>
          <w:sz w:val="22"/>
          <w:lang w:val="sv-SE"/>
        </w:rPr>
      </w:pPr>
      <w:hyperlink w:anchor="_Toc256000344" w:history="1">
        <w:r w:rsidR="00A77B3E" w:rsidRPr="00800D1B">
          <w:rPr>
            <w:rStyle w:val="Hyperlnk"/>
            <w:lang w:val="sv-SE"/>
          </w:rPr>
          <w:t>Tabell 3: Resultatindikatorer</w:t>
        </w:r>
        <w:r w:rsidR="00623E14" w:rsidRPr="00800D1B">
          <w:rPr>
            <w:lang w:val="sv-SE"/>
          </w:rPr>
          <w:tab/>
        </w:r>
        <w:r w:rsidR="00623E14" w:rsidRPr="00800D1B">
          <w:rPr>
            <w:lang w:val="sv-SE"/>
          </w:rPr>
          <w:fldChar w:fldCharType="begin"/>
        </w:r>
        <w:r w:rsidR="00623E14" w:rsidRPr="00800D1B">
          <w:rPr>
            <w:lang w:val="sv-SE"/>
          </w:rPr>
          <w:instrText xml:space="preserve"> PAGEREF _Toc256000344 \h </w:instrText>
        </w:r>
        <w:r w:rsidR="00623E14" w:rsidRPr="00800D1B">
          <w:rPr>
            <w:lang w:val="sv-SE"/>
          </w:rPr>
        </w:r>
        <w:r w:rsidR="00623E14" w:rsidRPr="00800D1B">
          <w:rPr>
            <w:lang w:val="sv-SE"/>
          </w:rPr>
          <w:fldChar w:fldCharType="separate"/>
        </w:r>
        <w:r w:rsidR="00623E14" w:rsidRPr="00800D1B">
          <w:rPr>
            <w:lang w:val="sv-SE"/>
          </w:rPr>
          <w:t>64</w:t>
        </w:r>
        <w:r w:rsidR="00623E14" w:rsidRPr="00800D1B">
          <w:rPr>
            <w:lang w:val="sv-SE"/>
          </w:rPr>
          <w:fldChar w:fldCharType="end"/>
        </w:r>
      </w:hyperlink>
    </w:p>
    <w:p w14:paraId="2D06545B" w14:textId="77777777" w:rsidR="003422DB" w:rsidRPr="00800D1B" w:rsidRDefault="00000000" w:rsidP="004F0B72">
      <w:pPr>
        <w:pStyle w:val="Innehll4"/>
        <w:rPr>
          <w:rFonts w:ascii="Calibri" w:hAnsi="Calibri"/>
          <w:sz w:val="22"/>
          <w:lang w:val="sv-SE"/>
        </w:rPr>
      </w:pPr>
      <w:hyperlink w:anchor="_Toc256000345" w:history="1">
        <w:r w:rsidR="00A77B3E" w:rsidRPr="00800D1B">
          <w:rPr>
            <w:rStyle w:val="Hyperlnk"/>
            <w:lang w:val="sv-SE"/>
          </w:rPr>
          <w:t>2.1.1.1.3. Preliminär fördelning av anslagna (EU-)medel efter interventionstyp</w:t>
        </w:r>
        <w:r w:rsidR="00623E14" w:rsidRPr="00800D1B">
          <w:rPr>
            <w:lang w:val="sv-SE"/>
          </w:rPr>
          <w:tab/>
        </w:r>
        <w:r w:rsidR="00623E14" w:rsidRPr="00800D1B">
          <w:rPr>
            <w:lang w:val="sv-SE"/>
          </w:rPr>
          <w:fldChar w:fldCharType="begin"/>
        </w:r>
        <w:r w:rsidR="00623E14" w:rsidRPr="00800D1B">
          <w:rPr>
            <w:lang w:val="sv-SE"/>
          </w:rPr>
          <w:instrText xml:space="preserve"> PAGEREF _Toc256000345 \h </w:instrText>
        </w:r>
        <w:r w:rsidR="00623E14" w:rsidRPr="00800D1B">
          <w:rPr>
            <w:lang w:val="sv-SE"/>
          </w:rPr>
        </w:r>
        <w:r w:rsidR="00623E14" w:rsidRPr="00800D1B">
          <w:rPr>
            <w:lang w:val="sv-SE"/>
          </w:rPr>
          <w:fldChar w:fldCharType="separate"/>
        </w:r>
        <w:r w:rsidR="00623E14" w:rsidRPr="00800D1B">
          <w:rPr>
            <w:lang w:val="sv-SE"/>
          </w:rPr>
          <w:t>65</w:t>
        </w:r>
        <w:r w:rsidR="00623E14" w:rsidRPr="00800D1B">
          <w:rPr>
            <w:lang w:val="sv-SE"/>
          </w:rPr>
          <w:fldChar w:fldCharType="end"/>
        </w:r>
      </w:hyperlink>
    </w:p>
    <w:p w14:paraId="2D06545C" w14:textId="77777777" w:rsidR="003422DB" w:rsidRPr="00800D1B" w:rsidRDefault="00000000">
      <w:pPr>
        <w:pStyle w:val="Innehll5"/>
        <w:tabs>
          <w:tab w:val="right" w:leader="dot" w:pos="10240"/>
        </w:tabs>
        <w:rPr>
          <w:rFonts w:ascii="Calibri" w:hAnsi="Calibri"/>
          <w:sz w:val="22"/>
          <w:lang w:val="sv-SE"/>
        </w:rPr>
      </w:pPr>
      <w:hyperlink w:anchor="_Toc256000346" w:history="1">
        <w:r w:rsidR="00A77B3E" w:rsidRPr="00800D1B">
          <w:rPr>
            <w:rStyle w:val="Hyperlnk"/>
            <w:lang w:val="sv-SE"/>
          </w:rPr>
          <w:t>Tabell 4: Dimension 1 – interventionsområde</w:t>
        </w:r>
        <w:r w:rsidR="00623E14" w:rsidRPr="00800D1B">
          <w:rPr>
            <w:lang w:val="sv-SE"/>
          </w:rPr>
          <w:tab/>
        </w:r>
        <w:r w:rsidR="00623E14" w:rsidRPr="00800D1B">
          <w:rPr>
            <w:lang w:val="sv-SE"/>
          </w:rPr>
          <w:fldChar w:fldCharType="begin"/>
        </w:r>
        <w:r w:rsidR="00623E14" w:rsidRPr="00800D1B">
          <w:rPr>
            <w:lang w:val="sv-SE"/>
          </w:rPr>
          <w:instrText xml:space="preserve"> PAGEREF _Toc256000346 \h </w:instrText>
        </w:r>
        <w:r w:rsidR="00623E14" w:rsidRPr="00800D1B">
          <w:rPr>
            <w:lang w:val="sv-SE"/>
          </w:rPr>
        </w:r>
        <w:r w:rsidR="00623E14" w:rsidRPr="00800D1B">
          <w:rPr>
            <w:lang w:val="sv-SE"/>
          </w:rPr>
          <w:fldChar w:fldCharType="separate"/>
        </w:r>
        <w:r w:rsidR="00623E14" w:rsidRPr="00800D1B">
          <w:rPr>
            <w:lang w:val="sv-SE"/>
          </w:rPr>
          <w:t>65</w:t>
        </w:r>
        <w:r w:rsidR="00623E14" w:rsidRPr="00800D1B">
          <w:rPr>
            <w:lang w:val="sv-SE"/>
          </w:rPr>
          <w:fldChar w:fldCharType="end"/>
        </w:r>
      </w:hyperlink>
    </w:p>
    <w:p w14:paraId="2D06545D" w14:textId="77777777" w:rsidR="003422DB" w:rsidRPr="00800D1B" w:rsidRDefault="00000000">
      <w:pPr>
        <w:pStyle w:val="Innehll5"/>
        <w:tabs>
          <w:tab w:val="right" w:leader="dot" w:pos="10240"/>
        </w:tabs>
        <w:rPr>
          <w:rFonts w:ascii="Calibri" w:hAnsi="Calibri"/>
          <w:sz w:val="22"/>
          <w:lang w:val="sv-SE"/>
        </w:rPr>
      </w:pPr>
      <w:hyperlink w:anchor="_Toc256000347" w:history="1">
        <w:r w:rsidR="00A77B3E" w:rsidRPr="00800D1B">
          <w:rPr>
            <w:rStyle w:val="Hyperlnk"/>
            <w:lang w:val="sv-SE"/>
          </w:rPr>
          <w:t>Tabell 5: Dimension 2 – finansieringsform</w:t>
        </w:r>
        <w:r w:rsidR="00623E14" w:rsidRPr="00800D1B">
          <w:rPr>
            <w:lang w:val="sv-SE"/>
          </w:rPr>
          <w:tab/>
        </w:r>
        <w:r w:rsidR="00623E14" w:rsidRPr="00800D1B">
          <w:rPr>
            <w:lang w:val="sv-SE"/>
          </w:rPr>
          <w:fldChar w:fldCharType="begin"/>
        </w:r>
        <w:r w:rsidR="00623E14" w:rsidRPr="00800D1B">
          <w:rPr>
            <w:lang w:val="sv-SE"/>
          </w:rPr>
          <w:instrText xml:space="preserve"> PAGEREF _Toc256000347 \h </w:instrText>
        </w:r>
        <w:r w:rsidR="00623E14" w:rsidRPr="00800D1B">
          <w:rPr>
            <w:lang w:val="sv-SE"/>
          </w:rPr>
        </w:r>
        <w:r w:rsidR="00623E14" w:rsidRPr="00800D1B">
          <w:rPr>
            <w:lang w:val="sv-SE"/>
          </w:rPr>
          <w:fldChar w:fldCharType="separate"/>
        </w:r>
        <w:r w:rsidR="00623E14" w:rsidRPr="00800D1B">
          <w:rPr>
            <w:lang w:val="sv-SE"/>
          </w:rPr>
          <w:t>66</w:t>
        </w:r>
        <w:r w:rsidR="00623E14" w:rsidRPr="00800D1B">
          <w:rPr>
            <w:lang w:val="sv-SE"/>
          </w:rPr>
          <w:fldChar w:fldCharType="end"/>
        </w:r>
      </w:hyperlink>
    </w:p>
    <w:p w14:paraId="2D06545E" w14:textId="77777777" w:rsidR="003422DB" w:rsidRPr="00800D1B" w:rsidRDefault="00000000">
      <w:pPr>
        <w:pStyle w:val="Innehll5"/>
        <w:tabs>
          <w:tab w:val="right" w:leader="dot" w:pos="10240"/>
        </w:tabs>
        <w:rPr>
          <w:rFonts w:ascii="Calibri" w:hAnsi="Calibri"/>
          <w:sz w:val="22"/>
          <w:lang w:val="sv-SE"/>
        </w:rPr>
      </w:pPr>
      <w:hyperlink w:anchor="_Toc256000348" w:history="1">
        <w:r w:rsidR="00A77B3E" w:rsidRPr="00800D1B">
          <w:rPr>
            <w:rStyle w:val="Hyperlnk"/>
            <w:lang w:val="sv-SE"/>
          </w:rPr>
          <w:t>Tabell 6: Dimension 3 – territoriell genomförandemetod och territoriellt fokus</w:t>
        </w:r>
        <w:r w:rsidR="00623E14" w:rsidRPr="00800D1B">
          <w:rPr>
            <w:lang w:val="sv-SE"/>
          </w:rPr>
          <w:tab/>
        </w:r>
        <w:r w:rsidR="00623E14" w:rsidRPr="00800D1B">
          <w:rPr>
            <w:lang w:val="sv-SE"/>
          </w:rPr>
          <w:fldChar w:fldCharType="begin"/>
        </w:r>
        <w:r w:rsidR="00623E14" w:rsidRPr="00800D1B">
          <w:rPr>
            <w:lang w:val="sv-SE"/>
          </w:rPr>
          <w:instrText xml:space="preserve"> PAGEREF _Toc256000348 \h </w:instrText>
        </w:r>
        <w:r w:rsidR="00623E14" w:rsidRPr="00800D1B">
          <w:rPr>
            <w:lang w:val="sv-SE"/>
          </w:rPr>
        </w:r>
        <w:r w:rsidR="00623E14" w:rsidRPr="00800D1B">
          <w:rPr>
            <w:lang w:val="sv-SE"/>
          </w:rPr>
          <w:fldChar w:fldCharType="separate"/>
        </w:r>
        <w:r w:rsidR="00623E14" w:rsidRPr="00800D1B">
          <w:rPr>
            <w:lang w:val="sv-SE"/>
          </w:rPr>
          <w:t>66</w:t>
        </w:r>
        <w:r w:rsidR="00623E14" w:rsidRPr="00800D1B">
          <w:rPr>
            <w:lang w:val="sv-SE"/>
          </w:rPr>
          <w:fldChar w:fldCharType="end"/>
        </w:r>
      </w:hyperlink>
    </w:p>
    <w:p w14:paraId="2D06545F" w14:textId="77777777" w:rsidR="003422DB" w:rsidRPr="00800D1B" w:rsidRDefault="00000000">
      <w:pPr>
        <w:pStyle w:val="Innehll5"/>
        <w:tabs>
          <w:tab w:val="right" w:leader="dot" w:pos="10240"/>
        </w:tabs>
        <w:rPr>
          <w:rFonts w:ascii="Calibri" w:hAnsi="Calibri"/>
          <w:sz w:val="22"/>
          <w:lang w:val="sv-SE"/>
        </w:rPr>
      </w:pPr>
      <w:hyperlink w:anchor="_Toc256000349" w:history="1">
        <w:r w:rsidR="00A77B3E" w:rsidRPr="00800D1B">
          <w:rPr>
            <w:rStyle w:val="Hyperlnk"/>
            <w:lang w:val="sv-SE"/>
          </w:rPr>
          <w:t>Tabell 7: Dimension 6 – ESF+-sekundärteman</w:t>
        </w:r>
        <w:r w:rsidR="00623E14" w:rsidRPr="00800D1B">
          <w:rPr>
            <w:lang w:val="sv-SE"/>
          </w:rPr>
          <w:tab/>
        </w:r>
        <w:r w:rsidR="00623E14" w:rsidRPr="00800D1B">
          <w:rPr>
            <w:lang w:val="sv-SE"/>
          </w:rPr>
          <w:fldChar w:fldCharType="begin"/>
        </w:r>
        <w:r w:rsidR="00623E14" w:rsidRPr="00800D1B">
          <w:rPr>
            <w:lang w:val="sv-SE"/>
          </w:rPr>
          <w:instrText xml:space="preserve"> PAGEREF _Toc256000349 \h </w:instrText>
        </w:r>
        <w:r w:rsidR="00623E14" w:rsidRPr="00800D1B">
          <w:rPr>
            <w:lang w:val="sv-SE"/>
          </w:rPr>
        </w:r>
        <w:r w:rsidR="00623E14" w:rsidRPr="00800D1B">
          <w:rPr>
            <w:lang w:val="sv-SE"/>
          </w:rPr>
          <w:fldChar w:fldCharType="separate"/>
        </w:r>
        <w:r w:rsidR="00623E14" w:rsidRPr="00800D1B">
          <w:rPr>
            <w:lang w:val="sv-SE"/>
          </w:rPr>
          <w:t>66</w:t>
        </w:r>
        <w:r w:rsidR="00623E14" w:rsidRPr="00800D1B">
          <w:rPr>
            <w:lang w:val="sv-SE"/>
          </w:rPr>
          <w:fldChar w:fldCharType="end"/>
        </w:r>
      </w:hyperlink>
    </w:p>
    <w:p w14:paraId="2D065460" w14:textId="77777777" w:rsidR="003422DB" w:rsidRPr="00800D1B" w:rsidRDefault="00000000">
      <w:pPr>
        <w:pStyle w:val="Innehll5"/>
        <w:tabs>
          <w:tab w:val="right" w:leader="dot" w:pos="10240"/>
        </w:tabs>
        <w:rPr>
          <w:rFonts w:ascii="Calibri" w:hAnsi="Calibri"/>
          <w:sz w:val="22"/>
          <w:lang w:val="sv-SE"/>
        </w:rPr>
      </w:pPr>
      <w:hyperlink w:anchor="_Toc256000350" w:history="1">
        <w:r w:rsidR="00A77B3E" w:rsidRPr="00800D1B">
          <w:rPr>
            <w:rStyle w:val="Hyperlnk"/>
            <w:lang w:val="sv-SE"/>
          </w:rPr>
          <w:t>Tabell 8: Dimension 7 – ESF+, Eruf, Sammanhållningsfonden och FRO, jämställdhetsdimensionen</w:t>
        </w:r>
        <w:r w:rsidR="00623E14" w:rsidRPr="00800D1B">
          <w:rPr>
            <w:lang w:val="sv-SE"/>
          </w:rPr>
          <w:tab/>
        </w:r>
        <w:r w:rsidR="00623E14" w:rsidRPr="00800D1B">
          <w:rPr>
            <w:lang w:val="sv-SE"/>
          </w:rPr>
          <w:fldChar w:fldCharType="begin"/>
        </w:r>
        <w:r w:rsidR="00623E14" w:rsidRPr="00800D1B">
          <w:rPr>
            <w:lang w:val="sv-SE"/>
          </w:rPr>
          <w:instrText xml:space="preserve"> PAGEREF _Toc256000350 \h </w:instrText>
        </w:r>
        <w:r w:rsidR="00623E14" w:rsidRPr="00800D1B">
          <w:rPr>
            <w:lang w:val="sv-SE"/>
          </w:rPr>
        </w:r>
        <w:r w:rsidR="00623E14" w:rsidRPr="00800D1B">
          <w:rPr>
            <w:lang w:val="sv-SE"/>
          </w:rPr>
          <w:fldChar w:fldCharType="separate"/>
        </w:r>
        <w:r w:rsidR="00623E14" w:rsidRPr="00800D1B">
          <w:rPr>
            <w:lang w:val="sv-SE"/>
          </w:rPr>
          <w:t>66</w:t>
        </w:r>
        <w:r w:rsidR="00623E14" w:rsidRPr="00800D1B">
          <w:rPr>
            <w:lang w:val="sv-SE"/>
          </w:rPr>
          <w:fldChar w:fldCharType="end"/>
        </w:r>
      </w:hyperlink>
    </w:p>
    <w:p w14:paraId="2D065461" w14:textId="77777777" w:rsidR="003422DB" w:rsidRPr="00800D1B" w:rsidRDefault="00000000" w:rsidP="004F0B72">
      <w:pPr>
        <w:pStyle w:val="Innehll4"/>
        <w:rPr>
          <w:rFonts w:ascii="Calibri" w:hAnsi="Calibri"/>
          <w:sz w:val="22"/>
          <w:lang w:val="sv-SE"/>
        </w:rPr>
      </w:pPr>
      <w:hyperlink w:anchor="_Toc256000351" w:history="1">
        <w:r w:rsidR="00A77B3E" w:rsidRPr="00800D1B">
          <w:rPr>
            <w:rStyle w:val="Hyperlnk"/>
            <w:lang w:val="sv-SE"/>
          </w:rPr>
          <w:t>2.1.1.1. Specifikt mål: RSO2.3. Utveckla smarta energisystem, smarta nät och smart lagring utanför TEN-E (Eruf)</w:t>
        </w:r>
        <w:r w:rsidR="00623E14" w:rsidRPr="00800D1B">
          <w:rPr>
            <w:lang w:val="sv-SE"/>
          </w:rPr>
          <w:tab/>
        </w:r>
        <w:r w:rsidR="00623E14" w:rsidRPr="00800D1B">
          <w:rPr>
            <w:lang w:val="sv-SE"/>
          </w:rPr>
          <w:fldChar w:fldCharType="begin"/>
        </w:r>
        <w:r w:rsidR="00623E14" w:rsidRPr="00800D1B">
          <w:rPr>
            <w:lang w:val="sv-SE"/>
          </w:rPr>
          <w:instrText xml:space="preserve"> PAGEREF _Toc256000351 \h </w:instrText>
        </w:r>
        <w:r w:rsidR="00623E14" w:rsidRPr="00800D1B">
          <w:rPr>
            <w:lang w:val="sv-SE"/>
          </w:rPr>
        </w:r>
        <w:r w:rsidR="00623E14" w:rsidRPr="00800D1B">
          <w:rPr>
            <w:lang w:val="sv-SE"/>
          </w:rPr>
          <w:fldChar w:fldCharType="separate"/>
        </w:r>
        <w:r w:rsidR="00623E14" w:rsidRPr="00800D1B">
          <w:rPr>
            <w:lang w:val="sv-SE"/>
          </w:rPr>
          <w:t>67</w:t>
        </w:r>
        <w:r w:rsidR="00623E14" w:rsidRPr="00800D1B">
          <w:rPr>
            <w:lang w:val="sv-SE"/>
          </w:rPr>
          <w:fldChar w:fldCharType="end"/>
        </w:r>
      </w:hyperlink>
    </w:p>
    <w:p w14:paraId="2D065462" w14:textId="77777777" w:rsidR="003422DB" w:rsidRPr="00800D1B" w:rsidRDefault="00000000" w:rsidP="004F0B72">
      <w:pPr>
        <w:pStyle w:val="Innehll4"/>
        <w:rPr>
          <w:rFonts w:ascii="Calibri" w:hAnsi="Calibri"/>
          <w:sz w:val="22"/>
          <w:lang w:val="sv-SE"/>
        </w:rPr>
      </w:pPr>
      <w:hyperlink w:anchor="_Toc256000352" w:history="1">
        <w:r w:rsidR="00A77B3E" w:rsidRPr="00800D1B">
          <w:rPr>
            <w:rStyle w:val="Hyperlnk"/>
            <w:lang w:val="sv-SE"/>
          </w:rPr>
          <w:t>2.1.1.1.1. Interventioner inom ramen för fonderna</w:t>
        </w:r>
        <w:r w:rsidR="00623E14" w:rsidRPr="00800D1B">
          <w:rPr>
            <w:lang w:val="sv-SE"/>
          </w:rPr>
          <w:tab/>
        </w:r>
        <w:r w:rsidR="00623E14" w:rsidRPr="00800D1B">
          <w:rPr>
            <w:lang w:val="sv-SE"/>
          </w:rPr>
          <w:fldChar w:fldCharType="begin"/>
        </w:r>
        <w:r w:rsidR="00623E14" w:rsidRPr="00800D1B">
          <w:rPr>
            <w:lang w:val="sv-SE"/>
          </w:rPr>
          <w:instrText xml:space="preserve"> PAGEREF _Toc256000352 \h </w:instrText>
        </w:r>
        <w:r w:rsidR="00623E14" w:rsidRPr="00800D1B">
          <w:rPr>
            <w:lang w:val="sv-SE"/>
          </w:rPr>
        </w:r>
        <w:r w:rsidR="00623E14" w:rsidRPr="00800D1B">
          <w:rPr>
            <w:lang w:val="sv-SE"/>
          </w:rPr>
          <w:fldChar w:fldCharType="separate"/>
        </w:r>
        <w:r w:rsidR="00623E14" w:rsidRPr="00800D1B">
          <w:rPr>
            <w:lang w:val="sv-SE"/>
          </w:rPr>
          <w:t>67</w:t>
        </w:r>
        <w:r w:rsidR="00623E14" w:rsidRPr="00800D1B">
          <w:rPr>
            <w:lang w:val="sv-SE"/>
          </w:rPr>
          <w:fldChar w:fldCharType="end"/>
        </w:r>
      </w:hyperlink>
    </w:p>
    <w:p w14:paraId="2D065463" w14:textId="77777777" w:rsidR="003422DB" w:rsidRPr="00800D1B" w:rsidRDefault="00000000">
      <w:pPr>
        <w:pStyle w:val="Innehll5"/>
        <w:tabs>
          <w:tab w:val="right" w:leader="dot" w:pos="10240"/>
        </w:tabs>
        <w:rPr>
          <w:rFonts w:ascii="Calibri" w:hAnsi="Calibri"/>
          <w:sz w:val="22"/>
          <w:lang w:val="sv-SE"/>
        </w:rPr>
      </w:pPr>
      <w:hyperlink w:anchor="_Toc256000353" w:history="1">
        <w:r w:rsidR="00A77B3E" w:rsidRPr="00800D1B">
          <w:rPr>
            <w:rStyle w:val="Hyperlnk"/>
            <w:lang w:val="sv-SE"/>
          </w:rPr>
          <w:t>Relaterade typer av åtgärder – artikel 22.3 d i i förordningen om gemensamma bestämmelser och artikel 6 i ESF+-förordningen</w:t>
        </w:r>
        <w:r w:rsidR="00623E14" w:rsidRPr="00800D1B">
          <w:rPr>
            <w:lang w:val="sv-SE"/>
          </w:rPr>
          <w:tab/>
        </w:r>
        <w:r w:rsidR="00623E14" w:rsidRPr="00800D1B">
          <w:rPr>
            <w:lang w:val="sv-SE"/>
          </w:rPr>
          <w:fldChar w:fldCharType="begin"/>
        </w:r>
        <w:r w:rsidR="00623E14" w:rsidRPr="00800D1B">
          <w:rPr>
            <w:lang w:val="sv-SE"/>
          </w:rPr>
          <w:instrText xml:space="preserve"> PAGEREF _Toc256000353 \h </w:instrText>
        </w:r>
        <w:r w:rsidR="00623E14" w:rsidRPr="00800D1B">
          <w:rPr>
            <w:lang w:val="sv-SE"/>
          </w:rPr>
        </w:r>
        <w:r w:rsidR="00623E14" w:rsidRPr="00800D1B">
          <w:rPr>
            <w:lang w:val="sv-SE"/>
          </w:rPr>
          <w:fldChar w:fldCharType="separate"/>
        </w:r>
        <w:r w:rsidR="00623E14" w:rsidRPr="00800D1B">
          <w:rPr>
            <w:lang w:val="sv-SE"/>
          </w:rPr>
          <w:t>67</w:t>
        </w:r>
        <w:r w:rsidR="00623E14" w:rsidRPr="00800D1B">
          <w:rPr>
            <w:lang w:val="sv-SE"/>
          </w:rPr>
          <w:fldChar w:fldCharType="end"/>
        </w:r>
      </w:hyperlink>
    </w:p>
    <w:p w14:paraId="2D065464" w14:textId="77777777" w:rsidR="003422DB" w:rsidRPr="00800D1B" w:rsidRDefault="00000000">
      <w:pPr>
        <w:pStyle w:val="Innehll5"/>
        <w:tabs>
          <w:tab w:val="right" w:leader="dot" w:pos="10240"/>
        </w:tabs>
        <w:rPr>
          <w:rFonts w:ascii="Calibri" w:hAnsi="Calibri"/>
          <w:sz w:val="22"/>
          <w:lang w:val="sv-SE"/>
        </w:rPr>
      </w:pPr>
      <w:hyperlink w:anchor="_Toc256000354" w:history="1">
        <w:r w:rsidR="00A77B3E" w:rsidRPr="00800D1B">
          <w:rPr>
            <w:rStyle w:val="Hyperlnk"/>
            <w:lang w:val="sv-SE"/>
          </w:rPr>
          <w:t>Huvudsakliga målgrupper – artikel 22.3 d iii i förordningen om gemensamma bestämmelser</w:t>
        </w:r>
        <w:r w:rsidR="00623E14" w:rsidRPr="00800D1B">
          <w:rPr>
            <w:lang w:val="sv-SE"/>
          </w:rPr>
          <w:tab/>
        </w:r>
        <w:r w:rsidR="00623E14" w:rsidRPr="00800D1B">
          <w:rPr>
            <w:lang w:val="sv-SE"/>
          </w:rPr>
          <w:fldChar w:fldCharType="begin"/>
        </w:r>
        <w:r w:rsidR="00623E14" w:rsidRPr="00800D1B">
          <w:rPr>
            <w:lang w:val="sv-SE"/>
          </w:rPr>
          <w:instrText xml:space="preserve"> PAGEREF _Toc256000354 \h </w:instrText>
        </w:r>
        <w:r w:rsidR="00623E14" w:rsidRPr="00800D1B">
          <w:rPr>
            <w:lang w:val="sv-SE"/>
          </w:rPr>
        </w:r>
        <w:r w:rsidR="00623E14" w:rsidRPr="00800D1B">
          <w:rPr>
            <w:lang w:val="sv-SE"/>
          </w:rPr>
          <w:fldChar w:fldCharType="separate"/>
        </w:r>
        <w:r w:rsidR="00623E14" w:rsidRPr="00800D1B">
          <w:rPr>
            <w:lang w:val="sv-SE"/>
          </w:rPr>
          <w:t>68</w:t>
        </w:r>
        <w:r w:rsidR="00623E14" w:rsidRPr="00800D1B">
          <w:rPr>
            <w:lang w:val="sv-SE"/>
          </w:rPr>
          <w:fldChar w:fldCharType="end"/>
        </w:r>
      </w:hyperlink>
    </w:p>
    <w:p w14:paraId="2D065465" w14:textId="77777777" w:rsidR="003422DB" w:rsidRPr="00800D1B" w:rsidRDefault="00000000">
      <w:pPr>
        <w:pStyle w:val="Innehll5"/>
        <w:tabs>
          <w:tab w:val="right" w:leader="dot" w:pos="10240"/>
        </w:tabs>
        <w:rPr>
          <w:rFonts w:ascii="Calibri" w:hAnsi="Calibri"/>
          <w:sz w:val="22"/>
          <w:lang w:val="sv-SE"/>
        </w:rPr>
      </w:pPr>
      <w:hyperlink w:anchor="_Toc256000355" w:history="1">
        <w:r w:rsidR="00A77B3E" w:rsidRPr="00800D1B">
          <w:rPr>
            <w:rStyle w:val="Hyperlnk"/>
            <w:lang w:val="sv-SE"/>
          </w:rPr>
          <w:t>Åtgärder för säkerställande av jämställdhet, inkludering och icke-diskriminering – artikel 22.3 d iv i förordningen om gemensamma bestämmelser och artikel 6 i ESF+-förordningen</w:t>
        </w:r>
        <w:r w:rsidR="00623E14" w:rsidRPr="00800D1B">
          <w:rPr>
            <w:lang w:val="sv-SE"/>
          </w:rPr>
          <w:tab/>
        </w:r>
        <w:r w:rsidR="00623E14" w:rsidRPr="00800D1B">
          <w:rPr>
            <w:lang w:val="sv-SE"/>
          </w:rPr>
          <w:fldChar w:fldCharType="begin"/>
        </w:r>
        <w:r w:rsidR="00623E14" w:rsidRPr="00800D1B">
          <w:rPr>
            <w:lang w:val="sv-SE"/>
          </w:rPr>
          <w:instrText xml:space="preserve"> PAGEREF _Toc256000355 \h </w:instrText>
        </w:r>
        <w:r w:rsidR="00623E14" w:rsidRPr="00800D1B">
          <w:rPr>
            <w:lang w:val="sv-SE"/>
          </w:rPr>
        </w:r>
        <w:r w:rsidR="00623E14" w:rsidRPr="00800D1B">
          <w:rPr>
            <w:lang w:val="sv-SE"/>
          </w:rPr>
          <w:fldChar w:fldCharType="separate"/>
        </w:r>
        <w:r w:rsidR="00623E14" w:rsidRPr="00800D1B">
          <w:rPr>
            <w:lang w:val="sv-SE"/>
          </w:rPr>
          <w:t>68</w:t>
        </w:r>
        <w:r w:rsidR="00623E14" w:rsidRPr="00800D1B">
          <w:rPr>
            <w:lang w:val="sv-SE"/>
          </w:rPr>
          <w:fldChar w:fldCharType="end"/>
        </w:r>
      </w:hyperlink>
    </w:p>
    <w:p w14:paraId="2D065466" w14:textId="77777777" w:rsidR="003422DB" w:rsidRPr="00800D1B" w:rsidRDefault="00000000">
      <w:pPr>
        <w:pStyle w:val="Innehll5"/>
        <w:tabs>
          <w:tab w:val="right" w:leader="dot" w:pos="10240"/>
        </w:tabs>
        <w:rPr>
          <w:rFonts w:ascii="Calibri" w:hAnsi="Calibri"/>
          <w:sz w:val="22"/>
          <w:lang w:val="sv-SE"/>
        </w:rPr>
      </w:pPr>
      <w:hyperlink w:anchor="_Toc256000356" w:history="1">
        <w:r w:rsidR="00A77B3E" w:rsidRPr="00800D1B">
          <w:rPr>
            <w:rStyle w:val="Hyperlnk"/>
            <w:lang w:val="sv-SE"/>
          </w:rPr>
          <w:t>Angivande av de specifika målterritorierna, inbegripet planerad användning av territoriella verktyg – artikel 22.3 d v i förordningen om gemensamma bestämmelser</w:t>
        </w:r>
        <w:r w:rsidR="00623E14" w:rsidRPr="00800D1B">
          <w:rPr>
            <w:lang w:val="sv-SE"/>
          </w:rPr>
          <w:tab/>
        </w:r>
        <w:r w:rsidR="00623E14" w:rsidRPr="00800D1B">
          <w:rPr>
            <w:lang w:val="sv-SE"/>
          </w:rPr>
          <w:fldChar w:fldCharType="begin"/>
        </w:r>
        <w:r w:rsidR="00623E14" w:rsidRPr="00800D1B">
          <w:rPr>
            <w:lang w:val="sv-SE"/>
          </w:rPr>
          <w:instrText xml:space="preserve"> PAGEREF _Toc256000356 \h </w:instrText>
        </w:r>
        <w:r w:rsidR="00623E14" w:rsidRPr="00800D1B">
          <w:rPr>
            <w:lang w:val="sv-SE"/>
          </w:rPr>
        </w:r>
        <w:r w:rsidR="00623E14" w:rsidRPr="00800D1B">
          <w:rPr>
            <w:lang w:val="sv-SE"/>
          </w:rPr>
          <w:fldChar w:fldCharType="separate"/>
        </w:r>
        <w:r w:rsidR="00623E14" w:rsidRPr="00800D1B">
          <w:rPr>
            <w:lang w:val="sv-SE"/>
          </w:rPr>
          <w:t>69</w:t>
        </w:r>
        <w:r w:rsidR="00623E14" w:rsidRPr="00800D1B">
          <w:rPr>
            <w:lang w:val="sv-SE"/>
          </w:rPr>
          <w:fldChar w:fldCharType="end"/>
        </w:r>
      </w:hyperlink>
    </w:p>
    <w:p w14:paraId="2D065467" w14:textId="77777777" w:rsidR="003422DB" w:rsidRPr="00800D1B" w:rsidRDefault="00000000">
      <w:pPr>
        <w:pStyle w:val="Innehll5"/>
        <w:tabs>
          <w:tab w:val="right" w:leader="dot" w:pos="10240"/>
        </w:tabs>
        <w:rPr>
          <w:rFonts w:ascii="Calibri" w:hAnsi="Calibri"/>
          <w:sz w:val="22"/>
          <w:lang w:val="sv-SE"/>
        </w:rPr>
      </w:pPr>
      <w:hyperlink w:anchor="_Toc256000357" w:history="1">
        <w:r w:rsidR="00A77B3E" w:rsidRPr="00800D1B">
          <w:rPr>
            <w:rStyle w:val="Hyperlnk"/>
            <w:lang w:val="sv-SE"/>
          </w:rPr>
          <w:t>Interregionala, gränsregionala och transnationella åtgärder – artikel 22.3 d vi i förordningen om gemensamma bestämmelser</w:t>
        </w:r>
        <w:r w:rsidR="00623E14" w:rsidRPr="00800D1B">
          <w:rPr>
            <w:lang w:val="sv-SE"/>
          </w:rPr>
          <w:tab/>
        </w:r>
        <w:r w:rsidR="00623E14" w:rsidRPr="00800D1B">
          <w:rPr>
            <w:lang w:val="sv-SE"/>
          </w:rPr>
          <w:fldChar w:fldCharType="begin"/>
        </w:r>
        <w:r w:rsidR="00623E14" w:rsidRPr="00800D1B">
          <w:rPr>
            <w:lang w:val="sv-SE"/>
          </w:rPr>
          <w:instrText xml:space="preserve"> PAGEREF _Toc256000357 \h </w:instrText>
        </w:r>
        <w:r w:rsidR="00623E14" w:rsidRPr="00800D1B">
          <w:rPr>
            <w:lang w:val="sv-SE"/>
          </w:rPr>
        </w:r>
        <w:r w:rsidR="00623E14" w:rsidRPr="00800D1B">
          <w:rPr>
            <w:lang w:val="sv-SE"/>
          </w:rPr>
          <w:fldChar w:fldCharType="separate"/>
        </w:r>
        <w:r w:rsidR="00623E14" w:rsidRPr="00800D1B">
          <w:rPr>
            <w:lang w:val="sv-SE"/>
          </w:rPr>
          <w:t>69</w:t>
        </w:r>
        <w:r w:rsidR="00623E14" w:rsidRPr="00800D1B">
          <w:rPr>
            <w:lang w:val="sv-SE"/>
          </w:rPr>
          <w:fldChar w:fldCharType="end"/>
        </w:r>
      </w:hyperlink>
    </w:p>
    <w:p w14:paraId="2D065468" w14:textId="77777777" w:rsidR="003422DB" w:rsidRPr="00800D1B" w:rsidRDefault="00000000">
      <w:pPr>
        <w:pStyle w:val="Innehll5"/>
        <w:tabs>
          <w:tab w:val="right" w:leader="dot" w:pos="10240"/>
        </w:tabs>
        <w:rPr>
          <w:rFonts w:ascii="Calibri" w:hAnsi="Calibri"/>
          <w:sz w:val="22"/>
          <w:lang w:val="sv-SE"/>
        </w:rPr>
      </w:pPr>
      <w:hyperlink w:anchor="_Toc256000358" w:history="1">
        <w:r w:rsidR="00A77B3E" w:rsidRPr="00800D1B">
          <w:rPr>
            <w:rStyle w:val="Hyperlnk"/>
            <w:lang w:val="sv-SE"/>
          </w:rPr>
          <w:t>Planerad användning av finansieringsinstrument – artikel 22.3 d vii i förordningen om gemensamma bestämmelser</w:t>
        </w:r>
        <w:r w:rsidR="00623E14" w:rsidRPr="00800D1B">
          <w:rPr>
            <w:lang w:val="sv-SE"/>
          </w:rPr>
          <w:tab/>
        </w:r>
        <w:r w:rsidR="00623E14" w:rsidRPr="00800D1B">
          <w:rPr>
            <w:lang w:val="sv-SE"/>
          </w:rPr>
          <w:fldChar w:fldCharType="begin"/>
        </w:r>
        <w:r w:rsidR="00623E14" w:rsidRPr="00800D1B">
          <w:rPr>
            <w:lang w:val="sv-SE"/>
          </w:rPr>
          <w:instrText xml:space="preserve"> PAGEREF _Toc256000358 \h </w:instrText>
        </w:r>
        <w:r w:rsidR="00623E14" w:rsidRPr="00800D1B">
          <w:rPr>
            <w:lang w:val="sv-SE"/>
          </w:rPr>
        </w:r>
        <w:r w:rsidR="00623E14" w:rsidRPr="00800D1B">
          <w:rPr>
            <w:lang w:val="sv-SE"/>
          </w:rPr>
          <w:fldChar w:fldCharType="separate"/>
        </w:r>
        <w:r w:rsidR="00623E14" w:rsidRPr="00800D1B">
          <w:rPr>
            <w:lang w:val="sv-SE"/>
          </w:rPr>
          <w:t>70</w:t>
        </w:r>
        <w:r w:rsidR="00623E14" w:rsidRPr="00800D1B">
          <w:rPr>
            <w:lang w:val="sv-SE"/>
          </w:rPr>
          <w:fldChar w:fldCharType="end"/>
        </w:r>
      </w:hyperlink>
    </w:p>
    <w:p w14:paraId="2D065469" w14:textId="77777777" w:rsidR="003422DB" w:rsidRPr="00800D1B" w:rsidRDefault="00000000" w:rsidP="004F0B72">
      <w:pPr>
        <w:pStyle w:val="Innehll4"/>
        <w:rPr>
          <w:rFonts w:ascii="Calibri" w:hAnsi="Calibri"/>
          <w:sz w:val="22"/>
          <w:lang w:val="sv-SE"/>
        </w:rPr>
      </w:pPr>
      <w:hyperlink w:anchor="_Toc256000359" w:history="1">
        <w:r w:rsidR="00A77B3E" w:rsidRPr="00800D1B">
          <w:rPr>
            <w:rStyle w:val="Hyperlnk"/>
            <w:lang w:val="sv-SE"/>
          </w:rPr>
          <w:t>2.1.1.1.2. Indikatorer</w:t>
        </w:r>
        <w:r w:rsidR="00623E14" w:rsidRPr="00800D1B">
          <w:rPr>
            <w:lang w:val="sv-SE"/>
          </w:rPr>
          <w:tab/>
        </w:r>
        <w:r w:rsidR="00623E14" w:rsidRPr="00800D1B">
          <w:rPr>
            <w:lang w:val="sv-SE"/>
          </w:rPr>
          <w:fldChar w:fldCharType="begin"/>
        </w:r>
        <w:r w:rsidR="00623E14" w:rsidRPr="00800D1B">
          <w:rPr>
            <w:lang w:val="sv-SE"/>
          </w:rPr>
          <w:instrText xml:space="preserve"> PAGEREF _Toc256000359 \h </w:instrText>
        </w:r>
        <w:r w:rsidR="00623E14" w:rsidRPr="00800D1B">
          <w:rPr>
            <w:lang w:val="sv-SE"/>
          </w:rPr>
        </w:r>
        <w:r w:rsidR="00623E14" w:rsidRPr="00800D1B">
          <w:rPr>
            <w:lang w:val="sv-SE"/>
          </w:rPr>
          <w:fldChar w:fldCharType="separate"/>
        </w:r>
        <w:r w:rsidR="00623E14" w:rsidRPr="00800D1B">
          <w:rPr>
            <w:lang w:val="sv-SE"/>
          </w:rPr>
          <w:t>70</w:t>
        </w:r>
        <w:r w:rsidR="00623E14" w:rsidRPr="00800D1B">
          <w:rPr>
            <w:lang w:val="sv-SE"/>
          </w:rPr>
          <w:fldChar w:fldCharType="end"/>
        </w:r>
      </w:hyperlink>
    </w:p>
    <w:p w14:paraId="2D06546A" w14:textId="77777777" w:rsidR="003422DB" w:rsidRPr="00800D1B" w:rsidRDefault="00000000">
      <w:pPr>
        <w:pStyle w:val="Innehll5"/>
        <w:tabs>
          <w:tab w:val="right" w:leader="dot" w:pos="10240"/>
        </w:tabs>
        <w:rPr>
          <w:rFonts w:ascii="Calibri" w:hAnsi="Calibri"/>
          <w:sz w:val="22"/>
          <w:lang w:val="sv-SE"/>
        </w:rPr>
      </w:pPr>
      <w:hyperlink w:anchor="_Toc256000360" w:history="1">
        <w:r w:rsidR="00A77B3E" w:rsidRPr="00800D1B">
          <w:rPr>
            <w:rStyle w:val="Hyperlnk"/>
            <w:lang w:val="sv-SE"/>
          </w:rPr>
          <w:t>Tabell 2: Utfallsindikatorer</w:t>
        </w:r>
        <w:r w:rsidR="00623E14" w:rsidRPr="00800D1B">
          <w:rPr>
            <w:lang w:val="sv-SE"/>
          </w:rPr>
          <w:tab/>
        </w:r>
        <w:r w:rsidR="00623E14" w:rsidRPr="00800D1B">
          <w:rPr>
            <w:lang w:val="sv-SE"/>
          </w:rPr>
          <w:fldChar w:fldCharType="begin"/>
        </w:r>
        <w:r w:rsidR="00623E14" w:rsidRPr="00800D1B">
          <w:rPr>
            <w:lang w:val="sv-SE"/>
          </w:rPr>
          <w:instrText xml:space="preserve"> PAGEREF _Toc256000360 \h </w:instrText>
        </w:r>
        <w:r w:rsidR="00623E14" w:rsidRPr="00800D1B">
          <w:rPr>
            <w:lang w:val="sv-SE"/>
          </w:rPr>
        </w:r>
        <w:r w:rsidR="00623E14" w:rsidRPr="00800D1B">
          <w:rPr>
            <w:lang w:val="sv-SE"/>
          </w:rPr>
          <w:fldChar w:fldCharType="separate"/>
        </w:r>
        <w:r w:rsidR="00623E14" w:rsidRPr="00800D1B">
          <w:rPr>
            <w:lang w:val="sv-SE"/>
          </w:rPr>
          <w:t>70</w:t>
        </w:r>
        <w:r w:rsidR="00623E14" w:rsidRPr="00800D1B">
          <w:rPr>
            <w:lang w:val="sv-SE"/>
          </w:rPr>
          <w:fldChar w:fldCharType="end"/>
        </w:r>
      </w:hyperlink>
    </w:p>
    <w:p w14:paraId="2D06546B" w14:textId="77777777" w:rsidR="003422DB" w:rsidRPr="00800D1B" w:rsidRDefault="00000000">
      <w:pPr>
        <w:pStyle w:val="Innehll5"/>
        <w:tabs>
          <w:tab w:val="right" w:leader="dot" w:pos="10240"/>
        </w:tabs>
        <w:rPr>
          <w:rFonts w:ascii="Calibri" w:hAnsi="Calibri"/>
          <w:sz w:val="22"/>
          <w:lang w:val="sv-SE"/>
        </w:rPr>
      </w:pPr>
      <w:hyperlink w:anchor="_Toc256000361" w:history="1">
        <w:r w:rsidR="00A77B3E" w:rsidRPr="00800D1B">
          <w:rPr>
            <w:rStyle w:val="Hyperlnk"/>
            <w:lang w:val="sv-SE"/>
          </w:rPr>
          <w:t>Tabell 3: Resultatindikatorer</w:t>
        </w:r>
        <w:r w:rsidR="00623E14" w:rsidRPr="00800D1B">
          <w:rPr>
            <w:lang w:val="sv-SE"/>
          </w:rPr>
          <w:tab/>
        </w:r>
        <w:r w:rsidR="00623E14" w:rsidRPr="00800D1B">
          <w:rPr>
            <w:lang w:val="sv-SE"/>
          </w:rPr>
          <w:fldChar w:fldCharType="begin"/>
        </w:r>
        <w:r w:rsidR="00623E14" w:rsidRPr="00800D1B">
          <w:rPr>
            <w:lang w:val="sv-SE"/>
          </w:rPr>
          <w:instrText xml:space="preserve"> PAGEREF _Toc256000361 \h </w:instrText>
        </w:r>
        <w:r w:rsidR="00623E14" w:rsidRPr="00800D1B">
          <w:rPr>
            <w:lang w:val="sv-SE"/>
          </w:rPr>
        </w:r>
        <w:r w:rsidR="00623E14" w:rsidRPr="00800D1B">
          <w:rPr>
            <w:lang w:val="sv-SE"/>
          </w:rPr>
          <w:fldChar w:fldCharType="separate"/>
        </w:r>
        <w:r w:rsidR="00623E14" w:rsidRPr="00800D1B">
          <w:rPr>
            <w:lang w:val="sv-SE"/>
          </w:rPr>
          <w:t>71</w:t>
        </w:r>
        <w:r w:rsidR="00623E14" w:rsidRPr="00800D1B">
          <w:rPr>
            <w:lang w:val="sv-SE"/>
          </w:rPr>
          <w:fldChar w:fldCharType="end"/>
        </w:r>
      </w:hyperlink>
    </w:p>
    <w:p w14:paraId="2D06546C" w14:textId="77777777" w:rsidR="003422DB" w:rsidRPr="00800D1B" w:rsidRDefault="00000000" w:rsidP="004F0B72">
      <w:pPr>
        <w:pStyle w:val="Innehll4"/>
        <w:rPr>
          <w:rFonts w:ascii="Calibri" w:hAnsi="Calibri"/>
          <w:sz w:val="22"/>
          <w:lang w:val="sv-SE"/>
        </w:rPr>
      </w:pPr>
      <w:hyperlink w:anchor="_Toc256000362" w:history="1">
        <w:r w:rsidR="00A77B3E" w:rsidRPr="00800D1B">
          <w:rPr>
            <w:rStyle w:val="Hyperlnk"/>
            <w:lang w:val="sv-SE"/>
          </w:rPr>
          <w:t>2.1.1.1.3. Preliminär fördelning av anslagna (EU-)medel efter interventionstyp</w:t>
        </w:r>
        <w:r w:rsidR="00623E14" w:rsidRPr="00800D1B">
          <w:rPr>
            <w:lang w:val="sv-SE"/>
          </w:rPr>
          <w:tab/>
        </w:r>
        <w:r w:rsidR="00623E14" w:rsidRPr="00800D1B">
          <w:rPr>
            <w:lang w:val="sv-SE"/>
          </w:rPr>
          <w:fldChar w:fldCharType="begin"/>
        </w:r>
        <w:r w:rsidR="00623E14" w:rsidRPr="00800D1B">
          <w:rPr>
            <w:lang w:val="sv-SE"/>
          </w:rPr>
          <w:instrText xml:space="preserve"> PAGEREF _Toc256000362 \h </w:instrText>
        </w:r>
        <w:r w:rsidR="00623E14" w:rsidRPr="00800D1B">
          <w:rPr>
            <w:lang w:val="sv-SE"/>
          </w:rPr>
        </w:r>
        <w:r w:rsidR="00623E14" w:rsidRPr="00800D1B">
          <w:rPr>
            <w:lang w:val="sv-SE"/>
          </w:rPr>
          <w:fldChar w:fldCharType="separate"/>
        </w:r>
        <w:r w:rsidR="00623E14" w:rsidRPr="00800D1B">
          <w:rPr>
            <w:lang w:val="sv-SE"/>
          </w:rPr>
          <w:t>71</w:t>
        </w:r>
        <w:r w:rsidR="00623E14" w:rsidRPr="00800D1B">
          <w:rPr>
            <w:lang w:val="sv-SE"/>
          </w:rPr>
          <w:fldChar w:fldCharType="end"/>
        </w:r>
      </w:hyperlink>
    </w:p>
    <w:p w14:paraId="2D06546D" w14:textId="77777777" w:rsidR="003422DB" w:rsidRPr="00800D1B" w:rsidRDefault="00000000">
      <w:pPr>
        <w:pStyle w:val="Innehll5"/>
        <w:tabs>
          <w:tab w:val="right" w:leader="dot" w:pos="10240"/>
        </w:tabs>
        <w:rPr>
          <w:rFonts w:ascii="Calibri" w:hAnsi="Calibri"/>
          <w:sz w:val="22"/>
          <w:lang w:val="sv-SE"/>
        </w:rPr>
      </w:pPr>
      <w:hyperlink w:anchor="_Toc256000363" w:history="1">
        <w:r w:rsidR="00A77B3E" w:rsidRPr="00800D1B">
          <w:rPr>
            <w:rStyle w:val="Hyperlnk"/>
            <w:lang w:val="sv-SE"/>
          </w:rPr>
          <w:t>Tabell 4: Dimension 1 – interventionsområde</w:t>
        </w:r>
        <w:r w:rsidR="00623E14" w:rsidRPr="00800D1B">
          <w:rPr>
            <w:lang w:val="sv-SE"/>
          </w:rPr>
          <w:tab/>
        </w:r>
        <w:r w:rsidR="00623E14" w:rsidRPr="00800D1B">
          <w:rPr>
            <w:lang w:val="sv-SE"/>
          </w:rPr>
          <w:fldChar w:fldCharType="begin"/>
        </w:r>
        <w:r w:rsidR="00623E14" w:rsidRPr="00800D1B">
          <w:rPr>
            <w:lang w:val="sv-SE"/>
          </w:rPr>
          <w:instrText xml:space="preserve"> PAGEREF _Toc256000363 \h </w:instrText>
        </w:r>
        <w:r w:rsidR="00623E14" w:rsidRPr="00800D1B">
          <w:rPr>
            <w:lang w:val="sv-SE"/>
          </w:rPr>
        </w:r>
        <w:r w:rsidR="00623E14" w:rsidRPr="00800D1B">
          <w:rPr>
            <w:lang w:val="sv-SE"/>
          </w:rPr>
          <w:fldChar w:fldCharType="separate"/>
        </w:r>
        <w:r w:rsidR="00623E14" w:rsidRPr="00800D1B">
          <w:rPr>
            <w:lang w:val="sv-SE"/>
          </w:rPr>
          <w:t>71</w:t>
        </w:r>
        <w:r w:rsidR="00623E14" w:rsidRPr="00800D1B">
          <w:rPr>
            <w:lang w:val="sv-SE"/>
          </w:rPr>
          <w:fldChar w:fldCharType="end"/>
        </w:r>
      </w:hyperlink>
    </w:p>
    <w:p w14:paraId="2D06546E" w14:textId="77777777" w:rsidR="003422DB" w:rsidRPr="00800D1B" w:rsidRDefault="00000000">
      <w:pPr>
        <w:pStyle w:val="Innehll5"/>
        <w:tabs>
          <w:tab w:val="right" w:leader="dot" w:pos="10240"/>
        </w:tabs>
        <w:rPr>
          <w:rFonts w:ascii="Calibri" w:hAnsi="Calibri"/>
          <w:sz w:val="22"/>
          <w:lang w:val="sv-SE"/>
        </w:rPr>
      </w:pPr>
      <w:hyperlink w:anchor="_Toc256000364" w:history="1">
        <w:r w:rsidR="00A77B3E" w:rsidRPr="00800D1B">
          <w:rPr>
            <w:rStyle w:val="Hyperlnk"/>
            <w:lang w:val="sv-SE"/>
          </w:rPr>
          <w:t>Tabell 5: Dimension 2 – finansieringsform</w:t>
        </w:r>
        <w:r w:rsidR="00623E14" w:rsidRPr="00800D1B">
          <w:rPr>
            <w:lang w:val="sv-SE"/>
          </w:rPr>
          <w:tab/>
        </w:r>
        <w:r w:rsidR="00623E14" w:rsidRPr="00800D1B">
          <w:rPr>
            <w:lang w:val="sv-SE"/>
          </w:rPr>
          <w:fldChar w:fldCharType="begin"/>
        </w:r>
        <w:r w:rsidR="00623E14" w:rsidRPr="00800D1B">
          <w:rPr>
            <w:lang w:val="sv-SE"/>
          </w:rPr>
          <w:instrText xml:space="preserve"> PAGEREF _Toc256000364 \h </w:instrText>
        </w:r>
        <w:r w:rsidR="00623E14" w:rsidRPr="00800D1B">
          <w:rPr>
            <w:lang w:val="sv-SE"/>
          </w:rPr>
        </w:r>
        <w:r w:rsidR="00623E14" w:rsidRPr="00800D1B">
          <w:rPr>
            <w:lang w:val="sv-SE"/>
          </w:rPr>
          <w:fldChar w:fldCharType="separate"/>
        </w:r>
        <w:r w:rsidR="00623E14" w:rsidRPr="00800D1B">
          <w:rPr>
            <w:lang w:val="sv-SE"/>
          </w:rPr>
          <w:t>72</w:t>
        </w:r>
        <w:r w:rsidR="00623E14" w:rsidRPr="00800D1B">
          <w:rPr>
            <w:lang w:val="sv-SE"/>
          </w:rPr>
          <w:fldChar w:fldCharType="end"/>
        </w:r>
      </w:hyperlink>
    </w:p>
    <w:p w14:paraId="2D06546F" w14:textId="77777777" w:rsidR="003422DB" w:rsidRPr="00800D1B" w:rsidRDefault="00000000">
      <w:pPr>
        <w:pStyle w:val="Innehll5"/>
        <w:tabs>
          <w:tab w:val="right" w:leader="dot" w:pos="10240"/>
        </w:tabs>
        <w:rPr>
          <w:rFonts w:ascii="Calibri" w:hAnsi="Calibri"/>
          <w:sz w:val="22"/>
          <w:lang w:val="sv-SE"/>
        </w:rPr>
      </w:pPr>
      <w:hyperlink w:anchor="_Toc256000365" w:history="1">
        <w:r w:rsidR="00A77B3E" w:rsidRPr="00800D1B">
          <w:rPr>
            <w:rStyle w:val="Hyperlnk"/>
            <w:lang w:val="sv-SE"/>
          </w:rPr>
          <w:t>Tabell 6: Dimension 3 – territoriell genomförandemetod och territoriellt fokus</w:t>
        </w:r>
        <w:r w:rsidR="00623E14" w:rsidRPr="00800D1B">
          <w:rPr>
            <w:lang w:val="sv-SE"/>
          </w:rPr>
          <w:tab/>
        </w:r>
        <w:r w:rsidR="00623E14" w:rsidRPr="00800D1B">
          <w:rPr>
            <w:lang w:val="sv-SE"/>
          </w:rPr>
          <w:fldChar w:fldCharType="begin"/>
        </w:r>
        <w:r w:rsidR="00623E14" w:rsidRPr="00800D1B">
          <w:rPr>
            <w:lang w:val="sv-SE"/>
          </w:rPr>
          <w:instrText xml:space="preserve"> PAGEREF _Toc256000365 \h </w:instrText>
        </w:r>
        <w:r w:rsidR="00623E14" w:rsidRPr="00800D1B">
          <w:rPr>
            <w:lang w:val="sv-SE"/>
          </w:rPr>
        </w:r>
        <w:r w:rsidR="00623E14" w:rsidRPr="00800D1B">
          <w:rPr>
            <w:lang w:val="sv-SE"/>
          </w:rPr>
          <w:fldChar w:fldCharType="separate"/>
        </w:r>
        <w:r w:rsidR="00623E14" w:rsidRPr="00800D1B">
          <w:rPr>
            <w:lang w:val="sv-SE"/>
          </w:rPr>
          <w:t>72</w:t>
        </w:r>
        <w:r w:rsidR="00623E14" w:rsidRPr="00800D1B">
          <w:rPr>
            <w:lang w:val="sv-SE"/>
          </w:rPr>
          <w:fldChar w:fldCharType="end"/>
        </w:r>
      </w:hyperlink>
    </w:p>
    <w:p w14:paraId="2D065470" w14:textId="77777777" w:rsidR="003422DB" w:rsidRPr="00800D1B" w:rsidRDefault="00000000">
      <w:pPr>
        <w:pStyle w:val="Innehll5"/>
        <w:tabs>
          <w:tab w:val="right" w:leader="dot" w:pos="10240"/>
        </w:tabs>
        <w:rPr>
          <w:rFonts w:ascii="Calibri" w:hAnsi="Calibri"/>
          <w:sz w:val="22"/>
          <w:lang w:val="sv-SE"/>
        </w:rPr>
      </w:pPr>
      <w:hyperlink w:anchor="_Toc256000366" w:history="1">
        <w:r w:rsidR="00A77B3E" w:rsidRPr="00800D1B">
          <w:rPr>
            <w:rStyle w:val="Hyperlnk"/>
            <w:lang w:val="sv-SE"/>
          </w:rPr>
          <w:t>Tabell 7: Dimension 6 – ESF+-sekundärteman</w:t>
        </w:r>
        <w:r w:rsidR="00623E14" w:rsidRPr="00800D1B">
          <w:rPr>
            <w:lang w:val="sv-SE"/>
          </w:rPr>
          <w:tab/>
        </w:r>
        <w:r w:rsidR="00623E14" w:rsidRPr="00800D1B">
          <w:rPr>
            <w:lang w:val="sv-SE"/>
          </w:rPr>
          <w:fldChar w:fldCharType="begin"/>
        </w:r>
        <w:r w:rsidR="00623E14" w:rsidRPr="00800D1B">
          <w:rPr>
            <w:lang w:val="sv-SE"/>
          </w:rPr>
          <w:instrText xml:space="preserve"> PAGEREF _Toc256000366 \h </w:instrText>
        </w:r>
        <w:r w:rsidR="00623E14" w:rsidRPr="00800D1B">
          <w:rPr>
            <w:lang w:val="sv-SE"/>
          </w:rPr>
        </w:r>
        <w:r w:rsidR="00623E14" w:rsidRPr="00800D1B">
          <w:rPr>
            <w:lang w:val="sv-SE"/>
          </w:rPr>
          <w:fldChar w:fldCharType="separate"/>
        </w:r>
        <w:r w:rsidR="00623E14" w:rsidRPr="00800D1B">
          <w:rPr>
            <w:lang w:val="sv-SE"/>
          </w:rPr>
          <w:t>72</w:t>
        </w:r>
        <w:r w:rsidR="00623E14" w:rsidRPr="00800D1B">
          <w:rPr>
            <w:lang w:val="sv-SE"/>
          </w:rPr>
          <w:fldChar w:fldCharType="end"/>
        </w:r>
      </w:hyperlink>
    </w:p>
    <w:p w14:paraId="2D065471" w14:textId="77777777" w:rsidR="003422DB" w:rsidRPr="00800D1B" w:rsidRDefault="00000000">
      <w:pPr>
        <w:pStyle w:val="Innehll5"/>
        <w:tabs>
          <w:tab w:val="right" w:leader="dot" w:pos="10240"/>
        </w:tabs>
        <w:rPr>
          <w:rFonts w:ascii="Calibri" w:hAnsi="Calibri"/>
          <w:sz w:val="22"/>
          <w:lang w:val="sv-SE"/>
        </w:rPr>
      </w:pPr>
      <w:hyperlink w:anchor="_Toc256000367" w:history="1">
        <w:r w:rsidR="00A77B3E" w:rsidRPr="00800D1B">
          <w:rPr>
            <w:rStyle w:val="Hyperlnk"/>
            <w:lang w:val="sv-SE"/>
          </w:rPr>
          <w:t>Tabell 8: Dimension 7 – ESF+, Eruf, Sammanhållningsfonden och FRO, jämställdhetsdimensionen</w:t>
        </w:r>
        <w:r w:rsidR="00623E14" w:rsidRPr="00800D1B">
          <w:rPr>
            <w:lang w:val="sv-SE"/>
          </w:rPr>
          <w:tab/>
        </w:r>
        <w:r w:rsidR="00623E14" w:rsidRPr="00800D1B">
          <w:rPr>
            <w:lang w:val="sv-SE"/>
          </w:rPr>
          <w:fldChar w:fldCharType="begin"/>
        </w:r>
        <w:r w:rsidR="00623E14" w:rsidRPr="00800D1B">
          <w:rPr>
            <w:lang w:val="sv-SE"/>
          </w:rPr>
          <w:instrText xml:space="preserve"> PAGEREF _Toc256000367 \h </w:instrText>
        </w:r>
        <w:r w:rsidR="00623E14" w:rsidRPr="00800D1B">
          <w:rPr>
            <w:lang w:val="sv-SE"/>
          </w:rPr>
        </w:r>
        <w:r w:rsidR="00623E14" w:rsidRPr="00800D1B">
          <w:rPr>
            <w:lang w:val="sv-SE"/>
          </w:rPr>
          <w:fldChar w:fldCharType="separate"/>
        </w:r>
        <w:r w:rsidR="00623E14" w:rsidRPr="00800D1B">
          <w:rPr>
            <w:lang w:val="sv-SE"/>
          </w:rPr>
          <w:t>72</w:t>
        </w:r>
        <w:r w:rsidR="00623E14" w:rsidRPr="00800D1B">
          <w:rPr>
            <w:lang w:val="sv-SE"/>
          </w:rPr>
          <w:fldChar w:fldCharType="end"/>
        </w:r>
      </w:hyperlink>
    </w:p>
    <w:p w14:paraId="2D065472" w14:textId="77777777" w:rsidR="003422DB" w:rsidRPr="00800D1B" w:rsidRDefault="00000000" w:rsidP="004F0B72">
      <w:pPr>
        <w:pStyle w:val="Innehll4"/>
        <w:rPr>
          <w:rFonts w:ascii="Calibri" w:hAnsi="Calibri"/>
          <w:sz w:val="22"/>
          <w:lang w:val="sv-SE"/>
        </w:rPr>
      </w:pPr>
      <w:hyperlink w:anchor="_Toc256000368" w:history="1">
        <w:r w:rsidR="00A77B3E" w:rsidRPr="00800D1B">
          <w:rPr>
            <w:rStyle w:val="Hyperlnk"/>
            <w:lang w:val="sv-SE"/>
          </w:rPr>
          <w:t>2.1.1.1. Specifikt mål: RSO2.4. Främja klimatanpassning, förebyggande av katastrofrisker och motståndskraft, med beaktande av ekosystembaserade tillvägagångssätt (Eruf)</w:t>
        </w:r>
        <w:r w:rsidR="00623E14" w:rsidRPr="00800D1B">
          <w:rPr>
            <w:lang w:val="sv-SE"/>
          </w:rPr>
          <w:tab/>
        </w:r>
        <w:r w:rsidR="00623E14" w:rsidRPr="00800D1B">
          <w:rPr>
            <w:lang w:val="sv-SE"/>
          </w:rPr>
          <w:fldChar w:fldCharType="begin"/>
        </w:r>
        <w:r w:rsidR="00623E14" w:rsidRPr="00800D1B">
          <w:rPr>
            <w:lang w:val="sv-SE"/>
          </w:rPr>
          <w:instrText xml:space="preserve"> PAGEREF _Toc256000368 \h </w:instrText>
        </w:r>
        <w:r w:rsidR="00623E14" w:rsidRPr="00800D1B">
          <w:rPr>
            <w:lang w:val="sv-SE"/>
          </w:rPr>
        </w:r>
        <w:r w:rsidR="00623E14" w:rsidRPr="00800D1B">
          <w:rPr>
            <w:lang w:val="sv-SE"/>
          </w:rPr>
          <w:fldChar w:fldCharType="separate"/>
        </w:r>
        <w:r w:rsidR="00623E14" w:rsidRPr="00800D1B">
          <w:rPr>
            <w:lang w:val="sv-SE"/>
          </w:rPr>
          <w:t>73</w:t>
        </w:r>
        <w:r w:rsidR="00623E14" w:rsidRPr="00800D1B">
          <w:rPr>
            <w:lang w:val="sv-SE"/>
          </w:rPr>
          <w:fldChar w:fldCharType="end"/>
        </w:r>
      </w:hyperlink>
    </w:p>
    <w:p w14:paraId="2D065473" w14:textId="77777777" w:rsidR="003422DB" w:rsidRPr="00800D1B" w:rsidRDefault="00000000" w:rsidP="004F0B72">
      <w:pPr>
        <w:pStyle w:val="Innehll4"/>
        <w:rPr>
          <w:rFonts w:ascii="Calibri" w:hAnsi="Calibri"/>
          <w:sz w:val="22"/>
          <w:lang w:val="sv-SE"/>
        </w:rPr>
      </w:pPr>
      <w:hyperlink w:anchor="_Toc256000369" w:history="1">
        <w:r w:rsidR="00A77B3E" w:rsidRPr="00800D1B">
          <w:rPr>
            <w:rStyle w:val="Hyperlnk"/>
            <w:lang w:val="sv-SE"/>
          </w:rPr>
          <w:t>2.1.1.1.1. Interventioner inom ramen för fonderna</w:t>
        </w:r>
        <w:r w:rsidR="00623E14" w:rsidRPr="00800D1B">
          <w:rPr>
            <w:lang w:val="sv-SE"/>
          </w:rPr>
          <w:tab/>
        </w:r>
        <w:r w:rsidR="00623E14" w:rsidRPr="00800D1B">
          <w:rPr>
            <w:lang w:val="sv-SE"/>
          </w:rPr>
          <w:fldChar w:fldCharType="begin"/>
        </w:r>
        <w:r w:rsidR="00623E14" w:rsidRPr="00800D1B">
          <w:rPr>
            <w:lang w:val="sv-SE"/>
          </w:rPr>
          <w:instrText xml:space="preserve"> PAGEREF _Toc256000369 \h </w:instrText>
        </w:r>
        <w:r w:rsidR="00623E14" w:rsidRPr="00800D1B">
          <w:rPr>
            <w:lang w:val="sv-SE"/>
          </w:rPr>
        </w:r>
        <w:r w:rsidR="00623E14" w:rsidRPr="00800D1B">
          <w:rPr>
            <w:lang w:val="sv-SE"/>
          </w:rPr>
          <w:fldChar w:fldCharType="separate"/>
        </w:r>
        <w:r w:rsidR="00623E14" w:rsidRPr="00800D1B">
          <w:rPr>
            <w:lang w:val="sv-SE"/>
          </w:rPr>
          <w:t>73</w:t>
        </w:r>
        <w:r w:rsidR="00623E14" w:rsidRPr="00800D1B">
          <w:rPr>
            <w:lang w:val="sv-SE"/>
          </w:rPr>
          <w:fldChar w:fldCharType="end"/>
        </w:r>
      </w:hyperlink>
    </w:p>
    <w:p w14:paraId="2D065474" w14:textId="77777777" w:rsidR="003422DB" w:rsidRPr="00800D1B" w:rsidRDefault="00000000">
      <w:pPr>
        <w:pStyle w:val="Innehll5"/>
        <w:tabs>
          <w:tab w:val="right" w:leader="dot" w:pos="10240"/>
        </w:tabs>
        <w:rPr>
          <w:rFonts w:ascii="Calibri" w:hAnsi="Calibri"/>
          <w:sz w:val="22"/>
          <w:lang w:val="sv-SE"/>
        </w:rPr>
      </w:pPr>
      <w:hyperlink w:anchor="_Toc256000370" w:history="1">
        <w:r w:rsidR="00A77B3E" w:rsidRPr="00800D1B">
          <w:rPr>
            <w:rStyle w:val="Hyperlnk"/>
            <w:lang w:val="sv-SE"/>
          </w:rPr>
          <w:t>Relaterade typer av åtgärder – artikel 22.3 d i i förordningen om gemensamma bestämmelser och artikel 6 i ESF+-förordningen</w:t>
        </w:r>
        <w:r w:rsidR="00623E14" w:rsidRPr="00800D1B">
          <w:rPr>
            <w:lang w:val="sv-SE"/>
          </w:rPr>
          <w:tab/>
        </w:r>
        <w:r w:rsidR="00623E14" w:rsidRPr="00800D1B">
          <w:rPr>
            <w:lang w:val="sv-SE"/>
          </w:rPr>
          <w:fldChar w:fldCharType="begin"/>
        </w:r>
        <w:r w:rsidR="00623E14" w:rsidRPr="00800D1B">
          <w:rPr>
            <w:lang w:val="sv-SE"/>
          </w:rPr>
          <w:instrText xml:space="preserve"> PAGEREF _Toc256000370 \h </w:instrText>
        </w:r>
        <w:r w:rsidR="00623E14" w:rsidRPr="00800D1B">
          <w:rPr>
            <w:lang w:val="sv-SE"/>
          </w:rPr>
        </w:r>
        <w:r w:rsidR="00623E14" w:rsidRPr="00800D1B">
          <w:rPr>
            <w:lang w:val="sv-SE"/>
          </w:rPr>
          <w:fldChar w:fldCharType="separate"/>
        </w:r>
        <w:r w:rsidR="00623E14" w:rsidRPr="00800D1B">
          <w:rPr>
            <w:lang w:val="sv-SE"/>
          </w:rPr>
          <w:t>73</w:t>
        </w:r>
        <w:r w:rsidR="00623E14" w:rsidRPr="00800D1B">
          <w:rPr>
            <w:lang w:val="sv-SE"/>
          </w:rPr>
          <w:fldChar w:fldCharType="end"/>
        </w:r>
      </w:hyperlink>
    </w:p>
    <w:p w14:paraId="2D065475" w14:textId="77777777" w:rsidR="003422DB" w:rsidRPr="00800D1B" w:rsidRDefault="00000000">
      <w:pPr>
        <w:pStyle w:val="Innehll5"/>
        <w:tabs>
          <w:tab w:val="right" w:leader="dot" w:pos="10240"/>
        </w:tabs>
        <w:rPr>
          <w:rFonts w:ascii="Calibri" w:hAnsi="Calibri"/>
          <w:sz w:val="22"/>
          <w:lang w:val="sv-SE"/>
        </w:rPr>
      </w:pPr>
      <w:hyperlink w:anchor="_Toc256000371" w:history="1">
        <w:r w:rsidR="00A77B3E" w:rsidRPr="00800D1B">
          <w:rPr>
            <w:rStyle w:val="Hyperlnk"/>
            <w:lang w:val="sv-SE"/>
          </w:rPr>
          <w:t>Huvudsakliga målgrupper – artikel 22.3 d iii i förordningen om gemensamma bestämmelser</w:t>
        </w:r>
        <w:r w:rsidR="00623E14" w:rsidRPr="00800D1B">
          <w:rPr>
            <w:lang w:val="sv-SE"/>
          </w:rPr>
          <w:tab/>
        </w:r>
        <w:r w:rsidR="00623E14" w:rsidRPr="00800D1B">
          <w:rPr>
            <w:lang w:val="sv-SE"/>
          </w:rPr>
          <w:fldChar w:fldCharType="begin"/>
        </w:r>
        <w:r w:rsidR="00623E14" w:rsidRPr="00800D1B">
          <w:rPr>
            <w:lang w:val="sv-SE"/>
          </w:rPr>
          <w:instrText xml:space="preserve"> PAGEREF _Toc256000371 \h </w:instrText>
        </w:r>
        <w:r w:rsidR="00623E14" w:rsidRPr="00800D1B">
          <w:rPr>
            <w:lang w:val="sv-SE"/>
          </w:rPr>
        </w:r>
        <w:r w:rsidR="00623E14" w:rsidRPr="00800D1B">
          <w:rPr>
            <w:lang w:val="sv-SE"/>
          </w:rPr>
          <w:fldChar w:fldCharType="separate"/>
        </w:r>
        <w:r w:rsidR="00623E14" w:rsidRPr="00800D1B">
          <w:rPr>
            <w:lang w:val="sv-SE"/>
          </w:rPr>
          <w:t>75</w:t>
        </w:r>
        <w:r w:rsidR="00623E14" w:rsidRPr="00800D1B">
          <w:rPr>
            <w:lang w:val="sv-SE"/>
          </w:rPr>
          <w:fldChar w:fldCharType="end"/>
        </w:r>
      </w:hyperlink>
    </w:p>
    <w:p w14:paraId="2D065476" w14:textId="77777777" w:rsidR="003422DB" w:rsidRPr="00800D1B" w:rsidRDefault="00000000">
      <w:pPr>
        <w:pStyle w:val="Innehll5"/>
        <w:tabs>
          <w:tab w:val="right" w:leader="dot" w:pos="10240"/>
        </w:tabs>
        <w:rPr>
          <w:rFonts w:ascii="Calibri" w:hAnsi="Calibri"/>
          <w:sz w:val="22"/>
          <w:lang w:val="sv-SE"/>
        </w:rPr>
      </w:pPr>
      <w:hyperlink w:anchor="_Toc256000372" w:history="1">
        <w:r w:rsidR="00A77B3E" w:rsidRPr="00800D1B">
          <w:rPr>
            <w:rStyle w:val="Hyperlnk"/>
            <w:lang w:val="sv-SE"/>
          </w:rPr>
          <w:t>Åtgärder för säkerställande av jämställdhet, inkludering och icke-diskriminering – artikel 22.3 d iv i förordningen om gemensamma bestämmelser och artikel 6 i ESF+-förordningen</w:t>
        </w:r>
        <w:r w:rsidR="00623E14" w:rsidRPr="00800D1B">
          <w:rPr>
            <w:lang w:val="sv-SE"/>
          </w:rPr>
          <w:tab/>
        </w:r>
        <w:r w:rsidR="00623E14" w:rsidRPr="00800D1B">
          <w:rPr>
            <w:lang w:val="sv-SE"/>
          </w:rPr>
          <w:fldChar w:fldCharType="begin"/>
        </w:r>
        <w:r w:rsidR="00623E14" w:rsidRPr="00800D1B">
          <w:rPr>
            <w:lang w:val="sv-SE"/>
          </w:rPr>
          <w:instrText xml:space="preserve"> PAGEREF _Toc256000372 \h </w:instrText>
        </w:r>
        <w:r w:rsidR="00623E14" w:rsidRPr="00800D1B">
          <w:rPr>
            <w:lang w:val="sv-SE"/>
          </w:rPr>
        </w:r>
        <w:r w:rsidR="00623E14" w:rsidRPr="00800D1B">
          <w:rPr>
            <w:lang w:val="sv-SE"/>
          </w:rPr>
          <w:fldChar w:fldCharType="separate"/>
        </w:r>
        <w:r w:rsidR="00623E14" w:rsidRPr="00800D1B">
          <w:rPr>
            <w:lang w:val="sv-SE"/>
          </w:rPr>
          <w:t>75</w:t>
        </w:r>
        <w:r w:rsidR="00623E14" w:rsidRPr="00800D1B">
          <w:rPr>
            <w:lang w:val="sv-SE"/>
          </w:rPr>
          <w:fldChar w:fldCharType="end"/>
        </w:r>
      </w:hyperlink>
    </w:p>
    <w:p w14:paraId="2D065477" w14:textId="77777777" w:rsidR="003422DB" w:rsidRPr="00800D1B" w:rsidRDefault="00000000">
      <w:pPr>
        <w:pStyle w:val="Innehll5"/>
        <w:tabs>
          <w:tab w:val="right" w:leader="dot" w:pos="10240"/>
        </w:tabs>
        <w:rPr>
          <w:rFonts w:ascii="Calibri" w:hAnsi="Calibri"/>
          <w:sz w:val="22"/>
          <w:lang w:val="sv-SE"/>
        </w:rPr>
      </w:pPr>
      <w:hyperlink w:anchor="_Toc256000373" w:history="1">
        <w:r w:rsidR="00A77B3E" w:rsidRPr="00800D1B">
          <w:rPr>
            <w:rStyle w:val="Hyperlnk"/>
            <w:lang w:val="sv-SE"/>
          </w:rPr>
          <w:t>Angivande av de specifika målterritorierna, inbegripet planerad användning av territoriella verktyg – artikel 22.3 d v i förordningen om gemensamma bestämmelser</w:t>
        </w:r>
        <w:r w:rsidR="00623E14" w:rsidRPr="00800D1B">
          <w:rPr>
            <w:lang w:val="sv-SE"/>
          </w:rPr>
          <w:tab/>
        </w:r>
        <w:r w:rsidR="00623E14" w:rsidRPr="00800D1B">
          <w:rPr>
            <w:lang w:val="sv-SE"/>
          </w:rPr>
          <w:fldChar w:fldCharType="begin"/>
        </w:r>
        <w:r w:rsidR="00623E14" w:rsidRPr="00800D1B">
          <w:rPr>
            <w:lang w:val="sv-SE"/>
          </w:rPr>
          <w:instrText xml:space="preserve"> PAGEREF _Toc256000373 \h </w:instrText>
        </w:r>
        <w:r w:rsidR="00623E14" w:rsidRPr="00800D1B">
          <w:rPr>
            <w:lang w:val="sv-SE"/>
          </w:rPr>
        </w:r>
        <w:r w:rsidR="00623E14" w:rsidRPr="00800D1B">
          <w:rPr>
            <w:lang w:val="sv-SE"/>
          </w:rPr>
          <w:fldChar w:fldCharType="separate"/>
        </w:r>
        <w:r w:rsidR="00623E14" w:rsidRPr="00800D1B">
          <w:rPr>
            <w:lang w:val="sv-SE"/>
          </w:rPr>
          <w:t>75</w:t>
        </w:r>
        <w:r w:rsidR="00623E14" w:rsidRPr="00800D1B">
          <w:rPr>
            <w:lang w:val="sv-SE"/>
          </w:rPr>
          <w:fldChar w:fldCharType="end"/>
        </w:r>
      </w:hyperlink>
    </w:p>
    <w:p w14:paraId="2D065478" w14:textId="77777777" w:rsidR="003422DB" w:rsidRPr="00800D1B" w:rsidRDefault="00000000">
      <w:pPr>
        <w:pStyle w:val="Innehll5"/>
        <w:tabs>
          <w:tab w:val="right" w:leader="dot" w:pos="10240"/>
        </w:tabs>
        <w:rPr>
          <w:rFonts w:ascii="Calibri" w:hAnsi="Calibri"/>
          <w:sz w:val="22"/>
          <w:lang w:val="sv-SE"/>
        </w:rPr>
      </w:pPr>
      <w:hyperlink w:anchor="_Toc256000374" w:history="1">
        <w:r w:rsidR="00A77B3E" w:rsidRPr="00800D1B">
          <w:rPr>
            <w:rStyle w:val="Hyperlnk"/>
            <w:lang w:val="sv-SE"/>
          </w:rPr>
          <w:t>Interregionala, gränsregionala och transnationella åtgärder – artikel 22.3 d vi i förordningen om gemensamma bestämmelser</w:t>
        </w:r>
        <w:r w:rsidR="00623E14" w:rsidRPr="00800D1B">
          <w:rPr>
            <w:lang w:val="sv-SE"/>
          </w:rPr>
          <w:tab/>
        </w:r>
        <w:r w:rsidR="00623E14" w:rsidRPr="00800D1B">
          <w:rPr>
            <w:lang w:val="sv-SE"/>
          </w:rPr>
          <w:fldChar w:fldCharType="begin"/>
        </w:r>
        <w:r w:rsidR="00623E14" w:rsidRPr="00800D1B">
          <w:rPr>
            <w:lang w:val="sv-SE"/>
          </w:rPr>
          <w:instrText xml:space="preserve"> PAGEREF _Toc256000374 \h </w:instrText>
        </w:r>
        <w:r w:rsidR="00623E14" w:rsidRPr="00800D1B">
          <w:rPr>
            <w:lang w:val="sv-SE"/>
          </w:rPr>
        </w:r>
        <w:r w:rsidR="00623E14" w:rsidRPr="00800D1B">
          <w:rPr>
            <w:lang w:val="sv-SE"/>
          </w:rPr>
          <w:fldChar w:fldCharType="separate"/>
        </w:r>
        <w:r w:rsidR="00623E14" w:rsidRPr="00800D1B">
          <w:rPr>
            <w:lang w:val="sv-SE"/>
          </w:rPr>
          <w:t>76</w:t>
        </w:r>
        <w:r w:rsidR="00623E14" w:rsidRPr="00800D1B">
          <w:rPr>
            <w:lang w:val="sv-SE"/>
          </w:rPr>
          <w:fldChar w:fldCharType="end"/>
        </w:r>
      </w:hyperlink>
    </w:p>
    <w:p w14:paraId="2D065479" w14:textId="77777777" w:rsidR="003422DB" w:rsidRPr="00800D1B" w:rsidRDefault="00000000">
      <w:pPr>
        <w:pStyle w:val="Innehll5"/>
        <w:tabs>
          <w:tab w:val="right" w:leader="dot" w:pos="10240"/>
        </w:tabs>
        <w:rPr>
          <w:rFonts w:ascii="Calibri" w:hAnsi="Calibri"/>
          <w:sz w:val="22"/>
          <w:lang w:val="sv-SE"/>
        </w:rPr>
      </w:pPr>
      <w:hyperlink w:anchor="_Toc256000375" w:history="1">
        <w:r w:rsidR="00A77B3E" w:rsidRPr="00800D1B">
          <w:rPr>
            <w:rStyle w:val="Hyperlnk"/>
            <w:lang w:val="sv-SE"/>
          </w:rPr>
          <w:t>Planerad användning av finansieringsinstrument – artikel 22.3 d vii i förordningen om gemensamma bestämmelser</w:t>
        </w:r>
        <w:r w:rsidR="00623E14" w:rsidRPr="00800D1B">
          <w:rPr>
            <w:lang w:val="sv-SE"/>
          </w:rPr>
          <w:tab/>
        </w:r>
        <w:r w:rsidR="00623E14" w:rsidRPr="00800D1B">
          <w:rPr>
            <w:lang w:val="sv-SE"/>
          </w:rPr>
          <w:fldChar w:fldCharType="begin"/>
        </w:r>
        <w:r w:rsidR="00623E14" w:rsidRPr="00800D1B">
          <w:rPr>
            <w:lang w:val="sv-SE"/>
          </w:rPr>
          <w:instrText xml:space="preserve"> PAGEREF _Toc256000375 \h </w:instrText>
        </w:r>
        <w:r w:rsidR="00623E14" w:rsidRPr="00800D1B">
          <w:rPr>
            <w:lang w:val="sv-SE"/>
          </w:rPr>
        </w:r>
        <w:r w:rsidR="00623E14" w:rsidRPr="00800D1B">
          <w:rPr>
            <w:lang w:val="sv-SE"/>
          </w:rPr>
          <w:fldChar w:fldCharType="separate"/>
        </w:r>
        <w:r w:rsidR="00623E14" w:rsidRPr="00800D1B">
          <w:rPr>
            <w:lang w:val="sv-SE"/>
          </w:rPr>
          <w:t>76</w:t>
        </w:r>
        <w:r w:rsidR="00623E14" w:rsidRPr="00800D1B">
          <w:rPr>
            <w:lang w:val="sv-SE"/>
          </w:rPr>
          <w:fldChar w:fldCharType="end"/>
        </w:r>
      </w:hyperlink>
    </w:p>
    <w:p w14:paraId="2D06547A" w14:textId="77777777" w:rsidR="003422DB" w:rsidRPr="00800D1B" w:rsidRDefault="00000000" w:rsidP="004F0B72">
      <w:pPr>
        <w:pStyle w:val="Innehll4"/>
        <w:rPr>
          <w:rFonts w:ascii="Calibri" w:hAnsi="Calibri"/>
          <w:sz w:val="22"/>
          <w:lang w:val="sv-SE"/>
        </w:rPr>
      </w:pPr>
      <w:hyperlink w:anchor="_Toc256000376" w:history="1">
        <w:r w:rsidR="00A77B3E" w:rsidRPr="00800D1B">
          <w:rPr>
            <w:rStyle w:val="Hyperlnk"/>
            <w:lang w:val="sv-SE"/>
          </w:rPr>
          <w:t>2.1.1.1.2. Indikatorer</w:t>
        </w:r>
        <w:r w:rsidR="00623E14" w:rsidRPr="00800D1B">
          <w:rPr>
            <w:lang w:val="sv-SE"/>
          </w:rPr>
          <w:tab/>
        </w:r>
        <w:r w:rsidR="00623E14" w:rsidRPr="00800D1B">
          <w:rPr>
            <w:lang w:val="sv-SE"/>
          </w:rPr>
          <w:fldChar w:fldCharType="begin"/>
        </w:r>
        <w:r w:rsidR="00623E14" w:rsidRPr="00800D1B">
          <w:rPr>
            <w:lang w:val="sv-SE"/>
          </w:rPr>
          <w:instrText xml:space="preserve"> PAGEREF _Toc256000376 \h </w:instrText>
        </w:r>
        <w:r w:rsidR="00623E14" w:rsidRPr="00800D1B">
          <w:rPr>
            <w:lang w:val="sv-SE"/>
          </w:rPr>
        </w:r>
        <w:r w:rsidR="00623E14" w:rsidRPr="00800D1B">
          <w:rPr>
            <w:lang w:val="sv-SE"/>
          </w:rPr>
          <w:fldChar w:fldCharType="separate"/>
        </w:r>
        <w:r w:rsidR="00623E14" w:rsidRPr="00800D1B">
          <w:rPr>
            <w:lang w:val="sv-SE"/>
          </w:rPr>
          <w:t>76</w:t>
        </w:r>
        <w:r w:rsidR="00623E14" w:rsidRPr="00800D1B">
          <w:rPr>
            <w:lang w:val="sv-SE"/>
          </w:rPr>
          <w:fldChar w:fldCharType="end"/>
        </w:r>
      </w:hyperlink>
    </w:p>
    <w:p w14:paraId="2D06547B" w14:textId="77777777" w:rsidR="003422DB" w:rsidRPr="00800D1B" w:rsidRDefault="00000000">
      <w:pPr>
        <w:pStyle w:val="Innehll5"/>
        <w:tabs>
          <w:tab w:val="right" w:leader="dot" w:pos="10240"/>
        </w:tabs>
        <w:rPr>
          <w:rFonts w:ascii="Calibri" w:hAnsi="Calibri"/>
          <w:sz w:val="22"/>
          <w:lang w:val="sv-SE"/>
        </w:rPr>
      </w:pPr>
      <w:hyperlink w:anchor="_Toc256000377" w:history="1">
        <w:r w:rsidR="00A77B3E" w:rsidRPr="00800D1B">
          <w:rPr>
            <w:rStyle w:val="Hyperlnk"/>
            <w:lang w:val="sv-SE"/>
          </w:rPr>
          <w:t>Tabell 2: Utfallsindikatorer</w:t>
        </w:r>
        <w:r w:rsidR="00623E14" w:rsidRPr="00800D1B">
          <w:rPr>
            <w:lang w:val="sv-SE"/>
          </w:rPr>
          <w:tab/>
        </w:r>
        <w:r w:rsidR="00623E14" w:rsidRPr="00800D1B">
          <w:rPr>
            <w:lang w:val="sv-SE"/>
          </w:rPr>
          <w:fldChar w:fldCharType="begin"/>
        </w:r>
        <w:r w:rsidR="00623E14" w:rsidRPr="00800D1B">
          <w:rPr>
            <w:lang w:val="sv-SE"/>
          </w:rPr>
          <w:instrText xml:space="preserve"> PAGEREF _Toc256000377 \h </w:instrText>
        </w:r>
        <w:r w:rsidR="00623E14" w:rsidRPr="00800D1B">
          <w:rPr>
            <w:lang w:val="sv-SE"/>
          </w:rPr>
        </w:r>
        <w:r w:rsidR="00623E14" w:rsidRPr="00800D1B">
          <w:rPr>
            <w:lang w:val="sv-SE"/>
          </w:rPr>
          <w:fldChar w:fldCharType="separate"/>
        </w:r>
        <w:r w:rsidR="00623E14" w:rsidRPr="00800D1B">
          <w:rPr>
            <w:lang w:val="sv-SE"/>
          </w:rPr>
          <w:t>76</w:t>
        </w:r>
        <w:r w:rsidR="00623E14" w:rsidRPr="00800D1B">
          <w:rPr>
            <w:lang w:val="sv-SE"/>
          </w:rPr>
          <w:fldChar w:fldCharType="end"/>
        </w:r>
      </w:hyperlink>
    </w:p>
    <w:p w14:paraId="2D06547C" w14:textId="77777777" w:rsidR="003422DB" w:rsidRPr="00800D1B" w:rsidRDefault="00000000">
      <w:pPr>
        <w:pStyle w:val="Innehll5"/>
        <w:tabs>
          <w:tab w:val="right" w:leader="dot" w:pos="10240"/>
        </w:tabs>
        <w:rPr>
          <w:rFonts w:ascii="Calibri" w:hAnsi="Calibri"/>
          <w:sz w:val="22"/>
          <w:lang w:val="sv-SE"/>
        </w:rPr>
      </w:pPr>
      <w:hyperlink w:anchor="_Toc256000378" w:history="1">
        <w:r w:rsidR="00A77B3E" w:rsidRPr="00800D1B">
          <w:rPr>
            <w:rStyle w:val="Hyperlnk"/>
            <w:lang w:val="sv-SE"/>
          </w:rPr>
          <w:t>Tabell 3: Resultatindikatorer</w:t>
        </w:r>
        <w:r w:rsidR="00623E14" w:rsidRPr="00800D1B">
          <w:rPr>
            <w:lang w:val="sv-SE"/>
          </w:rPr>
          <w:tab/>
        </w:r>
        <w:r w:rsidR="00623E14" w:rsidRPr="00800D1B">
          <w:rPr>
            <w:lang w:val="sv-SE"/>
          </w:rPr>
          <w:fldChar w:fldCharType="begin"/>
        </w:r>
        <w:r w:rsidR="00623E14" w:rsidRPr="00800D1B">
          <w:rPr>
            <w:lang w:val="sv-SE"/>
          </w:rPr>
          <w:instrText xml:space="preserve"> PAGEREF _Toc256000378 \h </w:instrText>
        </w:r>
        <w:r w:rsidR="00623E14" w:rsidRPr="00800D1B">
          <w:rPr>
            <w:lang w:val="sv-SE"/>
          </w:rPr>
        </w:r>
        <w:r w:rsidR="00623E14" w:rsidRPr="00800D1B">
          <w:rPr>
            <w:lang w:val="sv-SE"/>
          </w:rPr>
          <w:fldChar w:fldCharType="separate"/>
        </w:r>
        <w:r w:rsidR="00623E14" w:rsidRPr="00800D1B">
          <w:rPr>
            <w:lang w:val="sv-SE"/>
          </w:rPr>
          <w:t>77</w:t>
        </w:r>
        <w:r w:rsidR="00623E14" w:rsidRPr="00800D1B">
          <w:rPr>
            <w:lang w:val="sv-SE"/>
          </w:rPr>
          <w:fldChar w:fldCharType="end"/>
        </w:r>
      </w:hyperlink>
    </w:p>
    <w:p w14:paraId="2D06547D" w14:textId="77777777" w:rsidR="003422DB" w:rsidRPr="00800D1B" w:rsidRDefault="00000000" w:rsidP="004F0B72">
      <w:pPr>
        <w:pStyle w:val="Innehll4"/>
        <w:rPr>
          <w:rFonts w:ascii="Calibri" w:hAnsi="Calibri"/>
          <w:sz w:val="22"/>
          <w:lang w:val="sv-SE"/>
        </w:rPr>
      </w:pPr>
      <w:hyperlink w:anchor="_Toc256000379" w:history="1">
        <w:r w:rsidR="00A77B3E" w:rsidRPr="00800D1B">
          <w:rPr>
            <w:rStyle w:val="Hyperlnk"/>
            <w:lang w:val="sv-SE"/>
          </w:rPr>
          <w:t>2.1.1.1.3. Preliminär fördelning av anslagna (EU-)medel efter interventionstyp</w:t>
        </w:r>
        <w:r w:rsidR="00623E14" w:rsidRPr="00800D1B">
          <w:rPr>
            <w:lang w:val="sv-SE"/>
          </w:rPr>
          <w:tab/>
        </w:r>
        <w:r w:rsidR="00623E14" w:rsidRPr="00800D1B">
          <w:rPr>
            <w:lang w:val="sv-SE"/>
          </w:rPr>
          <w:fldChar w:fldCharType="begin"/>
        </w:r>
        <w:r w:rsidR="00623E14" w:rsidRPr="00800D1B">
          <w:rPr>
            <w:lang w:val="sv-SE"/>
          </w:rPr>
          <w:instrText xml:space="preserve"> PAGEREF _Toc256000379 \h </w:instrText>
        </w:r>
        <w:r w:rsidR="00623E14" w:rsidRPr="00800D1B">
          <w:rPr>
            <w:lang w:val="sv-SE"/>
          </w:rPr>
        </w:r>
        <w:r w:rsidR="00623E14" w:rsidRPr="00800D1B">
          <w:rPr>
            <w:lang w:val="sv-SE"/>
          </w:rPr>
          <w:fldChar w:fldCharType="separate"/>
        </w:r>
        <w:r w:rsidR="00623E14" w:rsidRPr="00800D1B">
          <w:rPr>
            <w:lang w:val="sv-SE"/>
          </w:rPr>
          <w:t>77</w:t>
        </w:r>
        <w:r w:rsidR="00623E14" w:rsidRPr="00800D1B">
          <w:rPr>
            <w:lang w:val="sv-SE"/>
          </w:rPr>
          <w:fldChar w:fldCharType="end"/>
        </w:r>
      </w:hyperlink>
    </w:p>
    <w:p w14:paraId="2D06547E" w14:textId="77777777" w:rsidR="003422DB" w:rsidRPr="00800D1B" w:rsidRDefault="00000000">
      <w:pPr>
        <w:pStyle w:val="Innehll5"/>
        <w:tabs>
          <w:tab w:val="right" w:leader="dot" w:pos="10240"/>
        </w:tabs>
        <w:rPr>
          <w:rFonts w:ascii="Calibri" w:hAnsi="Calibri"/>
          <w:sz w:val="22"/>
          <w:lang w:val="sv-SE"/>
        </w:rPr>
      </w:pPr>
      <w:hyperlink w:anchor="_Toc256000380" w:history="1">
        <w:r w:rsidR="00A77B3E" w:rsidRPr="00800D1B">
          <w:rPr>
            <w:rStyle w:val="Hyperlnk"/>
            <w:lang w:val="sv-SE"/>
          </w:rPr>
          <w:t>Tabell 4: Dimension 1 – interventionsområde</w:t>
        </w:r>
        <w:r w:rsidR="00623E14" w:rsidRPr="00800D1B">
          <w:rPr>
            <w:lang w:val="sv-SE"/>
          </w:rPr>
          <w:tab/>
        </w:r>
        <w:r w:rsidR="00623E14" w:rsidRPr="00800D1B">
          <w:rPr>
            <w:lang w:val="sv-SE"/>
          </w:rPr>
          <w:fldChar w:fldCharType="begin"/>
        </w:r>
        <w:r w:rsidR="00623E14" w:rsidRPr="00800D1B">
          <w:rPr>
            <w:lang w:val="sv-SE"/>
          </w:rPr>
          <w:instrText xml:space="preserve"> PAGEREF _Toc256000380 \h </w:instrText>
        </w:r>
        <w:r w:rsidR="00623E14" w:rsidRPr="00800D1B">
          <w:rPr>
            <w:lang w:val="sv-SE"/>
          </w:rPr>
        </w:r>
        <w:r w:rsidR="00623E14" w:rsidRPr="00800D1B">
          <w:rPr>
            <w:lang w:val="sv-SE"/>
          </w:rPr>
          <w:fldChar w:fldCharType="separate"/>
        </w:r>
        <w:r w:rsidR="00623E14" w:rsidRPr="00800D1B">
          <w:rPr>
            <w:lang w:val="sv-SE"/>
          </w:rPr>
          <w:t>77</w:t>
        </w:r>
        <w:r w:rsidR="00623E14" w:rsidRPr="00800D1B">
          <w:rPr>
            <w:lang w:val="sv-SE"/>
          </w:rPr>
          <w:fldChar w:fldCharType="end"/>
        </w:r>
      </w:hyperlink>
    </w:p>
    <w:p w14:paraId="2D06547F" w14:textId="77777777" w:rsidR="003422DB" w:rsidRPr="00800D1B" w:rsidRDefault="00000000">
      <w:pPr>
        <w:pStyle w:val="Innehll5"/>
        <w:tabs>
          <w:tab w:val="right" w:leader="dot" w:pos="10240"/>
        </w:tabs>
        <w:rPr>
          <w:rFonts w:ascii="Calibri" w:hAnsi="Calibri"/>
          <w:sz w:val="22"/>
          <w:lang w:val="sv-SE"/>
        </w:rPr>
      </w:pPr>
      <w:hyperlink w:anchor="_Toc256000381" w:history="1">
        <w:r w:rsidR="00A77B3E" w:rsidRPr="00800D1B">
          <w:rPr>
            <w:rStyle w:val="Hyperlnk"/>
            <w:lang w:val="sv-SE"/>
          </w:rPr>
          <w:t>Tabell 5: Dimension 2 – finansieringsform</w:t>
        </w:r>
        <w:r w:rsidR="00623E14" w:rsidRPr="00800D1B">
          <w:rPr>
            <w:lang w:val="sv-SE"/>
          </w:rPr>
          <w:tab/>
        </w:r>
        <w:r w:rsidR="00623E14" w:rsidRPr="00800D1B">
          <w:rPr>
            <w:lang w:val="sv-SE"/>
          </w:rPr>
          <w:fldChar w:fldCharType="begin"/>
        </w:r>
        <w:r w:rsidR="00623E14" w:rsidRPr="00800D1B">
          <w:rPr>
            <w:lang w:val="sv-SE"/>
          </w:rPr>
          <w:instrText xml:space="preserve"> PAGEREF _Toc256000381 \h </w:instrText>
        </w:r>
        <w:r w:rsidR="00623E14" w:rsidRPr="00800D1B">
          <w:rPr>
            <w:lang w:val="sv-SE"/>
          </w:rPr>
        </w:r>
        <w:r w:rsidR="00623E14" w:rsidRPr="00800D1B">
          <w:rPr>
            <w:lang w:val="sv-SE"/>
          </w:rPr>
          <w:fldChar w:fldCharType="separate"/>
        </w:r>
        <w:r w:rsidR="00623E14" w:rsidRPr="00800D1B">
          <w:rPr>
            <w:lang w:val="sv-SE"/>
          </w:rPr>
          <w:t>78</w:t>
        </w:r>
        <w:r w:rsidR="00623E14" w:rsidRPr="00800D1B">
          <w:rPr>
            <w:lang w:val="sv-SE"/>
          </w:rPr>
          <w:fldChar w:fldCharType="end"/>
        </w:r>
      </w:hyperlink>
    </w:p>
    <w:p w14:paraId="2D065480" w14:textId="77777777" w:rsidR="003422DB" w:rsidRPr="00800D1B" w:rsidRDefault="00000000">
      <w:pPr>
        <w:pStyle w:val="Innehll5"/>
        <w:tabs>
          <w:tab w:val="right" w:leader="dot" w:pos="10240"/>
        </w:tabs>
        <w:rPr>
          <w:rFonts w:ascii="Calibri" w:hAnsi="Calibri"/>
          <w:sz w:val="22"/>
          <w:lang w:val="sv-SE"/>
        </w:rPr>
      </w:pPr>
      <w:hyperlink w:anchor="_Toc256000382" w:history="1">
        <w:r w:rsidR="00A77B3E" w:rsidRPr="00800D1B">
          <w:rPr>
            <w:rStyle w:val="Hyperlnk"/>
            <w:lang w:val="sv-SE"/>
          </w:rPr>
          <w:t>Tabell 6: Dimension 3 – territoriell genomförandemetod och territoriellt fokus</w:t>
        </w:r>
        <w:r w:rsidR="00623E14" w:rsidRPr="00800D1B">
          <w:rPr>
            <w:lang w:val="sv-SE"/>
          </w:rPr>
          <w:tab/>
        </w:r>
        <w:r w:rsidR="00623E14" w:rsidRPr="00800D1B">
          <w:rPr>
            <w:lang w:val="sv-SE"/>
          </w:rPr>
          <w:fldChar w:fldCharType="begin"/>
        </w:r>
        <w:r w:rsidR="00623E14" w:rsidRPr="00800D1B">
          <w:rPr>
            <w:lang w:val="sv-SE"/>
          </w:rPr>
          <w:instrText xml:space="preserve"> PAGEREF _Toc256000382 \h </w:instrText>
        </w:r>
        <w:r w:rsidR="00623E14" w:rsidRPr="00800D1B">
          <w:rPr>
            <w:lang w:val="sv-SE"/>
          </w:rPr>
        </w:r>
        <w:r w:rsidR="00623E14" w:rsidRPr="00800D1B">
          <w:rPr>
            <w:lang w:val="sv-SE"/>
          </w:rPr>
          <w:fldChar w:fldCharType="separate"/>
        </w:r>
        <w:r w:rsidR="00623E14" w:rsidRPr="00800D1B">
          <w:rPr>
            <w:lang w:val="sv-SE"/>
          </w:rPr>
          <w:t>78</w:t>
        </w:r>
        <w:r w:rsidR="00623E14" w:rsidRPr="00800D1B">
          <w:rPr>
            <w:lang w:val="sv-SE"/>
          </w:rPr>
          <w:fldChar w:fldCharType="end"/>
        </w:r>
      </w:hyperlink>
    </w:p>
    <w:p w14:paraId="2D065481" w14:textId="77777777" w:rsidR="003422DB" w:rsidRPr="00800D1B" w:rsidRDefault="00000000">
      <w:pPr>
        <w:pStyle w:val="Innehll5"/>
        <w:tabs>
          <w:tab w:val="right" w:leader="dot" w:pos="10240"/>
        </w:tabs>
        <w:rPr>
          <w:rFonts w:ascii="Calibri" w:hAnsi="Calibri"/>
          <w:sz w:val="22"/>
          <w:lang w:val="sv-SE"/>
        </w:rPr>
      </w:pPr>
      <w:hyperlink w:anchor="_Toc256000383" w:history="1">
        <w:r w:rsidR="00A77B3E" w:rsidRPr="00800D1B">
          <w:rPr>
            <w:rStyle w:val="Hyperlnk"/>
            <w:lang w:val="sv-SE"/>
          </w:rPr>
          <w:t>Tabell 7: Dimension 6 – ESF+-sekundärteman</w:t>
        </w:r>
        <w:r w:rsidR="00623E14" w:rsidRPr="00800D1B">
          <w:rPr>
            <w:lang w:val="sv-SE"/>
          </w:rPr>
          <w:tab/>
        </w:r>
        <w:r w:rsidR="00623E14" w:rsidRPr="00800D1B">
          <w:rPr>
            <w:lang w:val="sv-SE"/>
          </w:rPr>
          <w:fldChar w:fldCharType="begin"/>
        </w:r>
        <w:r w:rsidR="00623E14" w:rsidRPr="00800D1B">
          <w:rPr>
            <w:lang w:val="sv-SE"/>
          </w:rPr>
          <w:instrText xml:space="preserve"> PAGEREF _Toc256000383 \h </w:instrText>
        </w:r>
        <w:r w:rsidR="00623E14" w:rsidRPr="00800D1B">
          <w:rPr>
            <w:lang w:val="sv-SE"/>
          </w:rPr>
        </w:r>
        <w:r w:rsidR="00623E14" w:rsidRPr="00800D1B">
          <w:rPr>
            <w:lang w:val="sv-SE"/>
          </w:rPr>
          <w:fldChar w:fldCharType="separate"/>
        </w:r>
        <w:r w:rsidR="00623E14" w:rsidRPr="00800D1B">
          <w:rPr>
            <w:lang w:val="sv-SE"/>
          </w:rPr>
          <w:t>78</w:t>
        </w:r>
        <w:r w:rsidR="00623E14" w:rsidRPr="00800D1B">
          <w:rPr>
            <w:lang w:val="sv-SE"/>
          </w:rPr>
          <w:fldChar w:fldCharType="end"/>
        </w:r>
      </w:hyperlink>
    </w:p>
    <w:p w14:paraId="2D065482" w14:textId="77777777" w:rsidR="003422DB" w:rsidRPr="00800D1B" w:rsidRDefault="00000000">
      <w:pPr>
        <w:pStyle w:val="Innehll5"/>
        <w:tabs>
          <w:tab w:val="right" w:leader="dot" w:pos="10240"/>
        </w:tabs>
        <w:rPr>
          <w:rFonts w:ascii="Calibri" w:hAnsi="Calibri"/>
          <w:sz w:val="22"/>
          <w:lang w:val="sv-SE"/>
        </w:rPr>
      </w:pPr>
      <w:hyperlink w:anchor="_Toc256000384" w:history="1">
        <w:r w:rsidR="00A77B3E" w:rsidRPr="00800D1B">
          <w:rPr>
            <w:rStyle w:val="Hyperlnk"/>
            <w:lang w:val="sv-SE"/>
          </w:rPr>
          <w:t>Tabell 8: Dimension 7 – ESF+, Eruf, Sammanhållningsfonden och FRO, jämställdhetsdimensionen</w:t>
        </w:r>
        <w:r w:rsidR="00623E14" w:rsidRPr="00800D1B">
          <w:rPr>
            <w:lang w:val="sv-SE"/>
          </w:rPr>
          <w:tab/>
        </w:r>
        <w:r w:rsidR="00623E14" w:rsidRPr="00800D1B">
          <w:rPr>
            <w:lang w:val="sv-SE"/>
          </w:rPr>
          <w:fldChar w:fldCharType="begin"/>
        </w:r>
        <w:r w:rsidR="00623E14" w:rsidRPr="00800D1B">
          <w:rPr>
            <w:lang w:val="sv-SE"/>
          </w:rPr>
          <w:instrText xml:space="preserve"> PAGEREF _Toc256000384 \h </w:instrText>
        </w:r>
        <w:r w:rsidR="00623E14" w:rsidRPr="00800D1B">
          <w:rPr>
            <w:lang w:val="sv-SE"/>
          </w:rPr>
        </w:r>
        <w:r w:rsidR="00623E14" w:rsidRPr="00800D1B">
          <w:rPr>
            <w:lang w:val="sv-SE"/>
          </w:rPr>
          <w:fldChar w:fldCharType="separate"/>
        </w:r>
        <w:r w:rsidR="00623E14" w:rsidRPr="00800D1B">
          <w:rPr>
            <w:lang w:val="sv-SE"/>
          </w:rPr>
          <w:t>78</w:t>
        </w:r>
        <w:r w:rsidR="00623E14" w:rsidRPr="00800D1B">
          <w:rPr>
            <w:lang w:val="sv-SE"/>
          </w:rPr>
          <w:fldChar w:fldCharType="end"/>
        </w:r>
      </w:hyperlink>
    </w:p>
    <w:p w14:paraId="2D065483" w14:textId="77777777" w:rsidR="003422DB" w:rsidRPr="00800D1B" w:rsidRDefault="00000000" w:rsidP="004F0B72">
      <w:pPr>
        <w:pStyle w:val="Innehll4"/>
        <w:rPr>
          <w:rFonts w:ascii="Calibri" w:hAnsi="Calibri"/>
          <w:sz w:val="22"/>
          <w:lang w:val="sv-SE"/>
        </w:rPr>
      </w:pPr>
      <w:hyperlink w:anchor="_Toc256000385" w:history="1">
        <w:r w:rsidR="00A77B3E" w:rsidRPr="00800D1B">
          <w:rPr>
            <w:rStyle w:val="Hyperlnk"/>
            <w:lang w:val="sv-SE"/>
          </w:rPr>
          <w:t>2.1.1.1. Specifikt mål: RSO2.6. Främja övergången till en cirkulär och resurseffektiv ekonomi (Eruf)</w:t>
        </w:r>
        <w:r w:rsidR="00623E14" w:rsidRPr="00800D1B">
          <w:rPr>
            <w:lang w:val="sv-SE"/>
          </w:rPr>
          <w:tab/>
        </w:r>
        <w:r w:rsidR="00623E14" w:rsidRPr="00800D1B">
          <w:rPr>
            <w:lang w:val="sv-SE"/>
          </w:rPr>
          <w:fldChar w:fldCharType="begin"/>
        </w:r>
        <w:r w:rsidR="00623E14" w:rsidRPr="00800D1B">
          <w:rPr>
            <w:lang w:val="sv-SE"/>
          </w:rPr>
          <w:instrText xml:space="preserve"> PAGEREF _Toc256000385 \h </w:instrText>
        </w:r>
        <w:r w:rsidR="00623E14" w:rsidRPr="00800D1B">
          <w:rPr>
            <w:lang w:val="sv-SE"/>
          </w:rPr>
        </w:r>
        <w:r w:rsidR="00623E14" w:rsidRPr="00800D1B">
          <w:rPr>
            <w:lang w:val="sv-SE"/>
          </w:rPr>
          <w:fldChar w:fldCharType="separate"/>
        </w:r>
        <w:r w:rsidR="00623E14" w:rsidRPr="00800D1B">
          <w:rPr>
            <w:lang w:val="sv-SE"/>
          </w:rPr>
          <w:t>80</w:t>
        </w:r>
        <w:r w:rsidR="00623E14" w:rsidRPr="00800D1B">
          <w:rPr>
            <w:lang w:val="sv-SE"/>
          </w:rPr>
          <w:fldChar w:fldCharType="end"/>
        </w:r>
      </w:hyperlink>
    </w:p>
    <w:p w14:paraId="2D065484" w14:textId="77777777" w:rsidR="003422DB" w:rsidRPr="00800D1B" w:rsidRDefault="00000000" w:rsidP="004F0B72">
      <w:pPr>
        <w:pStyle w:val="Innehll4"/>
        <w:rPr>
          <w:rFonts w:ascii="Calibri" w:hAnsi="Calibri"/>
          <w:sz w:val="22"/>
          <w:lang w:val="sv-SE"/>
        </w:rPr>
      </w:pPr>
      <w:hyperlink w:anchor="_Toc256000386" w:history="1">
        <w:r w:rsidR="00A77B3E" w:rsidRPr="00800D1B">
          <w:rPr>
            <w:rStyle w:val="Hyperlnk"/>
            <w:lang w:val="sv-SE"/>
          </w:rPr>
          <w:t>2.1.1.1.1. Interventioner inom ramen för fonderna</w:t>
        </w:r>
        <w:r w:rsidR="00623E14" w:rsidRPr="00800D1B">
          <w:rPr>
            <w:lang w:val="sv-SE"/>
          </w:rPr>
          <w:tab/>
        </w:r>
        <w:r w:rsidR="00623E14" w:rsidRPr="00800D1B">
          <w:rPr>
            <w:lang w:val="sv-SE"/>
          </w:rPr>
          <w:fldChar w:fldCharType="begin"/>
        </w:r>
        <w:r w:rsidR="00623E14" w:rsidRPr="00800D1B">
          <w:rPr>
            <w:lang w:val="sv-SE"/>
          </w:rPr>
          <w:instrText xml:space="preserve"> PAGEREF _Toc256000386 \h </w:instrText>
        </w:r>
        <w:r w:rsidR="00623E14" w:rsidRPr="00800D1B">
          <w:rPr>
            <w:lang w:val="sv-SE"/>
          </w:rPr>
        </w:r>
        <w:r w:rsidR="00623E14" w:rsidRPr="00800D1B">
          <w:rPr>
            <w:lang w:val="sv-SE"/>
          </w:rPr>
          <w:fldChar w:fldCharType="separate"/>
        </w:r>
        <w:r w:rsidR="00623E14" w:rsidRPr="00800D1B">
          <w:rPr>
            <w:lang w:val="sv-SE"/>
          </w:rPr>
          <w:t>80</w:t>
        </w:r>
        <w:r w:rsidR="00623E14" w:rsidRPr="00800D1B">
          <w:rPr>
            <w:lang w:val="sv-SE"/>
          </w:rPr>
          <w:fldChar w:fldCharType="end"/>
        </w:r>
      </w:hyperlink>
    </w:p>
    <w:p w14:paraId="2D065485" w14:textId="77777777" w:rsidR="003422DB" w:rsidRPr="00800D1B" w:rsidRDefault="00000000">
      <w:pPr>
        <w:pStyle w:val="Innehll5"/>
        <w:tabs>
          <w:tab w:val="right" w:leader="dot" w:pos="10240"/>
        </w:tabs>
        <w:rPr>
          <w:rFonts w:ascii="Calibri" w:hAnsi="Calibri"/>
          <w:sz w:val="22"/>
          <w:lang w:val="sv-SE"/>
        </w:rPr>
      </w:pPr>
      <w:hyperlink w:anchor="_Toc256000387" w:history="1">
        <w:r w:rsidR="00A77B3E" w:rsidRPr="00800D1B">
          <w:rPr>
            <w:rStyle w:val="Hyperlnk"/>
            <w:lang w:val="sv-SE"/>
          </w:rPr>
          <w:t>Relaterade typer av åtgärder – artikel 22.3 d i i förordningen om gemensamma bestämmelser och artikel 6 i ESF+-förordningen</w:t>
        </w:r>
        <w:r w:rsidR="00623E14" w:rsidRPr="00800D1B">
          <w:rPr>
            <w:lang w:val="sv-SE"/>
          </w:rPr>
          <w:tab/>
        </w:r>
        <w:r w:rsidR="00623E14" w:rsidRPr="00800D1B">
          <w:rPr>
            <w:lang w:val="sv-SE"/>
          </w:rPr>
          <w:fldChar w:fldCharType="begin"/>
        </w:r>
        <w:r w:rsidR="00623E14" w:rsidRPr="00800D1B">
          <w:rPr>
            <w:lang w:val="sv-SE"/>
          </w:rPr>
          <w:instrText xml:space="preserve"> PAGEREF _Toc256000387 \h </w:instrText>
        </w:r>
        <w:r w:rsidR="00623E14" w:rsidRPr="00800D1B">
          <w:rPr>
            <w:lang w:val="sv-SE"/>
          </w:rPr>
        </w:r>
        <w:r w:rsidR="00623E14" w:rsidRPr="00800D1B">
          <w:rPr>
            <w:lang w:val="sv-SE"/>
          </w:rPr>
          <w:fldChar w:fldCharType="separate"/>
        </w:r>
        <w:r w:rsidR="00623E14" w:rsidRPr="00800D1B">
          <w:rPr>
            <w:lang w:val="sv-SE"/>
          </w:rPr>
          <w:t>80</w:t>
        </w:r>
        <w:r w:rsidR="00623E14" w:rsidRPr="00800D1B">
          <w:rPr>
            <w:lang w:val="sv-SE"/>
          </w:rPr>
          <w:fldChar w:fldCharType="end"/>
        </w:r>
      </w:hyperlink>
    </w:p>
    <w:p w14:paraId="2D065486" w14:textId="77777777" w:rsidR="003422DB" w:rsidRPr="00800D1B" w:rsidRDefault="00000000">
      <w:pPr>
        <w:pStyle w:val="Innehll5"/>
        <w:tabs>
          <w:tab w:val="right" w:leader="dot" w:pos="10240"/>
        </w:tabs>
        <w:rPr>
          <w:rFonts w:ascii="Calibri" w:hAnsi="Calibri"/>
          <w:sz w:val="22"/>
          <w:lang w:val="sv-SE"/>
        </w:rPr>
      </w:pPr>
      <w:hyperlink w:anchor="_Toc256000388" w:history="1">
        <w:r w:rsidR="00A77B3E" w:rsidRPr="00800D1B">
          <w:rPr>
            <w:rStyle w:val="Hyperlnk"/>
            <w:lang w:val="sv-SE"/>
          </w:rPr>
          <w:t>Huvudsakliga målgrupper – artikel 22.3 d iii i förordningen om gemensamma bestämmelser</w:t>
        </w:r>
        <w:r w:rsidR="00623E14" w:rsidRPr="00800D1B">
          <w:rPr>
            <w:lang w:val="sv-SE"/>
          </w:rPr>
          <w:tab/>
        </w:r>
        <w:r w:rsidR="00623E14" w:rsidRPr="00800D1B">
          <w:rPr>
            <w:lang w:val="sv-SE"/>
          </w:rPr>
          <w:fldChar w:fldCharType="begin"/>
        </w:r>
        <w:r w:rsidR="00623E14" w:rsidRPr="00800D1B">
          <w:rPr>
            <w:lang w:val="sv-SE"/>
          </w:rPr>
          <w:instrText xml:space="preserve"> PAGEREF _Toc256000388 \h </w:instrText>
        </w:r>
        <w:r w:rsidR="00623E14" w:rsidRPr="00800D1B">
          <w:rPr>
            <w:lang w:val="sv-SE"/>
          </w:rPr>
        </w:r>
        <w:r w:rsidR="00623E14" w:rsidRPr="00800D1B">
          <w:rPr>
            <w:lang w:val="sv-SE"/>
          </w:rPr>
          <w:fldChar w:fldCharType="separate"/>
        </w:r>
        <w:r w:rsidR="00623E14" w:rsidRPr="00800D1B">
          <w:rPr>
            <w:lang w:val="sv-SE"/>
          </w:rPr>
          <w:t>81</w:t>
        </w:r>
        <w:r w:rsidR="00623E14" w:rsidRPr="00800D1B">
          <w:rPr>
            <w:lang w:val="sv-SE"/>
          </w:rPr>
          <w:fldChar w:fldCharType="end"/>
        </w:r>
      </w:hyperlink>
    </w:p>
    <w:p w14:paraId="2D065487" w14:textId="77777777" w:rsidR="003422DB" w:rsidRPr="00800D1B" w:rsidRDefault="00000000">
      <w:pPr>
        <w:pStyle w:val="Innehll5"/>
        <w:tabs>
          <w:tab w:val="right" w:leader="dot" w:pos="10240"/>
        </w:tabs>
        <w:rPr>
          <w:rFonts w:ascii="Calibri" w:hAnsi="Calibri"/>
          <w:sz w:val="22"/>
          <w:lang w:val="sv-SE"/>
        </w:rPr>
      </w:pPr>
      <w:hyperlink w:anchor="_Toc256000389" w:history="1">
        <w:r w:rsidR="00A77B3E" w:rsidRPr="00800D1B">
          <w:rPr>
            <w:rStyle w:val="Hyperlnk"/>
            <w:lang w:val="sv-SE"/>
          </w:rPr>
          <w:t>Åtgärder för säkerställande av jämställdhet, inkludering och icke-diskriminering – artikel 22.3 d iv i förordningen om gemensamma bestämmelser och artikel 6 i ESF+-förordningen</w:t>
        </w:r>
        <w:r w:rsidR="00623E14" w:rsidRPr="00800D1B">
          <w:rPr>
            <w:lang w:val="sv-SE"/>
          </w:rPr>
          <w:tab/>
        </w:r>
        <w:r w:rsidR="00623E14" w:rsidRPr="00800D1B">
          <w:rPr>
            <w:lang w:val="sv-SE"/>
          </w:rPr>
          <w:fldChar w:fldCharType="begin"/>
        </w:r>
        <w:r w:rsidR="00623E14" w:rsidRPr="00800D1B">
          <w:rPr>
            <w:lang w:val="sv-SE"/>
          </w:rPr>
          <w:instrText xml:space="preserve"> PAGEREF _Toc256000389 \h </w:instrText>
        </w:r>
        <w:r w:rsidR="00623E14" w:rsidRPr="00800D1B">
          <w:rPr>
            <w:lang w:val="sv-SE"/>
          </w:rPr>
        </w:r>
        <w:r w:rsidR="00623E14" w:rsidRPr="00800D1B">
          <w:rPr>
            <w:lang w:val="sv-SE"/>
          </w:rPr>
          <w:fldChar w:fldCharType="separate"/>
        </w:r>
        <w:r w:rsidR="00623E14" w:rsidRPr="00800D1B">
          <w:rPr>
            <w:lang w:val="sv-SE"/>
          </w:rPr>
          <w:t>82</w:t>
        </w:r>
        <w:r w:rsidR="00623E14" w:rsidRPr="00800D1B">
          <w:rPr>
            <w:lang w:val="sv-SE"/>
          </w:rPr>
          <w:fldChar w:fldCharType="end"/>
        </w:r>
      </w:hyperlink>
    </w:p>
    <w:p w14:paraId="2D065488" w14:textId="77777777" w:rsidR="003422DB" w:rsidRPr="00800D1B" w:rsidRDefault="00000000">
      <w:pPr>
        <w:pStyle w:val="Innehll5"/>
        <w:tabs>
          <w:tab w:val="right" w:leader="dot" w:pos="10240"/>
        </w:tabs>
        <w:rPr>
          <w:rFonts w:ascii="Calibri" w:hAnsi="Calibri"/>
          <w:sz w:val="22"/>
          <w:lang w:val="sv-SE"/>
        </w:rPr>
      </w:pPr>
      <w:hyperlink w:anchor="_Toc256000390" w:history="1">
        <w:r w:rsidR="00A77B3E" w:rsidRPr="00800D1B">
          <w:rPr>
            <w:rStyle w:val="Hyperlnk"/>
            <w:lang w:val="sv-SE"/>
          </w:rPr>
          <w:t>Angivande av de specifika målterritorierna, inbegripet planerad användning av territoriella verktyg – artikel 22.3 d v i förordningen om gemensamma bestämmelser</w:t>
        </w:r>
        <w:r w:rsidR="00623E14" w:rsidRPr="00800D1B">
          <w:rPr>
            <w:lang w:val="sv-SE"/>
          </w:rPr>
          <w:tab/>
        </w:r>
        <w:r w:rsidR="00623E14" w:rsidRPr="00800D1B">
          <w:rPr>
            <w:lang w:val="sv-SE"/>
          </w:rPr>
          <w:fldChar w:fldCharType="begin"/>
        </w:r>
        <w:r w:rsidR="00623E14" w:rsidRPr="00800D1B">
          <w:rPr>
            <w:lang w:val="sv-SE"/>
          </w:rPr>
          <w:instrText xml:space="preserve"> PAGEREF _Toc256000390 \h </w:instrText>
        </w:r>
        <w:r w:rsidR="00623E14" w:rsidRPr="00800D1B">
          <w:rPr>
            <w:lang w:val="sv-SE"/>
          </w:rPr>
        </w:r>
        <w:r w:rsidR="00623E14" w:rsidRPr="00800D1B">
          <w:rPr>
            <w:lang w:val="sv-SE"/>
          </w:rPr>
          <w:fldChar w:fldCharType="separate"/>
        </w:r>
        <w:r w:rsidR="00623E14" w:rsidRPr="00800D1B">
          <w:rPr>
            <w:lang w:val="sv-SE"/>
          </w:rPr>
          <w:t>82</w:t>
        </w:r>
        <w:r w:rsidR="00623E14" w:rsidRPr="00800D1B">
          <w:rPr>
            <w:lang w:val="sv-SE"/>
          </w:rPr>
          <w:fldChar w:fldCharType="end"/>
        </w:r>
      </w:hyperlink>
    </w:p>
    <w:p w14:paraId="2D065489" w14:textId="77777777" w:rsidR="003422DB" w:rsidRPr="00800D1B" w:rsidRDefault="00000000">
      <w:pPr>
        <w:pStyle w:val="Innehll5"/>
        <w:tabs>
          <w:tab w:val="right" w:leader="dot" w:pos="10240"/>
        </w:tabs>
        <w:rPr>
          <w:rFonts w:ascii="Calibri" w:hAnsi="Calibri"/>
          <w:sz w:val="22"/>
          <w:lang w:val="sv-SE"/>
        </w:rPr>
      </w:pPr>
      <w:hyperlink w:anchor="_Toc256000391" w:history="1">
        <w:r w:rsidR="00A77B3E" w:rsidRPr="00800D1B">
          <w:rPr>
            <w:rStyle w:val="Hyperlnk"/>
            <w:lang w:val="sv-SE"/>
          </w:rPr>
          <w:t>Interregionala, gränsregionala och transnationella åtgärder – artikel 22.3 d vi i förordningen om gemensamma bestämmelser</w:t>
        </w:r>
        <w:r w:rsidR="00623E14" w:rsidRPr="00800D1B">
          <w:rPr>
            <w:lang w:val="sv-SE"/>
          </w:rPr>
          <w:tab/>
        </w:r>
        <w:r w:rsidR="00623E14" w:rsidRPr="00800D1B">
          <w:rPr>
            <w:lang w:val="sv-SE"/>
          </w:rPr>
          <w:fldChar w:fldCharType="begin"/>
        </w:r>
        <w:r w:rsidR="00623E14" w:rsidRPr="00800D1B">
          <w:rPr>
            <w:lang w:val="sv-SE"/>
          </w:rPr>
          <w:instrText xml:space="preserve"> PAGEREF _Toc256000391 \h </w:instrText>
        </w:r>
        <w:r w:rsidR="00623E14" w:rsidRPr="00800D1B">
          <w:rPr>
            <w:lang w:val="sv-SE"/>
          </w:rPr>
        </w:r>
        <w:r w:rsidR="00623E14" w:rsidRPr="00800D1B">
          <w:rPr>
            <w:lang w:val="sv-SE"/>
          </w:rPr>
          <w:fldChar w:fldCharType="separate"/>
        </w:r>
        <w:r w:rsidR="00623E14" w:rsidRPr="00800D1B">
          <w:rPr>
            <w:lang w:val="sv-SE"/>
          </w:rPr>
          <w:t>82</w:t>
        </w:r>
        <w:r w:rsidR="00623E14" w:rsidRPr="00800D1B">
          <w:rPr>
            <w:lang w:val="sv-SE"/>
          </w:rPr>
          <w:fldChar w:fldCharType="end"/>
        </w:r>
      </w:hyperlink>
    </w:p>
    <w:p w14:paraId="2D06548A" w14:textId="77777777" w:rsidR="003422DB" w:rsidRPr="00800D1B" w:rsidRDefault="00000000">
      <w:pPr>
        <w:pStyle w:val="Innehll5"/>
        <w:tabs>
          <w:tab w:val="right" w:leader="dot" w:pos="10240"/>
        </w:tabs>
        <w:rPr>
          <w:rFonts w:ascii="Calibri" w:hAnsi="Calibri"/>
          <w:sz w:val="22"/>
          <w:lang w:val="sv-SE"/>
        </w:rPr>
      </w:pPr>
      <w:hyperlink w:anchor="_Toc256000392" w:history="1">
        <w:r w:rsidR="00A77B3E" w:rsidRPr="00800D1B">
          <w:rPr>
            <w:rStyle w:val="Hyperlnk"/>
            <w:lang w:val="sv-SE"/>
          </w:rPr>
          <w:t>Planerad användning av finansieringsinstrument – artikel 22.3 d vii i förordningen om gemensamma bestämmelser</w:t>
        </w:r>
        <w:r w:rsidR="00623E14" w:rsidRPr="00800D1B">
          <w:rPr>
            <w:lang w:val="sv-SE"/>
          </w:rPr>
          <w:tab/>
        </w:r>
        <w:r w:rsidR="00623E14" w:rsidRPr="00800D1B">
          <w:rPr>
            <w:lang w:val="sv-SE"/>
          </w:rPr>
          <w:fldChar w:fldCharType="begin"/>
        </w:r>
        <w:r w:rsidR="00623E14" w:rsidRPr="00800D1B">
          <w:rPr>
            <w:lang w:val="sv-SE"/>
          </w:rPr>
          <w:instrText xml:space="preserve"> PAGEREF _Toc256000392 \h </w:instrText>
        </w:r>
        <w:r w:rsidR="00623E14" w:rsidRPr="00800D1B">
          <w:rPr>
            <w:lang w:val="sv-SE"/>
          </w:rPr>
        </w:r>
        <w:r w:rsidR="00623E14" w:rsidRPr="00800D1B">
          <w:rPr>
            <w:lang w:val="sv-SE"/>
          </w:rPr>
          <w:fldChar w:fldCharType="separate"/>
        </w:r>
        <w:r w:rsidR="00623E14" w:rsidRPr="00800D1B">
          <w:rPr>
            <w:lang w:val="sv-SE"/>
          </w:rPr>
          <w:t>83</w:t>
        </w:r>
        <w:r w:rsidR="00623E14" w:rsidRPr="00800D1B">
          <w:rPr>
            <w:lang w:val="sv-SE"/>
          </w:rPr>
          <w:fldChar w:fldCharType="end"/>
        </w:r>
      </w:hyperlink>
    </w:p>
    <w:p w14:paraId="2D06548B" w14:textId="77777777" w:rsidR="003422DB" w:rsidRPr="00800D1B" w:rsidRDefault="00000000" w:rsidP="004F0B72">
      <w:pPr>
        <w:pStyle w:val="Innehll4"/>
        <w:rPr>
          <w:rFonts w:ascii="Calibri" w:hAnsi="Calibri"/>
          <w:sz w:val="22"/>
          <w:lang w:val="sv-SE"/>
        </w:rPr>
      </w:pPr>
      <w:hyperlink w:anchor="_Toc256000393" w:history="1">
        <w:r w:rsidR="00A77B3E" w:rsidRPr="00800D1B">
          <w:rPr>
            <w:rStyle w:val="Hyperlnk"/>
            <w:lang w:val="sv-SE"/>
          </w:rPr>
          <w:t>2.1.1.1.2. Indikatorer</w:t>
        </w:r>
        <w:r w:rsidR="00623E14" w:rsidRPr="00800D1B">
          <w:rPr>
            <w:lang w:val="sv-SE"/>
          </w:rPr>
          <w:tab/>
        </w:r>
        <w:r w:rsidR="00623E14" w:rsidRPr="00800D1B">
          <w:rPr>
            <w:lang w:val="sv-SE"/>
          </w:rPr>
          <w:fldChar w:fldCharType="begin"/>
        </w:r>
        <w:r w:rsidR="00623E14" w:rsidRPr="00800D1B">
          <w:rPr>
            <w:lang w:val="sv-SE"/>
          </w:rPr>
          <w:instrText xml:space="preserve"> PAGEREF _Toc256000393 \h </w:instrText>
        </w:r>
        <w:r w:rsidR="00623E14" w:rsidRPr="00800D1B">
          <w:rPr>
            <w:lang w:val="sv-SE"/>
          </w:rPr>
        </w:r>
        <w:r w:rsidR="00623E14" w:rsidRPr="00800D1B">
          <w:rPr>
            <w:lang w:val="sv-SE"/>
          </w:rPr>
          <w:fldChar w:fldCharType="separate"/>
        </w:r>
        <w:r w:rsidR="00623E14" w:rsidRPr="00800D1B">
          <w:rPr>
            <w:lang w:val="sv-SE"/>
          </w:rPr>
          <w:t>83</w:t>
        </w:r>
        <w:r w:rsidR="00623E14" w:rsidRPr="00800D1B">
          <w:rPr>
            <w:lang w:val="sv-SE"/>
          </w:rPr>
          <w:fldChar w:fldCharType="end"/>
        </w:r>
      </w:hyperlink>
    </w:p>
    <w:p w14:paraId="2D06548C" w14:textId="77777777" w:rsidR="003422DB" w:rsidRPr="00800D1B" w:rsidRDefault="00000000">
      <w:pPr>
        <w:pStyle w:val="Innehll5"/>
        <w:tabs>
          <w:tab w:val="right" w:leader="dot" w:pos="10240"/>
        </w:tabs>
        <w:rPr>
          <w:rFonts w:ascii="Calibri" w:hAnsi="Calibri"/>
          <w:sz w:val="22"/>
          <w:lang w:val="sv-SE"/>
        </w:rPr>
      </w:pPr>
      <w:hyperlink w:anchor="_Toc256000394" w:history="1">
        <w:r w:rsidR="00A77B3E" w:rsidRPr="00800D1B">
          <w:rPr>
            <w:rStyle w:val="Hyperlnk"/>
            <w:lang w:val="sv-SE"/>
          </w:rPr>
          <w:t>Tabell 2: Utfallsindikatorer</w:t>
        </w:r>
        <w:r w:rsidR="00623E14" w:rsidRPr="00800D1B">
          <w:rPr>
            <w:lang w:val="sv-SE"/>
          </w:rPr>
          <w:tab/>
        </w:r>
        <w:r w:rsidR="00623E14" w:rsidRPr="00800D1B">
          <w:rPr>
            <w:lang w:val="sv-SE"/>
          </w:rPr>
          <w:fldChar w:fldCharType="begin"/>
        </w:r>
        <w:r w:rsidR="00623E14" w:rsidRPr="00800D1B">
          <w:rPr>
            <w:lang w:val="sv-SE"/>
          </w:rPr>
          <w:instrText xml:space="preserve"> PAGEREF _Toc256000394 \h </w:instrText>
        </w:r>
        <w:r w:rsidR="00623E14" w:rsidRPr="00800D1B">
          <w:rPr>
            <w:lang w:val="sv-SE"/>
          </w:rPr>
        </w:r>
        <w:r w:rsidR="00623E14" w:rsidRPr="00800D1B">
          <w:rPr>
            <w:lang w:val="sv-SE"/>
          </w:rPr>
          <w:fldChar w:fldCharType="separate"/>
        </w:r>
        <w:r w:rsidR="00623E14" w:rsidRPr="00800D1B">
          <w:rPr>
            <w:lang w:val="sv-SE"/>
          </w:rPr>
          <w:t>83</w:t>
        </w:r>
        <w:r w:rsidR="00623E14" w:rsidRPr="00800D1B">
          <w:rPr>
            <w:lang w:val="sv-SE"/>
          </w:rPr>
          <w:fldChar w:fldCharType="end"/>
        </w:r>
      </w:hyperlink>
    </w:p>
    <w:p w14:paraId="2D06548D" w14:textId="77777777" w:rsidR="003422DB" w:rsidRPr="00800D1B" w:rsidRDefault="00000000">
      <w:pPr>
        <w:pStyle w:val="Innehll5"/>
        <w:tabs>
          <w:tab w:val="right" w:leader="dot" w:pos="10240"/>
        </w:tabs>
        <w:rPr>
          <w:rFonts w:ascii="Calibri" w:hAnsi="Calibri"/>
          <w:sz w:val="22"/>
          <w:lang w:val="sv-SE"/>
        </w:rPr>
      </w:pPr>
      <w:hyperlink w:anchor="_Toc256000395" w:history="1">
        <w:r w:rsidR="00A77B3E" w:rsidRPr="00800D1B">
          <w:rPr>
            <w:rStyle w:val="Hyperlnk"/>
            <w:lang w:val="sv-SE"/>
          </w:rPr>
          <w:t>Tabell 3: Resultatindikatorer</w:t>
        </w:r>
        <w:r w:rsidR="00623E14" w:rsidRPr="00800D1B">
          <w:rPr>
            <w:lang w:val="sv-SE"/>
          </w:rPr>
          <w:tab/>
        </w:r>
        <w:r w:rsidR="00623E14" w:rsidRPr="00800D1B">
          <w:rPr>
            <w:lang w:val="sv-SE"/>
          </w:rPr>
          <w:fldChar w:fldCharType="begin"/>
        </w:r>
        <w:r w:rsidR="00623E14" w:rsidRPr="00800D1B">
          <w:rPr>
            <w:lang w:val="sv-SE"/>
          </w:rPr>
          <w:instrText xml:space="preserve"> PAGEREF _Toc256000395 \h </w:instrText>
        </w:r>
        <w:r w:rsidR="00623E14" w:rsidRPr="00800D1B">
          <w:rPr>
            <w:lang w:val="sv-SE"/>
          </w:rPr>
        </w:r>
        <w:r w:rsidR="00623E14" w:rsidRPr="00800D1B">
          <w:rPr>
            <w:lang w:val="sv-SE"/>
          </w:rPr>
          <w:fldChar w:fldCharType="separate"/>
        </w:r>
        <w:r w:rsidR="00623E14" w:rsidRPr="00800D1B">
          <w:rPr>
            <w:lang w:val="sv-SE"/>
          </w:rPr>
          <w:t>84</w:t>
        </w:r>
        <w:r w:rsidR="00623E14" w:rsidRPr="00800D1B">
          <w:rPr>
            <w:lang w:val="sv-SE"/>
          </w:rPr>
          <w:fldChar w:fldCharType="end"/>
        </w:r>
      </w:hyperlink>
    </w:p>
    <w:p w14:paraId="2D06548E" w14:textId="77777777" w:rsidR="003422DB" w:rsidRPr="00800D1B" w:rsidRDefault="00000000" w:rsidP="004F0B72">
      <w:pPr>
        <w:pStyle w:val="Innehll4"/>
        <w:rPr>
          <w:rFonts w:ascii="Calibri" w:hAnsi="Calibri"/>
          <w:sz w:val="22"/>
          <w:lang w:val="sv-SE"/>
        </w:rPr>
      </w:pPr>
      <w:hyperlink w:anchor="_Toc256000396" w:history="1">
        <w:r w:rsidR="00A77B3E" w:rsidRPr="00800D1B">
          <w:rPr>
            <w:rStyle w:val="Hyperlnk"/>
            <w:lang w:val="sv-SE"/>
          </w:rPr>
          <w:t>2.1.1.1.3. Preliminär fördelning av anslagna (EU-)medel efter interventionstyp</w:t>
        </w:r>
        <w:r w:rsidR="00623E14" w:rsidRPr="00800D1B">
          <w:rPr>
            <w:lang w:val="sv-SE"/>
          </w:rPr>
          <w:tab/>
        </w:r>
        <w:r w:rsidR="00623E14" w:rsidRPr="00800D1B">
          <w:rPr>
            <w:lang w:val="sv-SE"/>
          </w:rPr>
          <w:fldChar w:fldCharType="begin"/>
        </w:r>
        <w:r w:rsidR="00623E14" w:rsidRPr="00800D1B">
          <w:rPr>
            <w:lang w:val="sv-SE"/>
          </w:rPr>
          <w:instrText xml:space="preserve"> PAGEREF _Toc256000396 \h </w:instrText>
        </w:r>
        <w:r w:rsidR="00623E14" w:rsidRPr="00800D1B">
          <w:rPr>
            <w:lang w:val="sv-SE"/>
          </w:rPr>
        </w:r>
        <w:r w:rsidR="00623E14" w:rsidRPr="00800D1B">
          <w:rPr>
            <w:lang w:val="sv-SE"/>
          </w:rPr>
          <w:fldChar w:fldCharType="separate"/>
        </w:r>
        <w:r w:rsidR="00623E14" w:rsidRPr="00800D1B">
          <w:rPr>
            <w:lang w:val="sv-SE"/>
          </w:rPr>
          <w:t>84</w:t>
        </w:r>
        <w:r w:rsidR="00623E14" w:rsidRPr="00800D1B">
          <w:rPr>
            <w:lang w:val="sv-SE"/>
          </w:rPr>
          <w:fldChar w:fldCharType="end"/>
        </w:r>
      </w:hyperlink>
    </w:p>
    <w:p w14:paraId="2D06548F" w14:textId="77777777" w:rsidR="003422DB" w:rsidRPr="00800D1B" w:rsidRDefault="00000000">
      <w:pPr>
        <w:pStyle w:val="Innehll5"/>
        <w:tabs>
          <w:tab w:val="right" w:leader="dot" w:pos="10240"/>
        </w:tabs>
        <w:rPr>
          <w:rFonts w:ascii="Calibri" w:hAnsi="Calibri"/>
          <w:sz w:val="22"/>
          <w:lang w:val="sv-SE"/>
        </w:rPr>
      </w:pPr>
      <w:hyperlink w:anchor="_Toc256000397" w:history="1">
        <w:r w:rsidR="00A77B3E" w:rsidRPr="00800D1B">
          <w:rPr>
            <w:rStyle w:val="Hyperlnk"/>
            <w:lang w:val="sv-SE"/>
          </w:rPr>
          <w:t>Tabell 4: Dimension 1 – interventionsområde</w:t>
        </w:r>
        <w:r w:rsidR="00623E14" w:rsidRPr="00800D1B">
          <w:rPr>
            <w:lang w:val="sv-SE"/>
          </w:rPr>
          <w:tab/>
        </w:r>
        <w:r w:rsidR="00623E14" w:rsidRPr="00800D1B">
          <w:rPr>
            <w:lang w:val="sv-SE"/>
          </w:rPr>
          <w:fldChar w:fldCharType="begin"/>
        </w:r>
        <w:r w:rsidR="00623E14" w:rsidRPr="00800D1B">
          <w:rPr>
            <w:lang w:val="sv-SE"/>
          </w:rPr>
          <w:instrText xml:space="preserve"> PAGEREF _Toc256000397 \h </w:instrText>
        </w:r>
        <w:r w:rsidR="00623E14" w:rsidRPr="00800D1B">
          <w:rPr>
            <w:lang w:val="sv-SE"/>
          </w:rPr>
        </w:r>
        <w:r w:rsidR="00623E14" w:rsidRPr="00800D1B">
          <w:rPr>
            <w:lang w:val="sv-SE"/>
          </w:rPr>
          <w:fldChar w:fldCharType="separate"/>
        </w:r>
        <w:r w:rsidR="00623E14" w:rsidRPr="00800D1B">
          <w:rPr>
            <w:lang w:val="sv-SE"/>
          </w:rPr>
          <w:t>84</w:t>
        </w:r>
        <w:r w:rsidR="00623E14" w:rsidRPr="00800D1B">
          <w:rPr>
            <w:lang w:val="sv-SE"/>
          </w:rPr>
          <w:fldChar w:fldCharType="end"/>
        </w:r>
      </w:hyperlink>
    </w:p>
    <w:p w14:paraId="2D065490" w14:textId="77777777" w:rsidR="003422DB" w:rsidRPr="00800D1B" w:rsidRDefault="00000000">
      <w:pPr>
        <w:pStyle w:val="Innehll5"/>
        <w:tabs>
          <w:tab w:val="right" w:leader="dot" w:pos="10240"/>
        </w:tabs>
        <w:rPr>
          <w:rFonts w:ascii="Calibri" w:hAnsi="Calibri"/>
          <w:sz w:val="22"/>
          <w:lang w:val="sv-SE"/>
        </w:rPr>
      </w:pPr>
      <w:hyperlink w:anchor="_Toc256000398" w:history="1">
        <w:r w:rsidR="00A77B3E" w:rsidRPr="00800D1B">
          <w:rPr>
            <w:rStyle w:val="Hyperlnk"/>
            <w:lang w:val="sv-SE"/>
          </w:rPr>
          <w:t>Tabell 5: Dimension 2 – finansieringsform</w:t>
        </w:r>
        <w:r w:rsidR="00623E14" w:rsidRPr="00800D1B">
          <w:rPr>
            <w:lang w:val="sv-SE"/>
          </w:rPr>
          <w:tab/>
        </w:r>
        <w:r w:rsidR="00623E14" w:rsidRPr="00800D1B">
          <w:rPr>
            <w:lang w:val="sv-SE"/>
          </w:rPr>
          <w:fldChar w:fldCharType="begin"/>
        </w:r>
        <w:r w:rsidR="00623E14" w:rsidRPr="00800D1B">
          <w:rPr>
            <w:lang w:val="sv-SE"/>
          </w:rPr>
          <w:instrText xml:space="preserve"> PAGEREF _Toc256000398 \h </w:instrText>
        </w:r>
        <w:r w:rsidR="00623E14" w:rsidRPr="00800D1B">
          <w:rPr>
            <w:lang w:val="sv-SE"/>
          </w:rPr>
        </w:r>
        <w:r w:rsidR="00623E14" w:rsidRPr="00800D1B">
          <w:rPr>
            <w:lang w:val="sv-SE"/>
          </w:rPr>
          <w:fldChar w:fldCharType="separate"/>
        </w:r>
        <w:r w:rsidR="00623E14" w:rsidRPr="00800D1B">
          <w:rPr>
            <w:lang w:val="sv-SE"/>
          </w:rPr>
          <w:t>85</w:t>
        </w:r>
        <w:r w:rsidR="00623E14" w:rsidRPr="00800D1B">
          <w:rPr>
            <w:lang w:val="sv-SE"/>
          </w:rPr>
          <w:fldChar w:fldCharType="end"/>
        </w:r>
      </w:hyperlink>
    </w:p>
    <w:p w14:paraId="2D065491" w14:textId="77777777" w:rsidR="003422DB" w:rsidRPr="00800D1B" w:rsidRDefault="00000000">
      <w:pPr>
        <w:pStyle w:val="Innehll5"/>
        <w:tabs>
          <w:tab w:val="right" w:leader="dot" w:pos="10240"/>
        </w:tabs>
        <w:rPr>
          <w:rFonts w:ascii="Calibri" w:hAnsi="Calibri"/>
          <w:sz w:val="22"/>
          <w:lang w:val="sv-SE"/>
        </w:rPr>
      </w:pPr>
      <w:hyperlink w:anchor="_Toc256000399" w:history="1">
        <w:r w:rsidR="00A77B3E" w:rsidRPr="00800D1B">
          <w:rPr>
            <w:rStyle w:val="Hyperlnk"/>
            <w:lang w:val="sv-SE"/>
          </w:rPr>
          <w:t>Tabell 6: Dimension 3 – territoriell genomförandemetod och territoriellt fokus</w:t>
        </w:r>
        <w:r w:rsidR="00623E14" w:rsidRPr="00800D1B">
          <w:rPr>
            <w:lang w:val="sv-SE"/>
          </w:rPr>
          <w:tab/>
        </w:r>
        <w:r w:rsidR="00623E14" w:rsidRPr="00800D1B">
          <w:rPr>
            <w:lang w:val="sv-SE"/>
          </w:rPr>
          <w:fldChar w:fldCharType="begin"/>
        </w:r>
        <w:r w:rsidR="00623E14" w:rsidRPr="00800D1B">
          <w:rPr>
            <w:lang w:val="sv-SE"/>
          </w:rPr>
          <w:instrText xml:space="preserve"> PAGEREF _Toc256000399 \h </w:instrText>
        </w:r>
        <w:r w:rsidR="00623E14" w:rsidRPr="00800D1B">
          <w:rPr>
            <w:lang w:val="sv-SE"/>
          </w:rPr>
        </w:r>
        <w:r w:rsidR="00623E14" w:rsidRPr="00800D1B">
          <w:rPr>
            <w:lang w:val="sv-SE"/>
          </w:rPr>
          <w:fldChar w:fldCharType="separate"/>
        </w:r>
        <w:r w:rsidR="00623E14" w:rsidRPr="00800D1B">
          <w:rPr>
            <w:lang w:val="sv-SE"/>
          </w:rPr>
          <w:t>85</w:t>
        </w:r>
        <w:r w:rsidR="00623E14" w:rsidRPr="00800D1B">
          <w:rPr>
            <w:lang w:val="sv-SE"/>
          </w:rPr>
          <w:fldChar w:fldCharType="end"/>
        </w:r>
      </w:hyperlink>
    </w:p>
    <w:p w14:paraId="2D065492" w14:textId="77777777" w:rsidR="003422DB" w:rsidRPr="00800D1B" w:rsidRDefault="00000000">
      <w:pPr>
        <w:pStyle w:val="Innehll5"/>
        <w:tabs>
          <w:tab w:val="right" w:leader="dot" w:pos="10240"/>
        </w:tabs>
        <w:rPr>
          <w:rFonts w:ascii="Calibri" w:hAnsi="Calibri"/>
          <w:sz w:val="22"/>
          <w:lang w:val="sv-SE"/>
        </w:rPr>
      </w:pPr>
      <w:hyperlink w:anchor="_Toc256000400" w:history="1">
        <w:r w:rsidR="00A77B3E" w:rsidRPr="00800D1B">
          <w:rPr>
            <w:rStyle w:val="Hyperlnk"/>
            <w:lang w:val="sv-SE"/>
          </w:rPr>
          <w:t>Tabell 7: Dimension 6 – ESF+-sekundärteman</w:t>
        </w:r>
        <w:r w:rsidR="00623E14" w:rsidRPr="00800D1B">
          <w:rPr>
            <w:lang w:val="sv-SE"/>
          </w:rPr>
          <w:tab/>
        </w:r>
        <w:r w:rsidR="00623E14" w:rsidRPr="00800D1B">
          <w:rPr>
            <w:lang w:val="sv-SE"/>
          </w:rPr>
          <w:fldChar w:fldCharType="begin"/>
        </w:r>
        <w:r w:rsidR="00623E14" w:rsidRPr="00800D1B">
          <w:rPr>
            <w:lang w:val="sv-SE"/>
          </w:rPr>
          <w:instrText xml:space="preserve"> PAGEREF _Toc256000400 \h </w:instrText>
        </w:r>
        <w:r w:rsidR="00623E14" w:rsidRPr="00800D1B">
          <w:rPr>
            <w:lang w:val="sv-SE"/>
          </w:rPr>
        </w:r>
        <w:r w:rsidR="00623E14" w:rsidRPr="00800D1B">
          <w:rPr>
            <w:lang w:val="sv-SE"/>
          </w:rPr>
          <w:fldChar w:fldCharType="separate"/>
        </w:r>
        <w:r w:rsidR="00623E14" w:rsidRPr="00800D1B">
          <w:rPr>
            <w:lang w:val="sv-SE"/>
          </w:rPr>
          <w:t>85</w:t>
        </w:r>
        <w:r w:rsidR="00623E14" w:rsidRPr="00800D1B">
          <w:rPr>
            <w:lang w:val="sv-SE"/>
          </w:rPr>
          <w:fldChar w:fldCharType="end"/>
        </w:r>
      </w:hyperlink>
    </w:p>
    <w:p w14:paraId="2D065493" w14:textId="77777777" w:rsidR="003422DB" w:rsidRPr="00800D1B" w:rsidRDefault="00000000">
      <w:pPr>
        <w:pStyle w:val="Innehll5"/>
        <w:tabs>
          <w:tab w:val="right" w:leader="dot" w:pos="10240"/>
        </w:tabs>
        <w:rPr>
          <w:rFonts w:ascii="Calibri" w:hAnsi="Calibri"/>
          <w:sz w:val="22"/>
          <w:lang w:val="sv-SE"/>
        </w:rPr>
      </w:pPr>
      <w:hyperlink w:anchor="_Toc256000401" w:history="1">
        <w:r w:rsidR="00A77B3E" w:rsidRPr="00800D1B">
          <w:rPr>
            <w:rStyle w:val="Hyperlnk"/>
            <w:lang w:val="sv-SE"/>
          </w:rPr>
          <w:t>Tabell 8: Dimension 7 – ESF+, Eruf, Sammanhållningsfonden och FRO, jämställdhetsdimensionen</w:t>
        </w:r>
        <w:r w:rsidR="00623E14" w:rsidRPr="00800D1B">
          <w:rPr>
            <w:lang w:val="sv-SE"/>
          </w:rPr>
          <w:tab/>
        </w:r>
        <w:r w:rsidR="00623E14" w:rsidRPr="00800D1B">
          <w:rPr>
            <w:lang w:val="sv-SE"/>
          </w:rPr>
          <w:fldChar w:fldCharType="begin"/>
        </w:r>
        <w:r w:rsidR="00623E14" w:rsidRPr="00800D1B">
          <w:rPr>
            <w:lang w:val="sv-SE"/>
          </w:rPr>
          <w:instrText xml:space="preserve"> PAGEREF _Toc256000401 \h </w:instrText>
        </w:r>
        <w:r w:rsidR="00623E14" w:rsidRPr="00800D1B">
          <w:rPr>
            <w:lang w:val="sv-SE"/>
          </w:rPr>
        </w:r>
        <w:r w:rsidR="00623E14" w:rsidRPr="00800D1B">
          <w:rPr>
            <w:lang w:val="sv-SE"/>
          </w:rPr>
          <w:fldChar w:fldCharType="separate"/>
        </w:r>
        <w:r w:rsidR="00623E14" w:rsidRPr="00800D1B">
          <w:rPr>
            <w:lang w:val="sv-SE"/>
          </w:rPr>
          <w:t>85</w:t>
        </w:r>
        <w:r w:rsidR="00623E14" w:rsidRPr="00800D1B">
          <w:rPr>
            <w:lang w:val="sv-SE"/>
          </w:rPr>
          <w:fldChar w:fldCharType="end"/>
        </w:r>
      </w:hyperlink>
    </w:p>
    <w:p w14:paraId="2D065494" w14:textId="77777777" w:rsidR="003422DB" w:rsidRPr="00800D1B" w:rsidRDefault="00000000">
      <w:pPr>
        <w:pStyle w:val="Innehll3"/>
        <w:tabs>
          <w:tab w:val="right" w:leader="dot" w:pos="10240"/>
        </w:tabs>
        <w:rPr>
          <w:rFonts w:ascii="Calibri" w:hAnsi="Calibri"/>
          <w:sz w:val="22"/>
          <w:lang w:val="sv-SE"/>
        </w:rPr>
      </w:pPr>
      <w:hyperlink w:anchor="_Toc256000402" w:history="1">
        <w:r w:rsidR="00A77B3E" w:rsidRPr="00800D1B">
          <w:rPr>
            <w:rStyle w:val="Hyperlnk"/>
            <w:lang w:val="sv-SE"/>
          </w:rPr>
          <w:t>2.1.1. Prioritering: 5. Infrastruktur</w:t>
        </w:r>
        <w:r w:rsidR="00623E14" w:rsidRPr="00800D1B">
          <w:rPr>
            <w:lang w:val="sv-SE"/>
          </w:rPr>
          <w:tab/>
        </w:r>
        <w:r w:rsidR="00623E14" w:rsidRPr="00800D1B">
          <w:rPr>
            <w:lang w:val="sv-SE"/>
          </w:rPr>
          <w:fldChar w:fldCharType="begin"/>
        </w:r>
        <w:r w:rsidR="00623E14" w:rsidRPr="00800D1B">
          <w:rPr>
            <w:lang w:val="sv-SE"/>
          </w:rPr>
          <w:instrText xml:space="preserve"> PAGEREF _Toc256000402 \h </w:instrText>
        </w:r>
        <w:r w:rsidR="00623E14" w:rsidRPr="00800D1B">
          <w:rPr>
            <w:lang w:val="sv-SE"/>
          </w:rPr>
        </w:r>
        <w:r w:rsidR="00623E14" w:rsidRPr="00800D1B">
          <w:rPr>
            <w:lang w:val="sv-SE"/>
          </w:rPr>
          <w:fldChar w:fldCharType="separate"/>
        </w:r>
        <w:r w:rsidR="00623E14" w:rsidRPr="00800D1B">
          <w:rPr>
            <w:lang w:val="sv-SE"/>
          </w:rPr>
          <w:t>86</w:t>
        </w:r>
        <w:r w:rsidR="00623E14" w:rsidRPr="00800D1B">
          <w:rPr>
            <w:lang w:val="sv-SE"/>
          </w:rPr>
          <w:fldChar w:fldCharType="end"/>
        </w:r>
      </w:hyperlink>
    </w:p>
    <w:p w14:paraId="2D065495" w14:textId="77777777" w:rsidR="003422DB" w:rsidRPr="00800D1B" w:rsidRDefault="00000000" w:rsidP="004F0B72">
      <w:pPr>
        <w:pStyle w:val="Innehll4"/>
        <w:rPr>
          <w:rFonts w:ascii="Calibri" w:hAnsi="Calibri"/>
          <w:sz w:val="22"/>
          <w:lang w:val="sv-SE"/>
        </w:rPr>
      </w:pPr>
      <w:hyperlink w:anchor="_Toc256000403" w:history="1">
        <w:r w:rsidR="00A77B3E" w:rsidRPr="00800D1B">
          <w:rPr>
            <w:rStyle w:val="Hyperlnk"/>
            <w:lang w:val="sv-SE"/>
          </w:rPr>
          <w:t>2.1.1.1. Specifikt mål: RSO3.1. Utveckla ett hållbart, klimattåligt, intelligent, säkert, hållbart och intermodalt TEN-T (Eruf)</w:t>
        </w:r>
        <w:r w:rsidR="00623E14" w:rsidRPr="00800D1B">
          <w:rPr>
            <w:lang w:val="sv-SE"/>
          </w:rPr>
          <w:tab/>
        </w:r>
        <w:r w:rsidR="00623E14" w:rsidRPr="00800D1B">
          <w:rPr>
            <w:lang w:val="sv-SE"/>
          </w:rPr>
          <w:fldChar w:fldCharType="begin"/>
        </w:r>
        <w:r w:rsidR="00623E14" w:rsidRPr="00800D1B">
          <w:rPr>
            <w:lang w:val="sv-SE"/>
          </w:rPr>
          <w:instrText xml:space="preserve"> PAGEREF _Toc256000403 \h </w:instrText>
        </w:r>
        <w:r w:rsidR="00623E14" w:rsidRPr="00800D1B">
          <w:rPr>
            <w:lang w:val="sv-SE"/>
          </w:rPr>
        </w:r>
        <w:r w:rsidR="00623E14" w:rsidRPr="00800D1B">
          <w:rPr>
            <w:lang w:val="sv-SE"/>
          </w:rPr>
          <w:fldChar w:fldCharType="separate"/>
        </w:r>
        <w:r w:rsidR="00623E14" w:rsidRPr="00800D1B">
          <w:rPr>
            <w:lang w:val="sv-SE"/>
          </w:rPr>
          <w:t>86</w:t>
        </w:r>
        <w:r w:rsidR="00623E14" w:rsidRPr="00800D1B">
          <w:rPr>
            <w:lang w:val="sv-SE"/>
          </w:rPr>
          <w:fldChar w:fldCharType="end"/>
        </w:r>
      </w:hyperlink>
    </w:p>
    <w:p w14:paraId="2D065496" w14:textId="77777777" w:rsidR="003422DB" w:rsidRPr="00800D1B" w:rsidRDefault="00000000" w:rsidP="004F0B72">
      <w:pPr>
        <w:pStyle w:val="Innehll4"/>
        <w:rPr>
          <w:rFonts w:ascii="Calibri" w:hAnsi="Calibri"/>
          <w:sz w:val="22"/>
          <w:lang w:val="sv-SE"/>
        </w:rPr>
      </w:pPr>
      <w:hyperlink w:anchor="_Toc256000404" w:history="1">
        <w:r w:rsidR="00A77B3E" w:rsidRPr="00800D1B">
          <w:rPr>
            <w:rStyle w:val="Hyperlnk"/>
            <w:lang w:val="sv-SE"/>
          </w:rPr>
          <w:t>2.1.1.1.1. Interventioner inom ramen för fonderna</w:t>
        </w:r>
        <w:r w:rsidR="00623E14" w:rsidRPr="00800D1B">
          <w:rPr>
            <w:lang w:val="sv-SE"/>
          </w:rPr>
          <w:tab/>
        </w:r>
        <w:r w:rsidR="00623E14" w:rsidRPr="00800D1B">
          <w:rPr>
            <w:lang w:val="sv-SE"/>
          </w:rPr>
          <w:fldChar w:fldCharType="begin"/>
        </w:r>
        <w:r w:rsidR="00623E14" w:rsidRPr="00800D1B">
          <w:rPr>
            <w:lang w:val="sv-SE"/>
          </w:rPr>
          <w:instrText xml:space="preserve"> PAGEREF _Toc256000404 \h </w:instrText>
        </w:r>
        <w:r w:rsidR="00623E14" w:rsidRPr="00800D1B">
          <w:rPr>
            <w:lang w:val="sv-SE"/>
          </w:rPr>
        </w:r>
        <w:r w:rsidR="00623E14" w:rsidRPr="00800D1B">
          <w:rPr>
            <w:lang w:val="sv-SE"/>
          </w:rPr>
          <w:fldChar w:fldCharType="separate"/>
        </w:r>
        <w:r w:rsidR="00623E14" w:rsidRPr="00800D1B">
          <w:rPr>
            <w:lang w:val="sv-SE"/>
          </w:rPr>
          <w:t>86</w:t>
        </w:r>
        <w:r w:rsidR="00623E14" w:rsidRPr="00800D1B">
          <w:rPr>
            <w:lang w:val="sv-SE"/>
          </w:rPr>
          <w:fldChar w:fldCharType="end"/>
        </w:r>
      </w:hyperlink>
    </w:p>
    <w:p w14:paraId="2D065497" w14:textId="77777777" w:rsidR="003422DB" w:rsidRPr="00800D1B" w:rsidRDefault="00000000">
      <w:pPr>
        <w:pStyle w:val="Innehll5"/>
        <w:tabs>
          <w:tab w:val="right" w:leader="dot" w:pos="10240"/>
        </w:tabs>
        <w:rPr>
          <w:rFonts w:ascii="Calibri" w:hAnsi="Calibri"/>
          <w:sz w:val="22"/>
          <w:lang w:val="sv-SE"/>
        </w:rPr>
      </w:pPr>
      <w:hyperlink w:anchor="_Toc256000405" w:history="1">
        <w:r w:rsidR="00A77B3E" w:rsidRPr="00800D1B">
          <w:rPr>
            <w:rStyle w:val="Hyperlnk"/>
            <w:lang w:val="sv-SE"/>
          </w:rPr>
          <w:t>Relaterade typer av åtgärder – artikel 22.3 d i i förordningen om gemensamma bestämmelser och artikel 6 i ESF+-förordningen</w:t>
        </w:r>
        <w:r w:rsidR="00623E14" w:rsidRPr="00800D1B">
          <w:rPr>
            <w:lang w:val="sv-SE"/>
          </w:rPr>
          <w:tab/>
        </w:r>
        <w:r w:rsidR="00623E14" w:rsidRPr="00800D1B">
          <w:rPr>
            <w:lang w:val="sv-SE"/>
          </w:rPr>
          <w:fldChar w:fldCharType="begin"/>
        </w:r>
        <w:r w:rsidR="00623E14" w:rsidRPr="00800D1B">
          <w:rPr>
            <w:lang w:val="sv-SE"/>
          </w:rPr>
          <w:instrText xml:space="preserve"> PAGEREF _Toc256000405 \h </w:instrText>
        </w:r>
        <w:r w:rsidR="00623E14" w:rsidRPr="00800D1B">
          <w:rPr>
            <w:lang w:val="sv-SE"/>
          </w:rPr>
        </w:r>
        <w:r w:rsidR="00623E14" w:rsidRPr="00800D1B">
          <w:rPr>
            <w:lang w:val="sv-SE"/>
          </w:rPr>
          <w:fldChar w:fldCharType="separate"/>
        </w:r>
        <w:r w:rsidR="00623E14" w:rsidRPr="00800D1B">
          <w:rPr>
            <w:lang w:val="sv-SE"/>
          </w:rPr>
          <w:t>86</w:t>
        </w:r>
        <w:r w:rsidR="00623E14" w:rsidRPr="00800D1B">
          <w:rPr>
            <w:lang w:val="sv-SE"/>
          </w:rPr>
          <w:fldChar w:fldCharType="end"/>
        </w:r>
      </w:hyperlink>
    </w:p>
    <w:p w14:paraId="2D065498" w14:textId="77777777" w:rsidR="003422DB" w:rsidRPr="00800D1B" w:rsidRDefault="00000000">
      <w:pPr>
        <w:pStyle w:val="Innehll5"/>
        <w:tabs>
          <w:tab w:val="right" w:leader="dot" w:pos="10240"/>
        </w:tabs>
        <w:rPr>
          <w:rFonts w:ascii="Calibri" w:hAnsi="Calibri"/>
          <w:sz w:val="22"/>
          <w:lang w:val="sv-SE"/>
        </w:rPr>
      </w:pPr>
      <w:hyperlink w:anchor="_Toc256000406" w:history="1">
        <w:r w:rsidR="00A77B3E" w:rsidRPr="00800D1B">
          <w:rPr>
            <w:rStyle w:val="Hyperlnk"/>
            <w:lang w:val="sv-SE"/>
          </w:rPr>
          <w:t>Huvudsakliga målgrupper – artikel 22.3 d iii i förordningen om gemensamma bestämmelser</w:t>
        </w:r>
        <w:r w:rsidR="00623E14" w:rsidRPr="00800D1B">
          <w:rPr>
            <w:lang w:val="sv-SE"/>
          </w:rPr>
          <w:tab/>
        </w:r>
        <w:r w:rsidR="00623E14" w:rsidRPr="00800D1B">
          <w:rPr>
            <w:lang w:val="sv-SE"/>
          </w:rPr>
          <w:fldChar w:fldCharType="begin"/>
        </w:r>
        <w:r w:rsidR="00623E14" w:rsidRPr="00800D1B">
          <w:rPr>
            <w:lang w:val="sv-SE"/>
          </w:rPr>
          <w:instrText xml:space="preserve"> PAGEREF _Toc256000406 \h </w:instrText>
        </w:r>
        <w:r w:rsidR="00623E14" w:rsidRPr="00800D1B">
          <w:rPr>
            <w:lang w:val="sv-SE"/>
          </w:rPr>
        </w:r>
        <w:r w:rsidR="00623E14" w:rsidRPr="00800D1B">
          <w:rPr>
            <w:lang w:val="sv-SE"/>
          </w:rPr>
          <w:fldChar w:fldCharType="separate"/>
        </w:r>
        <w:r w:rsidR="00623E14" w:rsidRPr="00800D1B">
          <w:rPr>
            <w:lang w:val="sv-SE"/>
          </w:rPr>
          <w:t>87</w:t>
        </w:r>
        <w:r w:rsidR="00623E14" w:rsidRPr="00800D1B">
          <w:rPr>
            <w:lang w:val="sv-SE"/>
          </w:rPr>
          <w:fldChar w:fldCharType="end"/>
        </w:r>
      </w:hyperlink>
    </w:p>
    <w:p w14:paraId="2D065499" w14:textId="77777777" w:rsidR="003422DB" w:rsidRPr="00800D1B" w:rsidRDefault="00000000">
      <w:pPr>
        <w:pStyle w:val="Innehll5"/>
        <w:tabs>
          <w:tab w:val="right" w:leader="dot" w:pos="10240"/>
        </w:tabs>
        <w:rPr>
          <w:rFonts w:ascii="Calibri" w:hAnsi="Calibri"/>
          <w:sz w:val="22"/>
          <w:lang w:val="sv-SE"/>
        </w:rPr>
      </w:pPr>
      <w:hyperlink w:anchor="_Toc256000407" w:history="1">
        <w:r w:rsidR="00A77B3E" w:rsidRPr="00800D1B">
          <w:rPr>
            <w:rStyle w:val="Hyperlnk"/>
            <w:lang w:val="sv-SE"/>
          </w:rPr>
          <w:t>Åtgärder för säkerställande av jämställdhet, inkludering och icke-diskriminering – artikel 22.3 d iv i förordningen om gemensamma bestämmelser och artikel 6 i ESF+-förordningen</w:t>
        </w:r>
        <w:r w:rsidR="00623E14" w:rsidRPr="00800D1B">
          <w:rPr>
            <w:lang w:val="sv-SE"/>
          </w:rPr>
          <w:tab/>
        </w:r>
        <w:r w:rsidR="00623E14" w:rsidRPr="00800D1B">
          <w:rPr>
            <w:lang w:val="sv-SE"/>
          </w:rPr>
          <w:fldChar w:fldCharType="begin"/>
        </w:r>
        <w:r w:rsidR="00623E14" w:rsidRPr="00800D1B">
          <w:rPr>
            <w:lang w:val="sv-SE"/>
          </w:rPr>
          <w:instrText xml:space="preserve"> PAGEREF _Toc256000407 \h </w:instrText>
        </w:r>
        <w:r w:rsidR="00623E14" w:rsidRPr="00800D1B">
          <w:rPr>
            <w:lang w:val="sv-SE"/>
          </w:rPr>
        </w:r>
        <w:r w:rsidR="00623E14" w:rsidRPr="00800D1B">
          <w:rPr>
            <w:lang w:val="sv-SE"/>
          </w:rPr>
          <w:fldChar w:fldCharType="separate"/>
        </w:r>
        <w:r w:rsidR="00623E14" w:rsidRPr="00800D1B">
          <w:rPr>
            <w:lang w:val="sv-SE"/>
          </w:rPr>
          <w:t>88</w:t>
        </w:r>
        <w:r w:rsidR="00623E14" w:rsidRPr="00800D1B">
          <w:rPr>
            <w:lang w:val="sv-SE"/>
          </w:rPr>
          <w:fldChar w:fldCharType="end"/>
        </w:r>
      </w:hyperlink>
    </w:p>
    <w:p w14:paraId="2D06549A" w14:textId="77777777" w:rsidR="003422DB" w:rsidRPr="00800D1B" w:rsidRDefault="00000000">
      <w:pPr>
        <w:pStyle w:val="Innehll5"/>
        <w:tabs>
          <w:tab w:val="right" w:leader="dot" w:pos="10240"/>
        </w:tabs>
        <w:rPr>
          <w:rFonts w:ascii="Calibri" w:hAnsi="Calibri"/>
          <w:sz w:val="22"/>
          <w:lang w:val="sv-SE"/>
        </w:rPr>
      </w:pPr>
      <w:hyperlink w:anchor="_Toc256000408" w:history="1">
        <w:r w:rsidR="00A77B3E" w:rsidRPr="00800D1B">
          <w:rPr>
            <w:rStyle w:val="Hyperlnk"/>
            <w:lang w:val="sv-SE"/>
          </w:rPr>
          <w:t>Angivande av de specifika målterritorierna, inbegripet planerad användning av territoriella verktyg – artikel 22.3 d v i förordningen om gemensamma bestämmelser</w:t>
        </w:r>
        <w:r w:rsidR="00623E14" w:rsidRPr="00800D1B">
          <w:rPr>
            <w:lang w:val="sv-SE"/>
          </w:rPr>
          <w:tab/>
        </w:r>
        <w:r w:rsidR="00623E14" w:rsidRPr="00800D1B">
          <w:rPr>
            <w:lang w:val="sv-SE"/>
          </w:rPr>
          <w:fldChar w:fldCharType="begin"/>
        </w:r>
        <w:r w:rsidR="00623E14" w:rsidRPr="00800D1B">
          <w:rPr>
            <w:lang w:val="sv-SE"/>
          </w:rPr>
          <w:instrText xml:space="preserve"> PAGEREF _Toc256000408 \h </w:instrText>
        </w:r>
        <w:r w:rsidR="00623E14" w:rsidRPr="00800D1B">
          <w:rPr>
            <w:lang w:val="sv-SE"/>
          </w:rPr>
        </w:r>
        <w:r w:rsidR="00623E14" w:rsidRPr="00800D1B">
          <w:rPr>
            <w:lang w:val="sv-SE"/>
          </w:rPr>
          <w:fldChar w:fldCharType="separate"/>
        </w:r>
        <w:r w:rsidR="00623E14" w:rsidRPr="00800D1B">
          <w:rPr>
            <w:lang w:val="sv-SE"/>
          </w:rPr>
          <w:t>88</w:t>
        </w:r>
        <w:r w:rsidR="00623E14" w:rsidRPr="00800D1B">
          <w:rPr>
            <w:lang w:val="sv-SE"/>
          </w:rPr>
          <w:fldChar w:fldCharType="end"/>
        </w:r>
      </w:hyperlink>
    </w:p>
    <w:p w14:paraId="2D06549B" w14:textId="77777777" w:rsidR="003422DB" w:rsidRPr="00800D1B" w:rsidRDefault="00000000">
      <w:pPr>
        <w:pStyle w:val="Innehll5"/>
        <w:tabs>
          <w:tab w:val="right" w:leader="dot" w:pos="10240"/>
        </w:tabs>
        <w:rPr>
          <w:rFonts w:ascii="Calibri" w:hAnsi="Calibri"/>
          <w:sz w:val="22"/>
          <w:lang w:val="sv-SE"/>
        </w:rPr>
      </w:pPr>
      <w:hyperlink w:anchor="_Toc256000409" w:history="1">
        <w:r w:rsidR="00A77B3E" w:rsidRPr="00800D1B">
          <w:rPr>
            <w:rStyle w:val="Hyperlnk"/>
            <w:lang w:val="sv-SE"/>
          </w:rPr>
          <w:t>Interregionala, gränsregionala och transnationella åtgärder – artikel 22.3 d vi i förordningen om gemensamma bestämmelser</w:t>
        </w:r>
        <w:r w:rsidR="00623E14" w:rsidRPr="00800D1B">
          <w:rPr>
            <w:lang w:val="sv-SE"/>
          </w:rPr>
          <w:tab/>
        </w:r>
        <w:r w:rsidR="00623E14" w:rsidRPr="00800D1B">
          <w:rPr>
            <w:lang w:val="sv-SE"/>
          </w:rPr>
          <w:fldChar w:fldCharType="begin"/>
        </w:r>
        <w:r w:rsidR="00623E14" w:rsidRPr="00800D1B">
          <w:rPr>
            <w:lang w:val="sv-SE"/>
          </w:rPr>
          <w:instrText xml:space="preserve"> PAGEREF _Toc256000409 \h </w:instrText>
        </w:r>
        <w:r w:rsidR="00623E14" w:rsidRPr="00800D1B">
          <w:rPr>
            <w:lang w:val="sv-SE"/>
          </w:rPr>
        </w:r>
        <w:r w:rsidR="00623E14" w:rsidRPr="00800D1B">
          <w:rPr>
            <w:lang w:val="sv-SE"/>
          </w:rPr>
          <w:fldChar w:fldCharType="separate"/>
        </w:r>
        <w:r w:rsidR="00623E14" w:rsidRPr="00800D1B">
          <w:rPr>
            <w:lang w:val="sv-SE"/>
          </w:rPr>
          <w:t>88</w:t>
        </w:r>
        <w:r w:rsidR="00623E14" w:rsidRPr="00800D1B">
          <w:rPr>
            <w:lang w:val="sv-SE"/>
          </w:rPr>
          <w:fldChar w:fldCharType="end"/>
        </w:r>
      </w:hyperlink>
    </w:p>
    <w:p w14:paraId="2D06549C" w14:textId="77777777" w:rsidR="003422DB" w:rsidRPr="00800D1B" w:rsidRDefault="00000000">
      <w:pPr>
        <w:pStyle w:val="Innehll5"/>
        <w:tabs>
          <w:tab w:val="right" w:leader="dot" w:pos="10240"/>
        </w:tabs>
        <w:rPr>
          <w:rFonts w:ascii="Calibri" w:hAnsi="Calibri"/>
          <w:sz w:val="22"/>
          <w:lang w:val="sv-SE"/>
        </w:rPr>
      </w:pPr>
      <w:hyperlink w:anchor="_Toc256000410" w:history="1">
        <w:r w:rsidR="00A77B3E" w:rsidRPr="00800D1B">
          <w:rPr>
            <w:rStyle w:val="Hyperlnk"/>
            <w:lang w:val="sv-SE"/>
          </w:rPr>
          <w:t>Planerad användning av finansieringsinstrument – artikel 22.3 d vii i förordningen om gemensamma bestämmelser</w:t>
        </w:r>
        <w:r w:rsidR="00623E14" w:rsidRPr="00800D1B">
          <w:rPr>
            <w:lang w:val="sv-SE"/>
          </w:rPr>
          <w:tab/>
        </w:r>
        <w:r w:rsidR="00623E14" w:rsidRPr="00800D1B">
          <w:rPr>
            <w:lang w:val="sv-SE"/>
          </w:rPr>
          <w:fldChar w:fldCharType="begin"/>
        </w:r>
        <w:r w:rsidR="00623E14" w:rsidRPr="00800D1B">
          <w:rPr>
            <w:lang w:val="sv-SE"/>
          </w:rPr>
          <w:instrText xml:space="preserve"> PAGEREF _Toc256000410 \h </w:instrText>
        </w:r>
        <w:r w:rsidR="00623E14" w:rsidRPr="00800D1B">
          <w:rPr>
            <w:lang w:val="sv-SE"/>
          </w:rPr>
        </w:r>
        <w:r w:rsidR="00623E14" w:rsidRPr="00800D1B">
          <w:rPr>
            <w:lang w:val="sv-SE"/>
          </w:rPr>
          <w:fldChar w:fldCharType="separate"/>
        </w:r>
        <w:r w:rsidR="00623E14" w:rsidRPr="00800D1B">
          <w:rPr>
            <w:lang w:val="sv-SE"/>
          </w:rPr>
          <w:t>89</w:t>
        </w:r>
        <w:r w:rsidR="00623E14" w:rsidRPr="00800D1B">
          <w:rPr>
            <w:lang w:val="sv-SE"/>
          </w:rPr>
          <w:fldChar w:fldCharType="end"/>
        </w:r>
      </w:hyperlink>
    </w:p>
    <w:p w14:paraId="2D06549D" w14:textId="77777777" w:rsidR="003422DB" w:rsidRPr="00800D1B" w:rsidRDefault="00000000" w:rsidP="004F0B72">
      <w:pPr>
        <w:pStyle w:val="Innehll4"/>
        <w:rPr>
          <w:rFonts w:ascii="Calibri" w:hAnsi="Calibri"/>
          <w:sz w:val="22"/>
          <w:lang w:val="sv-SE"/>
        </w:rPr>
      </w:pPr>
      <w:hyperlink w:anchor="_Toc256000411" w:history="1">
        <w:r w:rsidR="00A77B3E" w:rsidRPr="00800D1B">
          <w:rPr>
            <w:rStyle w:val="Hyperlnk"/>
            <w:lang w:val="sv-SE"/>
          </w:rPr>
          <w:t>2.1.1.1.2. Indikatorer</w:t>
        </w:r>
        <w:r w:rsidR="00623E14" w:rsidRPr="00800D1B">
          <w:rPr>
            <w:lang w:val="sv-SE"/>
          </w:rPr>
          <w:tab/>
        </w:r>
        <w:r w:rsidR="00623E14" w:rsidRPr="00800D1B">
          <w:rPr>
            <w:lang w:val="sv-SE"/>
          </w:rPr>
          <w:fldChar w:fldCharType="begin"/>
        </w:r>
        <w:r w:rsidR="00623E14" w:rsidRPr="00800D1B">
          <w:rPr>
            <w:lang w:val="sv-SE"/>
          </w:rPr>
          <w:instrText xml:space="preserve"> PAGEREF _Toc256000411 \h </w:instrText>
        </w:r>
        <w:r w:rsidR="00623E14" w:rsidRPr="00800D1B">
          <w:rPr>
            <w:lang w:val="sv-SE"/>
          </w:rPr>
        </w:r>
        <w:r w:rsidR="00623E14" w:rsidRPr="00800D1B">
          <w:rPr>
            <w:lang w:val="sv-SE"/>
          </w:rPr>
          <w:fldChar w:fldCharType="separate"/>
        </w:r>
        <w:r w:rsidR="00623E14" w:rsidRPr="00800D1B">
          <w:rPr>
            <w:lang w:val="sv-SE"/>
          </w:rPr>
          <w:t>89</w:t>
        </w:r>
        <w:r w:rsidR="00623E14" w:rsidRPr="00800D1B">
          <w:rPr>
            <w:lang w:val="sv-SE"/>
          </w:rPr>
          <w:fldChar w:fldCharType="end"/>
        </w:r>
      </w:hyperlink>
    </w:p>
    <w:p w14:paraId="2D06549E" w14:textId="77777777" w:rsidR="003422DB" w:rsidRPr="00800D1B" w:rsidRDefault="00000000">
      <w:pPr>
        <w:pStyle w:val="Innehll5"/>
        <w:tabs>
          <w:tab w:val="right" w:leader="dot" w:pos="10240"/>
        </w:tabs>
        <w:rPr>
          <w:rFonts w:ascii="Calibri" w:hAnsi="Calibri"/>
          <w:sz w:val="22"/>
          <w:lang w:val="sv-SE"/>
        </w:rPr>
      </w:pPr>
      <w:hyperlink w:anchor="_Toc256000412" w:history="1">
        <w:r w:rsidR="00A77B3E" w:rsidRPr="00800D1B">
          <w:rPr>
            <w:rStyle w:val="Hyperlnk"/>
            <w:lang w:val="sv-SE"/>
          </w:rPr>
          <w:t>Tabell 2: Utfallsindikatorer</w:t>
        </w:r>
        <w:r w:rsidR="00623E14" w:rsidRPr="00800D1B">
          <w:rPr>
            <w:lang w:val="sv-SE"/>
          </w:rPr>
          <w:tab/>
        </w:r>
        <w:r w:rsidR="00623E14" w:rsidRPr="00800D1B">
          <w:rPr>
            <w:lang w:val="sv-SE"/>
          </w:rPr>
          <w:fldChar w:fldCharType="begin"/>
        </w:r>
        <w:r w:rsidR="00623E14" w:rsidRPr="00800D1B">
          <w:rPr>
            <w:lang w:val="sv-SE"/>
          </w:rPr>
          <w:instrText xml:space="preserve"> PAGEREF _Toc256000412 \h </w:instrText>
        </w:r>
        <w:r w:rsidR="00623E14" w:rsidRPr="00800D1B">
          <w:rPr>
            <w:lang w:val="sv-SE"/>
          </w:rPr>
        </w:r>
        <w:r w:rsidR="00623E14" w:rsidRPr="00800D1B">
          <w:rPr>
            <w:lang w:val="sv-SE"/>
          </w:rPr>
          <w:fldChar w:fldCharType="separate"/>
        </w:r>
        <w:r w:rsidR="00623E14" w:rsidRPr="00800D1B">
          <w:rPr>
            <w:lang w:val="sv-SE"/>
          </w:rPr>
          <w:t>89</w:t>
        </w:r>
        <w:r w:rsidR="00623E14" w:rsidRPr="00800D1B">
          <w:rPr>
            <w:lang w:val="sv-SE"/>
          </w:rPr>
          <w:fldChar w:fldCharType="end"/>
        </w:r>
      </w:hyperlink>
    </w:p>
    <w:p w14:paraId="2D06549F" w14:textId="77777777" w:rsidR="003422DB" w:rsidRPr="00800D1B" w:rsidRDefault="00000000">
      <w:pPr>
        <w:pStyle w:val="Innehll5"/>
        <w:tabs>
          <w:tab w:val="right" w:leader="dot" w:pos="10240"/>
        </w:tabs>
        <w:rPr>
          <w:rFonts w:ascii="Calibri" w:hAnsi="Calibri"/>
          <w:sz w:val="22"/>
          <w:lang w:val="sv-SE"/>
        </w:rPr>
      </w:pPr>
      <w:hyperlink w:anchor="_Toc256000413" w:history="1">
        <w:r w:rsidR="00A77B3E" w:rsidRPr="00800D1B">
          <w:rPr>
            <w:rStyle w:val="Hyperlnk"/>
            <w:lang w:val="sv-SE"/>
          </w:rPr>
          <w:t>Tabell 3: Resultatindikatorer</w:t>
        </w:r>
        <w:r w:rsidR="00623E14" w:rsidRPr="00800D1B">
          <w:rPr>
            <w:lang w:val="sv-SE"/>
          </w:rPr>
          <w:tab/>
        </w:r>
        <w:r w:rsidR="00623E14" w:rsidRPr="00800D1B">
          <w:rPr>
            <w:lang w:val="sv-SE"/>
          </w:rPr>
          <w:fldChar w:fldCharType="begin"/>
        </w:r>
        <w:r w:rsidR="00623E14" w:rsidRPr="00800D1B">
          <w:rPr>
            <w:lang w:val="sv-SE"/>
          </w:rPr>
          <w:instrText xml:space="preserve"> PAGEREF _Toc256000413 \h </w:instrText>
        </w:r>
        <w:r w:rsidR="00623E14" w:rsidRPr="00800D1B">
          <w:rPr>
            <w:lang w:val="sv-SE"/>
          </w:rPr>
        </w:r>
        <w:r w:rsidR="00623E14" w:rsidRPr="00800D1B">
          <w:rPr>
            <w:lang w:val="sv-SE"/>
          </w:rPr>
          <w:fldChar w:fldCharType="separate"/>
        </w:r>
        <w:r w:rsidR="00623E14" w:rsidRPr="00800D1B">
          <w:rPr>
            <w:lang w:val="sv-SE"/>
          </w:rPr>
          <w:t>89</w:t>
        </w:r>
        <w:r w:rsidR="00623E14" w:rsidRPr="00800D1B">
          <w:rPr>
            <w:lang w:val="sv-SE"/>
          </w:rPr>
          <w:fldChar w:fldCharType="end"/>
        </w:r>
      </w:hyperlink>
    </w:p>
    <w:p w14:paraId="2D0654A0" w14:textId="77777777" w:rsidR="003422DB" w:rsidRPr="00800D1B" w:rsidRDefault="00000000" w:rsidP="004F0B72">
      <w:pPr>
        <w:pStyle w:val="Innehll4"/>
        <w:rPr>
          <w:rFonts w:ascii="Calibri" w:hAnsi="Calibri"/>
          <w:sz w:val="22"/>
          <w:lang w:val="sv-SE"/>
        </w:rPr>
      </w:pPr>
      <w:hyperlink w:anchor="_Toc256000414" w:history="1">
        <w:r w:rsidR="00A77B3E" w:rsidRPr="00800D1B">
          <w:rPr>
            <w:rStyle w:val="Hyperlnk"/>
            <w:lang w:val="sv-SE"/>
          </w:rPr>
          <w:t>2.1.1.1.3. Preliminär fördelning av anslagna (EU-)medel efter interventionstyp</w:t>
        </w:r>
        <w:r w:rsidR="00623E14" w:rsidRPr="00800D1B">
          <w:rPr>
            <w:lang w:val="sv-SE"/>
          </w:rPr>
          <w:tab/>
        </w:r>
        <w:r w:rsidR="00623E14" w:rsidRPr="00800D1B">
          <w:rPr>
            <w:lang w:val="sv-SE"/>
          </w:rPr>
          <w:fldChar w:fldCharType="begin"/>
        </w:r>
        <w:r w:rsidR="00623E14" w:rsidRPr="00800D1B">
          <w:rPr>
            <w:lang w:val="sv-SE"/>
          </w:rPr>
          <w:instrText xml:space="preserve"> PAGEREF _Toc256000414 \h </w:instrText>
        </w:r>
        <w:r w:rsidR="00623E14" w:rsidRPr="00800D1B">
          <w:rPr>
            <w:lang w:val="sv-SE"/>
          </w:rPr>
        </w:r>
        <w:r w:rsidR="00623E14" w:rsidRPr="00800D1B">
          <w:rPr>
            <w:lang w:val="sv-SE"/>
          </w:rPr>
          <w:fldChar w:fldCharType="separate"/>
        </w:r>
        <w:r w:rsidR="00623E14" w:rsidRPr="00800D1B">
          <w:rPr>
            <w:lang w:val="sv-SE"/>
          </w:rPr>
          <w:t>90</w:t>
        </w:r>
        <w:r w:rsidR="00623E14" w:rsidRPr="00800D1B">
          <w:rPr>
            <w:lang w:val="sv-SE"/>
          </w:rPr>
          <w:fldChar w:fldCharType="end"/>
        </w:r>
      </w:hyperlink>
    </w:p>
    <w:p w14:paraId="2D0654A1" w14:textId="77777777" w:rsidR="003422DB" w:rsidRPr="00800D1B" w:rsidRDefault="00000000">
      <w:pPr>
        <w:pStyle w:val="Innehll5"/>
        <w:tabs>
          <w:tab w:val="right" w:leader="dot" w:pos="10240"/>
        </w:tabs>
        <w:rPr>
          <w:rFonts w:ascii="Calibri" w:hAnsi="Calibri"/>
          <w:sz w:val="22"/>
          <w:lang w:val="sv-SE"/>
        </w:rPr>
      </w:pPr>
      <w:hyperlink w:anchor="_Toc256000415" w:history="1">
        <w:r w:rsidR="00A77B3E" w:rsidRPr="00800D1B">
          <w:rPr>
            <w:rStyle w:val="Hyperlnk"/>
            <w:lang w:val="sv-SE"/>
          </w:rPr>
          <w:t>Tabell 4: Dimension 1 – interventionsområde</w:t>
        </w:r>
        <w:r w:rsidR="00623E14" w:rsidRPr="00800D1B">
          <w:rPr>
            <w:lang w:val="sv-SE"/>
          </w:rPr>
          <w:tab/>
        </w:r>
        <w:r w:rsidR="00623E14" w:rsidRPr="00800D1B">
          <w:rPr>
            <w:lang w:val="sv-SE"/>
          </w:rPr>
          <w:fldChar w:fldCharType="begin"/>
        </w:r>
        <w:r w:rsidR="00623E14" w:rsidRPr="00800D1B">
          <w:rPr>
            <w:lang w:val="sv-SE"/>
          </w:rPr>
          <w:instrText xml:space="preserve"> PAGEREF _Toc256000415 \h </w:instrText>
        </w:r>
        <w:r w:rsidR="00623E14" w:rsidRPr="00800D1B">
          <w:rPr>
            <w:lang w:val="sv-SE"/>
          </w:rPr>
        </w:r>
        <w:r w:rsidR="00623E14" w:rsidRPr="00800D1B">
          <w:rPr>
            <w:lang w:val="sv-SE"/>
          </w:rPr>
          <w:fldChar w:fldCharType="separate"/>
        </w:r>
        <w:r w:rsidR="00623E14" w:rsidRPr="00800D1B">
          <w:rPr>
            <w:lang w:val="sv-SE"/>
          </w:rPr>
          <w:t>90</w:t>
        </w:r>
        <w:r w:rsidR="00623E14" w:rsidRPr="00800D1B">
          <w:rPr>
            <w:lang w:val="sv-SE"/>
          </w:rPr>
          <w:fldChar w:fldCharType="end"/>
        </w:r>
      </w:hyperlink>
    </w:p>
    <w:p w14:paraId="2D0654A2" w14:textId="77777777" w:rsidR="003422DB" w:rsidRPr="00800D1B" w:rsidRDefault="00000000">
      <w:pPr>
        <w:pStyle w:val="Innehll5"/>
        <w:tabs>
          <w:tab w:val="right" w:leader="dot" w:pos="10240"/>
        </w:tabs>
        <w:rPr>
          <w:rFonts w:ascii="Calibri" w:hAnsi="Calibri"/>
          <w:sz w:val="22"/>
          <w:lang w:val="sv-SE"/>
        </w:rPr>
      </w:pPr>
      <w:hyperlink w:anchor="_Toc256000416" w:history="1">
        <w:r w:rsidR="00A77B3E" w:rsidRPr="00800D1B">
          <w:rPr>
            <w:rStyle w:val="Hyperlnk"/>
            <w:lang w:val="sv-SE"/>
          </w:rPr>
          <w:t>Tabell 5: Dimension 2 – finansieringsform</w:t>
        </w:r>
        <w:r w:rsidR="00623E14" w:rsidRPr="00800D1B">
          <w:rPr>
            <w:lang w:val="sv-SE"/>
          </w:rPr>
          <w:tab/>
        </w:r>
        <w:r w:rsidR="00623E14" w:rsidRPr="00800D1B">
          <w:rPr>
            <w:lang w:val="sv-SE"/>
          </w:rPr>
          <w:fldChar w:fldCharType="begin"/>
        </w:r>
        <w:r w:rsidR="00623E14" w:rsidRPr="00800D1B">
          <w:rPr>
            <w:lang w:val="sv-SE"/>
          </w:rPr>
          <w:instrText xml:space="preserve"> PAGEREF _Toc256000416 \h </w:instrText>
        </w:r>
        <w:r w:rsidR="00623E14" w:rsidRPr="00800D1B">
          <w:rPr>
            <w:lang w:val="sv-SE"/>
          </w:rPr>
        </w:r>
        <w:r w:rsidR="00623E14" w:rsidRPr="00800D1B">
          <w:rPr>
            <w:lang w:val="sv-SE"/>
          </w:rPr>
          <w:fldChar w:fldCharType="separate"/>
        </w:r>
        <w:r w:rsidR="00623E14" w:rsidRPr="00800D1B">
          <w:rPr>
            <w:lang w:val="sv-SE"/>
          </w:rPr>
          <w:t>90</w:t>
        </w:r>
        <w:r w:rsidR="00623E14" w:rsidRPr="00800D1B">
          <w:rPr>
            <w:lang w:val="sv-SE"/>
          </w:rPr>
          <w:fldChar w:fldCharType="end"/>
        </w:r>
      </w:hyperlink>
    </w:p>
    <w:p w14:paraId="2D0654A3" w14:textId="77777777" w:rsidR="003422DB" w:rsidRPr="00800D1B" w:rsidRDefault="00000000">
      <w:pPr>
        <w:pStyle w:val="Innehll5"/>
        <w:tabs>
          <w:tab w:val="right" w:leader="dot" w:pos="10240"/>
        </w:tabs>
        <w:rPr>
          <w:rFonts w:ascii="Calibri" w:hAnsi="Calibri"/>
          <w:sz w:val="22"/>
          <w:lang w:val="sv-SE"/>
        </w:rPr>
      </w:pPr>
      <w:hyperlink w:anchor="_Toc256000417" w:history="1">
        <w:r w:rsidR="00A77B3E" w:rsidRPr="00800D1B">
          <w:rPr>
            <w:rStyle w:val="Hyperlnk"/>
            <w:lang w:val="sv-SE"/>
          </w:rPr>
          <w:t>Tabell 6: Dimension 3 – territoriell genomförandemetod och territoriellt fokus</w:t>
        </w:r>
        <w:r w:rsidR="00623E14" w:rsidRPr="00800D1B">
          <w:rPr>
            <w:lang w:val="sv-SE"/>
          </w:rPr>
          <w:tab/>
        </w:r>
        <w:r w:rsidR="00623E14" w:rsidRPr="00800D1B">
          <w:rPr>
            <w:lang w:val="sv-SE"/>
          </w:rPr>
          <w:fldChar w:fldCharType="begin"/>
        </w:r>
        <w:r w:rsidR="00623E14" w:rsidRPr="00800D1B">
          <w:rPr>
            <w:lang w:val="sv-SE"/>
          </w:rPr>
          <w:instrText xml:space="preserve"> PAGEREF _Toc256000417 \h </w:instrText>
        </w:r>
        <w:r w:rsidR="00623E14" w:rsidRPr="00800D1B">
          <w:rPr>
            <w:lang w:val="sv-SE"/>
          </w:rPr>
        </w:r>
        <w:r w:rsidR="00623E14" w:rsidRPr="00800D1B">
          <w:rPr>
            <w:lang w:val="sv-SE"/>
          </w:rPr>
          <w:fldChar w:fldCharType="separate"/>
        </w:r>
        <w:r w:rsidR="00623E14" w:rsidRPr="00800D1B">
          <w:rPr>
            <w:lang w:val="sv-SE"/>
          </w:rPr>
          <w:t>90</w:t>
        </w:r>
        <w:r w:rsidR="00623E14" w:rsidRPr="00800D1B">
          <w:rPr>
            <w:lang w:val="sv-SE"/>
          </w:rPr>
          <w:fldChar w:fldCharType="end"/>
        </w:r>
      </w:hyperlink>
    </w:p>
    <w:p w14:paraId="2D0654A4" w14:textId="77777777" w:rsidR="003422DB" w:rsidRPr="00800D1B" w:rsidRDefault="00000000">
      <w:pPr>
        <w:pStyle w:val="Innehll5"/>
        <w:tabs>
          <w:tab w:val="right" w:leader="dot" w:pos="10240"/>
        </w:tabs>
        <w:rPr>
          <w:rFonts w:ascii="Calibri" w:hAnsi="Calibri"/>
          <w:sz w:val="22"/>
          <w:lang w:val="sv-SE"/>
        </w:rPr>
      </w:pPr>
      <w:hyperlink w:anchor="_Toc256000418" w:history="1">
        <w:r w:rsidR="00A77B3E" w:rsidRPr="00800D1B">
          <w:rPr>
            <w:rStyle w:val="Hyperlnk"/>
            <w:lang w:val="sv-SE"/>
          </w:rPr>
          <w:t>Tabell 7: Dimension 6 – ESF+-sekundärteman</w:t>
        </w:r>
        <w:r w:rsidR="00623E14" w:rsidRPr="00800D1B">
          <w:rPr>
            <w:lang w:val="sv-SE"/>
          </w:rPr>
          <w:tab/>
        </w:r>
        <w:r w:rsidR="00623E14" w:rsidRPr="00800D1B">
          <w:rPr>
            <w:lang w:val="sv-SE"/>
          </w:rPr>
          <w:fldChar w:fldCharType="begin"/>
        </w:r>
        <w:r w:rsidR="00623E14" w:rsidRPr="00800D1B">
          <w:rPr>
            <w:lang w:val="sv-SE"/>
          </w:rPr>
          <w:instrText xml:space="preserve"> PAGEREF _Toc256000418 \h </w:instrText>
        </w:r>
        <w:r w:rsidR="00623E14" w:rsidRPr="00800D1B">
          <w:rPr>
            <w:lang w:val="sv-SE"/>
          </w:rPr>
        </w:r>
        <w:r w:rsidR="00623E14" w:rsidRPr="00800D1B">
          <w:rPr>
            <w:lang w:val="sv-SE"/>
          </w:rPr>
          <w:fldChar w:fldCharType="separate"/>
        </w:r>
        <w:r w:rsidR="00623E14" w:rsidRPr="00800D1B">
          <w:rPr>
            <w:lang w:val="sv-SE"/>
          </w:rPr>
          <w:t>90</w:t>
        </w:r>
        <w:r w:rsidR="00623E14" w:rsidRPr="00800D1B">
          <w:rPr>
            <w:lang w:val="sv-SE"/>
          </w:rPr>
          <w:fldChar w:fldCharType="end"/>
        </w:r>
      </w:hyperlink>
    </w:p>
    <w:p w14:paraId="2D0654A5" w14:textId="77777777" w:rsidR="003422DB" w:rsidRPr="00800D1B" w:rsidRDefault="00000000">
      <w:pPr>
        <w:pStyle w:val="Innehll5"/>
        <w:tabs>
          <w:tab w:val="right" w:leader="dot" w:pos="10240"/>
        </w:tabs>
        <w:rPr>
          <w:rFonts w:ascii="Calibri" w:hAnsi="Calibri"/>
          <w:sz w:val="22"/>
          <w:lang w:val="sv-SE"/>
        </w:rPr>
      </w:pPr>
      <w:hyperlink w:anchor="_Toc256000419" w:history="1">
        <w:r w:rsidR="00A77B3E" w:rsidRPr="00800D1B">
          <w:rPr>
            <w:rStyle w:val="Hyperlnk"/>
            <w:lang w:val="sv-SE"/>
          </w:rPr>
          <w:t>Tabell 8: Dimension 7 – ESF+, Eruf, Sammanhållningsfonden och FRO, jämställdhetsdimensionen</w:t>
        </w:r>
        <w:r w:rsidR="00623E14" w:rsidRPr="00800D1B">
          <w:rPr>
            <w:lang w:val="sv-SE"/>
          </w:rPr>
          <w:tab/>
        </w:r>
        <w:r w:rsidR="00623E14" w:rsidRPr="00800D1B">
          <w:rPr>
            <w:lang w:val="sv-SE"/>
          </w:rPr>
          <w:fldChar w:fldCharType="begin"/>
        </w:r>
        <w:r w:rsidR="00623E14" w:rsidRPr="00800D1B">
          <w:rPr>
            <w:lang w:val="sv-SE"/>
          </w:rPr>
          <w:instrText xml:space="preserve"> PAGEREF _Toc256000419 \h </w:instrText>
        </w:r>
        <w:r w:rsidR="00623E14" w:rsidRPr="00800D1B">
          <w:rPr>
            <w:lang w:val="sv-SE"/>
          </w:rPr>
        </w:r>
        <w:r w:rsidR="00623E14" w:rsidRPr="00800D1B">
          <w:rPr>
            <w:lang w:val="sv-SE"/>
          </w:rPr>
          <w:fldChar w:fldCharType="separate"/>
        </w:r>
        <w:r w:rsidR="00623E14" w:rsidRPr="00800D1B">
          <w:rPr>
            <w:lang w:val="sv-SE"/>
          </w:rPr>
          <w:t>90</w:t>
        </w:r>
        <w:r w:rsidR="00623E14" w:rsidRPr="00800D1B">
          <w:rPr>
            <w:lang w:val="sv-SE"/>
          </w:rPr>
          <w:fldChar w:fldCharType="end"/>
        </w:r>
      </w:hyperlink>
    </w:p>
    <w:p w14:paraId="2D0654A6" w14:textId="77777777" w:rsidR="003422DB" w:rsidRPr="00800D1B" w:rsidRDefault="00000000" w:rsidP="004F0B72">
      <w:pPr>
        <w:pStyle w:val="Innehll4"/>
        <w:rPr>
          <w:rFonts w:ascii="Calibri" w:hAnsi="Calibri"/>
          <w:sz w:val="22"/>
          <w:lang w:val="sv-SE"/>
        </w:rPr>
      </w:pPr>
      <w:hyperlink w:anchor="_Toc256000420" w:history="1">
        <w:r w:rsidR="00A77B3E" w:rsidRPr="00800D1B">
          <w:rPr>
            <w:rStyle w:val="Hyperlnk"/>
            <w:lang w:val="sv-SE"/>
          </w:rPr>
          <w:t>2.1.1.1. Specifikt mål: RSO3.2. Utveckla och förbättra hållbar, klimatresilient, smart och intermodal mobilitet på nationell, regional och lokal nivå, inbegripet förbättrad tillgång till TEN-T och mobilitet över gränserna (Eruf)</w:t>
        </w:r>
        <w:r w:rsidR="00623E14" w:rsidRPr="00800D1B">
          <w:rPr>
            <w:lang w:val="sv-SE"/>
          </w:rPr>
          <w:tab/>
        </w:r>
        <w:r w:rsidR="00623E14" w:rsidRPr="00800D1B">
          <w:rPr>
            <w:lang w:val="sv-SE"/>
          </w:rPr>
          <w:fldChar w:fldCharType="begin"/>
        </w:r>
        <w:r w:rsidR="00623E14" w:rsidRPr="00800D1B">
          <w:rPr>
            <w:lang w:val="sv-SE"/>
          </w:rPr>
          <w:instrText xml:space="preserve"> PAGEREF _Toc256000420 \h </w:instrText>
        </w:r>
        <w:r w:rsidR="00623E14" w:rsidRPr="00800D1B">
          <w:rPr>
            <w:lang w:val="sv-SE"/>
          </w:rPr>
        </w:r>
        <w:r w:rsidR="00623E14" w:rsidRPr="00800D1B">
          <w:rPr>
            <w:lang w:val="sv-SE"/>
          </w:rPr>
          <w:fldChar w:fldCharType="separate"/>
        </w:r>
        <w:r w:rsidR="00623E14" w:rsidRPr="00800D1B">
          <w:rPr>
            <w:lang w:val="sv-SE"/>
          </w:rPr>
          <w:t>92</w:t>
        </w:r>
        <w:r w:rsidR="00623E14" w:rsidRPr="00800D1B">
          <w:rPr>
            <w:lang w:val="sv-SE"/>
          </w:rPr>
          <w:fldChar w:fldCharType="end"/>
        </w:r>
      </w:hyperlink>
    </w:p>
    <w:p w14:paraId="2D0654A7" w14:textId="77777777" w:rsidR="003422DB" w:rsidRPr="00800D1B" w:rsidRDefault="00000000" w:rsidP="004F0B72">
      <w:pPr>
        <w:pStyle w:val="Innehll4"/>
        <w:rPr>
          <w:rFonts w:ascii="Calibri" w:hAnsi="Calibri"/>
          <w:sz w:val="22"/>
          <w:lang w:val="sv-SE"/>
        </w:rPr>
      </w:pPr>
      <w:hyperlink w:anchor="_Toc256000421" w:history="1">
        <w:r w:rsidR="00A77B3E" w:rsidRPr="00800D1B">
          <w:rPr>
            <w:rStyle w:val="Hyperlnk"/>
            <w:lang w:val="sv-SE"/>
          </w:rPr>
          <w:t>2.1.1.1.1. Interventioner inom ramen för fonderna</w:t>
        </w:r>
        <w:r w:rsidR="00623E14" w:rsidRPr="00800D1B">
          <w:rPr>
            <w:lang w:val="sv-SE"/>
          </w:rPr>
          <w:tab/>
        </w:r>
        <w:r w:rsidR="00623E14" w:rsidRPr="00800D1B">
          <w:rPr>
            <w:lang w:val="sv-SE"/>
          </w:rPr>
          <w:fldChar w:fldCharType="begin"/>
        </w:r>
        <w:r w:rsidR="00623E14" w:rsidRPr="00800D1B">
          <w:rPr>
            <w:lang w:val="sv-SE"/>
          </w:rPr>
          <w:instrText xml:space="preserve"> PAGEREF _Toc256000421 \h </w:instrText>
        </w:r>
        <w:r w:rsidR="00623E14" w:rsidRPr="00800D1B">
          <w:rPr>
            <w:lang w:val="sv-SE"/>
          </w:rPr>
        </w:r>
        <w:r w:rsidR="00623E14" w:rsidRPr="00800D1B">
          <w:rPr>
            <w:lang w:val="sv-SE"/>
          </w:rPr>
          <w:fldChar w:fldCharType="separate"/>
        </w:r>
        <w:r w:rsidR="00623E14" w:rsidRPr="00800D1B">
          <w:rPr>
            <w:lang w:val="sv-SE"/>
          </w:rPr>
          <w:t>92</w:t>
        </w:r>
        <w:r w:rsidR="00623E14" w:rsidRPr="00800D1B">
          <w:rPr>
            <w:lang w:val="sv-SE"/>
          </w:rPr>
          <w:fldChar w:fldCharType="end"/>
        </w:r>
      </w:hyperlink>
    </w:p>
    <w:p w14:paraId="2D0654A8" w14:textId="77777777" w:rsidR="003422DB" w:rsidRPr="00800D1B" w:rsidRDefault="00000000">
      <w:pPr>
        <w:pStyle w:val="Innehll5"/>
        <w:tabs>
          <w:tab w:val="right" w:leader="dot" w:pos="10240"/>
        </w:tabs>
        <w:rPr>
          <w:rFonts w:ascii="Calibri" w:hAnsi="Calibri"/>
          <w:sz w:val="22"/>
          <w:lang w:val="sv-SE"/>
        </w:rPr>
      </w:pPr>
      <w:hyperlink w:anchor="_Toc256000422" w:history="1">
        <w:r w:rsidR="00A77B3E" w:rsidRPr="00800D1B">
          <w:rPr>
            <w:rStyle w:val="Hyperlnk"/>
            <w:lang w:val="sv-SE"/>
          </w:rPr>
          <w:t>Relaterade typer av åtgärder – artikel 22.3 d i i förordningen om gemensamma bestämmelser och artikel 6 i ESF+-förordningen</w:t>
        </w:r>
        <w:r w:rsidR="00623E14" w:rsidRPr="00800D1B">
          <w:rPr>
            <w:lang w:val="sv-SE"/>
          </w:rPr>
          <w:tab/>
        </w:r>
        <w:r w:rsidR="00623E14" w:rsidRPr="00800D1B">
          <w:rPr>
            <w:lang w:val="sv-SE"/>
          </w:rPr>
          <w:fldChar w:fldCharType="begin"/>
        </w:r>
        <w:r w:rsidR="00623E14" w:rsidRPr="00800D1B">
          <w:rPr>
            <w:lang w:val="sv-SE"/>
          </w:rPr>
          <w:instrText xml:space="preserve"> PAGEREF _Toc256000422 \h </w:instrText>
        </w:r>
        <w:r w:rsidR="00623E14" w:rsidRPr="00800D1B">
          <w:rPr>
            <w:lang w:val="sv-SE"/>
          </w:rPr>
        </w:r>
        <w:r w:rsidR="00623E14" w:rsidRPr="00800D1B">
          <w:rPr>
            <w:lang w:val="sv-SE"/>
          </w:rPr>
          <w:fldChar w:fldCharType="separate"/>
        </w:r>
        <w:r w:rsidR="00623E14" w:rsidRPr="00800D1B">
          <w:rPr>
            <w:lang w:val="sv-SE"/>
          </w:rPr>
          <w:t>92</w:t>
        </w:r>
        <w:r w:rsidR="00623E14" w:rsidRPr="00800D1B">
          <w:rPr>
            <w:lang w:val="sv-SE"/>
          </w:rPr>
          <w:fldChar w:fldCharType="end"/>
        </w:r>
      </w:hyperlink>
    </w:p>
    <w:p w14:paraId="2D0654A9" w14:textId="77777777" w:rsidR="003422DB" w:rsidRPr="00800D1B" w:rsidRDefault="00000000">
      <w:pPr>
        <w:pStyle w:val="Innehll5"/>
        <w:tabs>
          <w:tab w:val="right" w:leader="dot" w:pos="10240"/>
        </w:tabs>
        <w:rPr>
          <w:rFonts w:ascii="Calibri" w:hAnsi="Calibri"/>
          <w:sz w:val="22"/>
          <w:lang w:val="sv-SE"/>
        </w:rPr>
      </w:pPr>
      <w:hyperlink w:anchor="_Toc256000423" w:history="1">
        <w:r w:rsidR="00A77B3E" w:rsidRPr="00800D1B">
          <w:rPr>
            <w:rStyle w:val="Hyperlnk"/>
            <w:lang w:val="sv-SE"/>
          </w:rPr>
          <w:t>Huvudsakliga målgrupper – artikel 22.3 d iii i förordningen om gemensamma bestämmelser</w:t>
        </w:r>
        <w:r w:rsidR="00623E14" w:rsidRPr="00800D1B">
          <w:rPr>
            <w:lang w:val="sv-SE"/>
          </w:rPr>
          <w:tab/>
        </w:r>
        <w:r w:rsidR="00623E14" w:rsidRPr="00800D1B">
          <w:rPr>
            <w:lang w:val="sv-SE"/>
          </w:rPr>
          <w:fldChar w:fldCharType="begin"/>
        </w:r>
        <w:r w:rsidR="00623E14" w:rsidRPr="00800D1B">
          <w:rPr>
            <w:lang w:val="sv-SE"/>
          </w:rPr>
          <w:instrText xml:space="preserve"> PAGEREF _Toc256000423 \h </w:instrText>
        </w:r>
        <w:r w:rsidR="00623E14" w:rsidRPr="00800D1B">
          <w:rPr>
            <w:lang w:val="sv-SE"/>
          </w:rPr>
        </w:r>
        <w:r w:rsidR="00623E14" w:rsidRPr="00800D1B">
          <w:rPr>
            <w:lang w:val="sv-SE"/>
          </w:rPr>
          <w:fldChar w:fldCharType="separate"/>
        </w:r>
        <w:r w:rsidR="00623E14" w:rsidRPr="00800D1B">
          <w:rPr>
            <w:lang w:val="sv-SE"/>
          </w:rPr>
          <w:t>94</w:t>
        </w:r>
        <w:r w:rsidR="00623E14" w:rsidRPr="00800D1B">
          <w:rPr>
            <w:lang w:val="sv-SE"/>
          </w:rPr>
          <w:fldChar w:fldCharType="end"/>
        </w:r>
      </w:hyperlink>
    </w:p>
    <w:p w14:paraId="2D0654AA" w14:textId="77777777" w:rsidR="003422DB" w:rsidRPr="00800D1B" w:rsidRDefault="00000000">
      <w:pPr>
        <w:pStyle w:val="Innehll5"/>
        <w:tabs>
          <w:tab w:val="right" w:leader="dot" w:pos="10240"/>
        </w:tabs>
        <w:rPr>
          <w:rFonts w:ascii="Calibri" w:hAnsi="Calibri"/>
          <w:sz w:val="22"/>
          <w:lang w:val="sv-SE"/>
        </w:rPr>
      </w:pPr>
      <w:hyperlink w:anchor="_Toc256000424" w:history="1">
        <w:r w:rsidR="00A77B3E" w:rsidRPr="00800D1B">
          <w:rPr>
            <w:rStyle w:val="Hyperlnk"/>
            <w:lang w:val="sv-SE"/>
          </w:rPr>
          <w:t>Åtgärder för säkerställande av jämställdhet, inkludering och icke-diskriminering – artikel 22.3 d iv i förordningen om gemensamma bestämmelser och artikel 6 i ESF+-förordningen</w:t>
        </w:r>
        <w:r w:rsidR="00623E14" w:rsidRPr="00800D1B">
          <w:rPr>
            <w:lang w:val="sv-SE"/>
          </w:rPr>
          <w:tab/>
        </w:r>
        <w:r w:rsidR="00623E14" w:rsidRPr="00800D1B">
          <w:rPr>
            <w:lang w:val="sv-SE"/>
          </w:rPr>
          <w:fldChar w:fldCharType="begin"/>
        </w:r>
        <w:r w:rsidR="00623E14" w:rsidRPr="00800D1B">
          <w:rPr>
            <w:lang w:val="sv-SE"/>
          </w:rPr>
          <w:instrText xml:space="preserve"> PAGEREF _Toc256000424 \h </w:instrText>
        </w:r>
        <w:r w:rsidR="00623E14" w:rsidRPr="00800D1B">
          <w:rPr>
            <w:lang w:val="sv-SE"/>
          </w:rPr>
        </w:r>
        <w:r w:rsidR="00623E14" w:rsidRPr="00800D1B">
          <w:rPr>
            <w:lang w:val="sv-SE"/>
          </w:rPr>
          <w:fldChar w:fldCharType="separate"/>
        </w:r>
        <w:r w:rsidR="00623E14" w:rsidRPr="00800D1B">
          <w:rPr>
            <w:lang w:val="sv-SE"/>
          </w:rPr>
          <w:t>94</w:t>
        </w:r>
        <w:r w:rsidR="00623E14" w:rsidRPr="00800D1B">
          <w:rPr>
            <w:lang w:val="sv-SE"/>
          </w:rPr>
          <w:fldChar w:fldCharType="end"/>
        </w:r>
      </w:hyperlink>
    </w:p>
    <w:p w14:paraId="2D0654AB" w14:textId="77777777" w:rsidR="003422DB" w:rsidRPr="00800D1B" w:rsidRDefault="00000000">
      <w:pPr>
        <w:pStyle w:val="Innehll5"/>
        <w:tabs>
          <w:tab w:val="right" w:leader="dot" w:pos="10240"/>
        </w:tabs>
        <w:rPr>
          <w:rFonts w:ascii="Calibri" w:hAnsi="Calibri"/>
          <w:sz w:val="22"/>
          <w:lang w:val="sv-SE"/>
        </w:rPr>
      </w:pPr>
      <w:hyperlink w:anchor="_Toc256000425" w:history="1">
        <w:r w:rsidR="00A77B3E" w:rsidRPr="00800D1B">
          <w:rPr>
            <w:rStyle w:val="Hyperlnk"/>
            <w:lang w:val="sv-SE"/>
          </w:rPr>
          <w:t>Angivande av de specifika målterritorierna, inbegripet planerad användning av territoriella verktyg – artikel 22.3 d v i förordningen om gemensamma bestämmelser</w:t>
        </w:r>
        <w:r w:rsidR="00623E14" w:rsidRPr="00800D1B">
          <w:rPr>
            <w:lang w:val="sv-SE"/>
          </w:rPr>
          <w:tab/>
        </w:r>
        <w:r w:rsidR="00623E14" w:rsidRPr="00800D1B">
          <w:rPr>
            <w:lang w:val="sv-SE"/>
          </w:rPr>
          <w:fldChar w:fldCharType="begin"/>
        </w:r>
        <w:r w:rsidR="00623E14" w:rsidRPr="00800D1B">
          <w:rPr>
            <w:lang w:val="sv-SE"/>
          </w:rPr>
          <w:instrText xml:space="preserve"> PAGEREF _Toc256000425 \h </w:instrText>
        </w:r>
        <w:r w:rsidR="00623E14" w:rsidRPr="00800D1B">
          <w:rPr>
            <w:lang w:val="sv-SE"/>
          </w:rPr>
        </w:r>
        <w:r w:rsidR="00623E14" w:rsidRPr="00800D1B">
          <w:rPr>
            <w:lang w:val="sv-SE"/>
          </w:rPr>
          <w:fldChar w:fldCharType="separate"/>
        </w:r>
        <w:r w:rsidR="00623E14" w:rsidRPr="00800D1B">
          <w:rPr>
            <w:lang w:val="sv-SE"/>
          </w:rPr>
          <w:t>94</w:t>
        </w:r>
        <w:r w:rsidR="00623E14" w:rsidRPr="00800D1B">
          <w:rPr>
            <w:lang w:val="sv-SE"/>
          </w:rPr>
          <w:fldChar w:fldCharType="end"/>
        </w:r>
      </w:hyperlink>
    </w:p>
    <w:p w14:paraId="2D0654AC" w14:textId="77777777" w:rsidR="003422DB" w:rsidRPr="00800D1B" w:rsidRDefault="00000000">
      <w:pPr>
        <w:pStyle w:val="Innehll5"/>
        <w:tabs>
          <w:tab w:val="right" w:leader="dot" w:pos="10240"/>
        </w:tabs>
        <w:rPr>
          <w:rFonts w:ascii="Calibri" w:hAnsi="Calibri"/>
          <w:sz w:val="22"/>
          <w:lang w:val="sv-SE"/>
        </w:rPr>
      </w:pPr>
      <w:hyperlink w:anchor="_Toc256000426" w:history="1">
        <w:r w:rsidR="00A77B3E" w:rsidRPr="00800D1B">
          <w:rPr>
            <w:rStyle w:val="Hyperlnk"/>
            <w:lang w:val="sv-SE"/>
          </w:rPr>
          <w:t>Interregionala, gränsregionala och transnationella åtgärder – artikel 22.3 d vi i förordningen om gemensamma bestämmelser</w:t>
        </w:r>
        <w:r w:rsidR="00623E14" w:rsidRPr="00800D1B">
          <w:rPr>
            <w:lang w:val="sv-SE"/>
          </w:rPr>
          <w:tab/>
        </w:r>
        <w:r w:rsidR="00623E14" w:rsidRPr="00800D1B">
          <w:rPr>
            <w:lang w:val="sv-SE"/>
          </w:rPr>
          <w:fldChar w:fldCharType="begin"/>
        </w:r>
        <w:r w:rsidR="00623E14" w:rsidRPr="00800D1B">
          <w:rPr>
            <w:lang w:val="sv-SE"/>
          </w:rPr>
          <w:instrText xml:space="preserve"> PAGEREF _Toc256000426 \h </w:instrText>
        </w:r>
        <w:r w:rsidR="00623E14" w:rsidRPr="00800D1B">
          <w:rPr>
            <w:lang w:val="sv-SE"/>
          </w:rPr>
        </w:r>
        <w:r w:rsidR="00623E14" w:rsidRPr="00800D1B">
          <w:rPr>
            <w:lang w:val="sv-SE"/>
          </w:rPr>
          <w:fldChar w:fldCharType="separate"/>
        </w:r>
        <w:r w:rsidR="00623E14" w:rsidRPr="00800D1B">
          <w:rPr>
            <w:lang w:val="sv-SE"/>
          </w:rPr>
          <w:t>95</w:t>
        </w:r>
        <w:r w:rsidR="00623E14" w:rsidRPr="00800D1B">
          <w:rPr>
            <w:lang w:val="sv-SE"/>
          </w:rPr>
          <w:fldChar w:fldCharType="end"/>
        </w:r>
      </w:hyperlink>
    </w:p>
    <w:p w14:paraId="2D0654AD" w14:textId="77777777" w:rsidR="003422DB" w:rsidRPr="00800D1B" w:rsidRDefault="00000000">
      <w:pPr>
        <w:pStyle w:val="Innehll5"/>
        <w:tabs>
          <w:tab w:val="right" w:leader="dot" w:pos="10240"/>
        </w:tabs>
        <w:rPr>
          <w:rFonts w:ascii="Calibri" w:hAnsi="Calibri"/>
          <w:sz w:val="22"/>
          <w:lang w:val="sv-SE"/>
        </w:rPr>
      </w:pPr>
      <w:hyperlink w:anchor="_Toc256000427" w:history="1">
        <w:r w:rsidR="00A77B3E" w:rsidRPr="00800D1B">
          <w:rPr>
            <w:rStyle w:val="Hyperlnk"/>
            <w:lang w:val="sv-SE"/>
          </w:rPr>
          <w:t>Planerad användning av finansieringsinstrument – artikel 22.3 d vii i förordningen om gemensamma bestämmelser</w:t>
        </w:r>
        <w:r w:rsidR="00623E14" w:rsidRPr="00800D1B">
          <w:rPr>
            <w:lang w:val="sv-SE"/>
          </w:rPr>
          <w:tab/>
        </w:r>
        <w:r w:rsidR="00623E14" w:rsidRPr="00800D1B">
          <w:rPr>
            <w:lang w:val="sv-SE"/>
          </w:rPr>
          <w:fldChar w:fldCharType="begin"/>
        </w:r>
        <w:r w:rsidR="00623E14" w:rsidRPr="00800D1B">
          <w:rPr>
            <w:lang w:val="sv-SE"/>
          </w:rPr>
          <w:instrText xml:space="preserve"> PAGEREF _Toc256000427 \h </w:instrText>
        </w:r>
        <w:r w:rsidR="00623E14" w:rsidRPr="00800D1B">
          <w:rPr>
            <w:lang w:val="sv-SE"/>
          </w:rPr>
        </w:r>
        <w:r w:rsidR="00623E14" w:rsidRPr="00800D1B">
          <w:rPr>
            <w:lang w:val="sv-SE"/>
          </w:rPr>
          <w:fldChar w:fldCharType="separate"/>
        </w:r>
        <w:r w:rsidR="00623E14" w:rsidRPr="00800D1B">
          <w:rPr>
            <w:lang w:val="sv-SE"/>
          </w:rPr>
          <w:t>95</w:t>
        </w:r>
        <w:r w:rsidR="00623E14" w:rsidRPr="00800D1B">
          <w:rPr>
            <w:lang w:val="sv-SE"/>
          </w:rPr>
          <w:fldChar w:fldCharType="end"/>
        </w:r>
      </w:hyperlink>
    </w:p>
    <w:p w14:paraId="2D0654AE" w14:textId="77777777" w:rsidR="003422DB" w:rsidRPr="00800D1B" w:rsidRDefault="00000000" w:rsidP="004F0B72">
      <w:pPr>
        <w:pStyle w:val="Innehll4"/>
        <w:rPr>
          <w:rFonts w:ascii="Calibri" w:hAnsi="Calibri"/>
          <w:sz w:val="22"/>
          <w:lang w:val="sv-SE"/>
        </w:rPr>
      </w:pPr>
      <w:hyperlink w:anchor="_Toc256000428" w:history="1">
        <w:r w:rsidR="00A77B3E" w:rsidRPr="00800D1B">
          <w:rPr>
            <w:rStyle w:val="Hyperlnk"/>
            <w:lang w:val="sv-SE"/>
          </w:rPr>
          <w:t>2.1.1.1.2. Indikatorer</w:t>
        </w:r>
        <w:r w:rsidR="00623E14" w:rsidRPr="00800D1B">
          <w:rPr>
            <w:lang w:val="sv-SE"/>
          </w:rPr>
          <w:tab/>
        </w:r>
        <w:r w:rsidR="00623E14" w:rsidRPr="00800D1B">
          <w:rPr>
            <w:lang w:val="sv-SE"/>
          </w:rPr>
          <w:fldChar w:fldCharType="begin"/>
        </w:r>
        <w:r w:rsidR="00623E14" w:rsidRPr="00800D1B">
          <w:rPr>
            <w:lang w:val="sv-SE"/>
          </w:rPr>
          <w:instrText xml:space="preserve"> PAGEREF _Toc256000428 \h </w:instrText>
        </w:r>
        <w:r w:rsidR="00623E14" w:rsidRPr="00800D1B">
          <w:rPr>
            <w:lang w:val="sv-SE"/>
          </w:rPr>
        </w:r>
        <w:r w:rsidR="00623E14" w:rsidRPr="00800D1B">
          <w:rPr>
            <w:lang w:val="sv-SE"/>
          </w:rPr>
          <w:fldChar w:fldCharType="separate"/>
        </w:r>
        <w:r w:rsidR="00623E14" w:rsidRPr="00800D1B">
          <w:rPr>
            <w:lang w:val="sv-SE"/>
          </w:rPr>
          <w:t>95</w:t>
        </w:r>
        <w:r w:rsidR="00623E14" w:rsidRPr="00800D1B">
          <w:rPr>
            <w:lang w:val="sv-SE"/>
          </w:rPr>
          <w:fldChar w:fldCharType="end"/>
        </w:r>
      </w:hyperlink>
    </w:p>
    <w:p w14:paraId="2D0654AF" w14:textId="77777777" w:rsidR="003422DB" w:rsidRPr="00800D1B" w:rsidRDefault="00000000">
      <w:pPr>
        <w:pStyle w:val="Innehll5"/>
        <w:tabs>
          <w:tab w:val="right" w:leader="dot" w:pos="10240"/>
        </w:tabs>
        <w:rPr>
          <w:rFonts w:ascii="Calibri" w:hAnsi="Calibri"/>
          <w:sz w:val="22"/>
          <w:lang w:val="sv-SE"/>
        </w:rPr>
      </w:pPr>
      <w:hyperlink w:anchor="_Toc256000429" w:history="1">
        <w:r w:rsidR="00A77B3E" w:rsidRPr="00800D1B">
          <w:rPr>
            <w:rStyle w:val="Hyperlnk"/>
            <w:lang w:val="sv-SE"/>
          </w:rPr>
          <w:t>Tabell 2: Utfallsindikatorer</w:t>
        </w:r>
        <w:r w:rsidR="00623E14" w:rsidRPr="00800D1B">
          <w:rPr>
            <w:lang w:val="sv-SE"/>
          </w:rPr>
          <w:tab/>
        </w:r>
        <w:r w:rsidR="00623E14" w:rsidRPr="00800D1B">
          <w:rPr>
            <w:lang w:val="sv-SE"/>
          </w:rPr>
          <w:fldChar w:fldCharType="begin"/>
        </w:r>
        <w:r w:rsidR="00623E14" w:rsidRPr="00800D1B">
          <w:rPr>
            <w:lang w:val="sv-SE"/>
          </w:rPr>
          <w:instrText xml:space="preserve"> PAGEREF _Toc256000429 \h </w:instrText>
        </w:r>
        <w:r w:rsidR="00623E14" w:rsidRPr="00800D1B">
          <w:rPr>
            <w:lang w:val="sv-SE"/>
          </w:rPr>
        </w:r>
        <w:r w:rsidR="00623E14" w:rsidRPr="00800D1B">
          <w:rPr>
            <w:lang w:val="sv-SE"/>
          </w:rPr>
          <w:fldChar w:fldCharType="separate"/>
        </w:r>
        <w:r w:rsidR="00623E14" w:rsidRPr="00800D1B">
          <w:rPr>
            <w:lang w:val="sv-SE"/>
          </w:rPr>
          <w:t>95</w:t>
        </w:r>
        <w:r w:rsidR="00623E14" w:rsidRPr="00800D1B">
          <w:rPr>
            <w:lang w:val="sv-SE"/>
          </w:rPr>
          <w:fldChar w:fldCharType="end"/>
        </w:r>
      </w:hyperlink>
    </w:p>
    <w:p w14:paraId="2D0654B0" w14:textId="77777777" w:rsidR="003422DB" w:rsidRPr="00800D1B" w:rsidRDefault="00000000">
      <w:pPr>
        <w:pStyle w:val="Innehll5"/>
        <w:tabs>
          <w:tab w:val="right" w:leader="dot" w:pos="10240"/>
        </w:tabs>
        <w:rPr>
          <w:rFonts w:ascii="Calibri" w:hAnsi="Calibri"/>
          <w:sz w:val="22"/>
          <w:lang w:val="sv-SE"/>
        </w:rPr>
      </w:pPr>
      <w:hyperlink w:anchor="_Toc256000430" w:history="1">
        <w:r w:rsidR="00A77B3E" w:rsidRPr="00800D1B">
          <w:rPr>
            <w:rStyle w:val="Hyperlnk"/>
            <w:lang w:val="sv-SE"/>
          </w:rPr>
          <w:t>Tabell 3: Resultatindikatorer</w:t>
        </w:r>
        <w:r w:rsidR="00623E14" w:rsidRPr="00800D1B">
          <w:rPr>
            <w:lang w:val="sv-SE"/>
          </w:rPr>
          <w:tab/>
        </w:r>
        <w:r w:rsidR="00623E14" w:rsidRPr="00800D1B">
          <w:rPr>
            <w:lang w:val="sv-SE"/>
          </w:rPr>
          <w:fldChar w:fldCharType="begin"/>
        </w:r>
        <w:r w:rsidR="00623E14" w:rsidRPr="00800D1B">
          <w:rPr>
            <w:lang w:val="sv-SE"/>
          </w:rPr>
          <w:instrText xml:space="preserve"> PAGEREF _Toc256000430 \h </w:instrText>
        </w:r>
        <w:r w:rsidR="00623E14" w:rsidRPr="00800D1B">
          <w:rPr>
            <w:lang w:val="sv-SE"/>
          </w:rPr>
        </w:r>
        <w:r w:rsidR="00623E14" w:rsidRPr="00800D1B">
          <w:rPr>
            <w:lang w:val="sv-SE"/>
          </w:rPr>
          <w:fldChar w:fldCharType="separate"/>
        </w:r>
        <w:r w:rsidR="00623E14" w:rsidRPr="00800D1B">
          <w:rPr>
            <w:lang w:val="sv-SE"/>
          </w:rPr>
          <w:t>96</w:t>
        </w:r>
        <w:r w:rsidR="00623E14" w:rsidRPr="00800D1B">
          <w:rPr>
            <w:lang w:val="sv-SE"/>
          </w:rPr>
          <w:fldChar w:fldCharType="end"/>
        </w:r>
      </w:hyperlink>
    </w:p>
    <w:p w14:paraId="2D0654B1" w14:textId="77777777" w:rsidR="003422DB" w:rsidRPr="00800D1B" w:rsidRDefault="00000000" w:rsidP="004F0B72">
      <w:pPr>
        <w:pStyle w:val="Innehll4"/>
        <w:rPr>
          <w:rFonts w:ascii="Calibri" w:hAnsi="Calibri"/>
          <w:sz w:val="22"/>
          <w:lang w:val="sv-SE"/>
        </w:rPr>
      </w:pPr>
      <w:hyperlink w:anchor="_Toc256000431" w:history="1">
        <w:r w:rsidR="00A77B3E" w:rsidRPr="00800D1B">
          <w:rPr>
            <w:rStyle w:val="Hyperlnk"/>
            <w:lang w:val="sv-SE"/>
          </w:rPr>
          <w:t>2.1.1.1.3. Preliminär fördelning av anslagna (EU-)medel efter interventionstyp</w:t>
        </w:r>
        <w:r w:rsidR="00623E14" w:rsidRPr="00800D1B">
          <w:rPr>
            <w:lang w:val="sv-SE"/>
          </w:rPr>
          <w:tab/>
        </w:r>
        <w:r w:rsidR="00623E14" w:rsidRPr="00800D1B">
          <w:rPr>
            <w:lang w:val="sv-SE"/>
          </w:rPr>
          <w:fldChar w:fldCharType="begin"/>
        </w:r>
        <w:r w:rsidR="00623E14" w:rsidRPr="00800D1B">
          <w:rPr>
            <w:lang w:val="sv-SE"/>
          </w:rPr>
          <w:instrText xml:space="preserve"> PAGEREF _Toc256000431 \h </w:instrText>
        </w:r>
        <w:r w:rsidR="00623E14" w:rsidRPr="00800D1B">
          <w:rPr>
            <w:lang w:val="sv-SE"/>
          </w:rPr>
        </w:r>
        <w:r w:rsidR="00623E14" w:rsidRPr="00800D1B">
          <w:rPr>
            <w:lang w:val="sv-SE"/>
          </w:rPr>
          <w:fldChar w:fldCharType="separate"/>
        </w:r>
        <w:r w:rsidR="00623E14" w:rsidRPr="00800D1B">
          <w:rPr>
            <w:lang w:val="sv-SE"/>
          </w:rPr>
          <w:t>96</w:t>
        </w:r>
        <w:r w:rsidR="00623E14" w:rsidRPr="00800D1B">
          <w:rPr>
            <w:lang w:val="sv-SE"/>
          </w:rPr>
          <w:fldChar w:fldCharType="end"/>
        </w:r>
      </w:hyperlink>
    </w:p>
    <w:p w14:paraId="2D0654B2" w14:textId="77777777" w:rsidR="003422DB" w:rsidRPr="00800D1B" w:rsidRDefault="00000000">
      <w:pPr>
        <w:pStyle w:val="Innehll5"/>
        <w:tabs>
          <w:tab w:val="right" w:leader="dot" w:pos="10240"/>
        </w:tabs>
        <w:rPr>
          <w:rFonts w:ascii="Calibri" w:hAnsi="Calibri"/>
          <w:sz w:val="22"/>
          <w:lang w:val="sv-SE"/>
        </w:rPr>
      </w:pPr>
      <w:hyperlink w:anchor="_Toc256000432" w:history="1">
        <w:r w:rsidR="00A77B3E" w:rsidRPr="00800D1B">
          <w:rPr>
            <w:rStyle w:val="Hyperlnk"/>
            <w:lang w:val="sv-SE"/>
          </w:rPr>
          <w:t>Tabell 4: Dimension 1 – interventionsområde</w:t>
        </w:r>
        <w:r w:rsidR="00623E14" w:rsidRPr="00800D1B">
          <w:rPr>
            <w:lang w:val="sv-SE"/>
          </w:rPr>
          <w:tab/>
        </w:r>
        <w:r w:rsidR="00623E14" w:rsidRPr="00800D1B">
          <w:rPr>
            <w:lang w:val="sv-SE"/>
          </w:rPr>
          <w:fldChar w:fldCharType="begin"/>
        </w:r>
        <w:r w:rsidR="00623E14" w:rsidRPr="00800D1B">
          <w:rPr>
            <w:lang w:val="sv-SE"/>
          </w:rPr>
          <w:instrText xml:space="preserve"> PAGEREF _Toc256000432 \h </w:instrText>
        </w:r>
        <w:r w:rsidR="00623E14" w:rsidRPr="00800D1B">
          <w:rPr>
            <w:lang w:val="sv-SE"/>
          </w:rPr>
        </w:r>
        <w:r w:rsidR="00623E14" w:rsidRPr="00800D1B">
          <w:rPr>
            <w:lang w:val="sv-SE"/>
          </w:rPr>
          <w:fldChar w:fldCharType="separate"/>
        </w:r>
        <w:r w:rsidR="00623E14" w:rsidRPr="00800D1B">
          <w:rPr>
            <w:lang w:val="sv-SE"/>
          </w:rPr>
          <w:t>96</w:t>
        </w:r>
        <w:r w:rsidR="00623E14" w:rsidRPr="00800D1B">
          <w:rPr>
            <w:lang w:val="sv-SE"/>
          </w:rPr>
          <w:fldChar w:fldCharType="end"/>
        </w:r>
      </w:hyperlink>
    </w:p>
    <w:p w14:paraId="2D0654B3" w14:textId="77777777" w:rsidR="003422DB" w:rsidRPr="00800D1B" w:rsidRDefault="00000000">
      <w:pPr>
        <w:pStyle w:val="Innehll5"/>
        <w:tabs>
          <w:tab w:val="right" w:leader="dot" w:pos="10240"/>
        </w:tabs>
        <w:rPr>
          <w:rFonts w:ascii="Calibri" w:hAnsi="Calibri"/>
          <w:sz w:val="22"/>
          <w:lang w:val="sv-SE"/>
        </w:rPr>
      </w:pPr>
      <w:hyperlink w:anchor="_Toc256000433" w:history="1">
        <w:r w:rsidR="00A77B3E" w:rsidRPr="00800D1B">
          <w:rPr>
            <w:rStyle w:val="Hyperlnk"/>
            <w:lang w:val="sv-SE"/>
          </w:rPr>
          <w:t>Tabell 5: Dimension 2 – finansieringsform</w:t>
        </w:r>
        <w:r w:rsidR="00623E14" w:rsidRPr="00800D1B">
          <w:rPr>
            <w:lang w:val="sv-SE"/>
          </w:rPr>
          <w:tab/>
        </w:r>
        <w:r w:rsidR="00623E14" w:rsidRPr="00800D1B">
          <w:rPr>
            <w:lang w:val="sv-SE"/>
          </w:rPr>
          <w:fldChar w:fldCharType="begin"/>
        </w:r>
        <w:r w:rsidR="00623E14" w:rsidRPr="00800D1B">
          <w:rPr>
            <w:lang w:val="sv-SE"/>
          </w:rPr>
          <w:instrText xml:space="preserve"> PAGEREF _Toc256000433 \h </w:instrText>
        </w:r>
        <w:r w:rsidR="00623E14" w:rsidRPr="00800D1B">
          <w:rPr>
            <w:lang w:val="sv-SE"/>
          </w:rPr>
        </w:r>
        <w:r w:rsidR="00623E14" w:rsidRPr="00800D1B">
          <w:rPr>
            <w:lang w:val="sv-SE"/>
          </w:rPr>
          <w:fldChar w:fldCharType="separate"/>
        </w:r>
        <w:r w:rsidR="00623E14" w:rsidRPr="00800D1B">
          <w:rPr>
            <w:lang w:val="sv-SE"/>
          </w:rPr>
          <w:t>96</w:t>
        </w:r>
        <w:r w:rsidR="00623E14" w:rsidRPr="00800D1B">
          <w:rPr>
            <w:lang w:val="sv-SE"/>
          </w:rPr>
          <w:fldChar w:fldCharType="end"/>
        </w:r>
      </w:hyperlink>
    </w:p>
    <w:p w14:paraId="2D0654B4" w14:textId="77777777" w:rsidR="003422DB" w:rsidRPr="00800D1B" w:rsidRDefault="00000000">
      <w:pPr>
        <w:pStyle w:val="Innehll5"/>
        <w:tabs>
          <w:tab w:val="right" w:leader="dot" w:pos="10240"/>
        </w:tabs>
        <w:rPr>
          <w:rFonts w:ascii="Calibri" w:hAnsi="Calibri"/>
          <w:sz w:val="22"/>
          <w:lang w:val="sv-SE"/>
        </w:rPr>
      </w:pPr>
      <w:hyperlink w:anchor="_Toc256000434" w:history="1">
        <w:r w:rsidR="00A77B3E" w:rsidRPr="00800D1B">
          <w:rPr>
            <w:rStyle w:val="Hyperlnk"/>
            <w:lang w:val="sv-SE"/>
          </w:rPr>
          <w:t>Tabell 6: Dimension 3 – territoriell genomförandemetod och territoriellt fokus</w:t>
        </w:r>
        <w:r w:rsidR="00623E14" w:rsidRPr="00800D1B">
          <w:rPr>
            <w:lang w:val="sv-SE"/>
          </w:rPr>
          <w:tab/>
        </w:r>
        <w:r w:rsidR="00623E14" w:rsidRPr="00800D1B">
          <w:rPr>
            <w:lang w:val="sv-SE"/>
          </w:rPr>
          <w:fldChar w:fldCharType="begin"/>
        </w:r>
        <w:r w:rsidR="00623E14" w:rsidRPr="00800D1B">
          <w:rPr>
            <w:lang w:val="sv-SE"/>
          </w:rPr>
          <w:instrText xml:space="preserve"> PAGEREF _Toc256000434 \h </w:instrText>
        </w:r>
        <w:r w:rsidR="00623E14" w:rsidRPr="00800D1B">
          <w:rPr>
            <w:lang w:val="sv-SE"/>
          </w:rPr>
        </w:r>
        <w:r w:rsidR="00623E14" w:rsidRPr="00800D1B">
          <w:rPr>
            <w:lang w:val="sv-SE"/>
          </w:rPr>
          <w:fldChar w:fldCharType="separate"/>
        </w:r>
        <w:r w:rsidR="00623E14" w:rsidRPr="00800D1B">
          <w:rPr>
            <w:lang w:val="sv-SE"/>
          </w:rPr>
          <w:t>97</w:t>
        </w:r>
        <w:r w:rsidR="00623E14" w:rsidRPr="00800D1B">
          <w:rPr>
            <w:lang w:val="sv-SE"/>
          </w:rPr>
          <w:fldChar w:fldCharType="end"/>
        </w:r>
      </w:hyperlink>
    </w:p>
    <w:p w14:paraId="2D0654B5" w14:textId="77777777" w:rsidR="003422DB" w:rsidRPr="00800D1B" w:rsidRDefault="00000000">
      <w:pPr>
        <w:pStyle w:val="Innehll5"/>
        <w:tabs>
          <w:tab w:val="right" w:leader="dot" w:pos="10240"/>
        </w:tabs>
        <w:rPr>
          <w:rFonts w:ascii="Calibri" w:hAnsi="Calibri"/>
          <w:sz w:val="22"/>
          <w:lang w:val="sv-SE"/>
        </w:rPr>
      </w:pPr>
      <w:hyperlink w:anchor="_Toc256000435" w:history="1">
        <w:r w:rsidR="00A77B3E" w:rsidRPr="00800D1B">
          <w:rPr>
            <w:rStyle w:val="Hyperlnk"/>
            <w:lang w:val="sv-SE"/>
          </w:rPr>
          <w:t>Tabell 7: Dimension 6 – ESF+-sekundärteman</w:t>
        </w:r>
        <w:r w:rsidR="00623E14" w:rsidRPr="00800D1B">
          <w:rPr>
            <w:lang w:val="sv-SE"/>
          </w:rPr>
          <w:tab/>
        </w:r>
        <w:r w:rsidR="00623E14" w:rsidRPr="00800D1B">
          <w:rPr>
            <w:lang w:val="sv-SE"/>
          </w:rPr>
          <w:fldChar w:fldCharType="begin"/>
        </w:r>
        <w:r w:rsidR="00623E14" w:rsidRPr="00800D1B">
          <w:rPr>
            <w:lang w:val="sv-SE"/>
          </w:rPr>
          <w:instrText xml:space="preserve"> PAGEREF _Toc256000435 \h </w:instrText>
        </w:r>
        <w:r w:rsidR="00623E14" w:rsidRPr="00800D1B">
          <w:rPr>
            <w:lang w:val="sv-SE"/>
          </w:rPr>
        </w:r>
        <w:r w:rsidR="00623E14" w:rsidRPr="00800D1B">
          <w:rPr>
            <w:lang w:val="sv-SE"/>
          </w:rPr>
          <w:fldChar w:fldCharType="separate"/>
        </w:r>
        <w:r w:rsidR="00623E14" w:rsidRPr="00800D1B">
          <w:rPr>
            <w:lang w:val="sv-SE"/>
          </w:rPr>
          <w:t>97</w:t>
        </w:r>
        <w:r w:rsidR="00623E14" w:rsidRPr="00800D1B">
          <w:rPr>
            <w:lang w:val="sv-SE"/>
          </w:rPr>
          <w:fldChar w:fldCharType="end"/>
        </w:r>
      </w:hyperlink>
    </w:p>
    <w:p w14:paraId="2D0654B6" w14:textId="77777777" w:rsidR="003422DB" w:rsidRPr="00800D1B" w:rsidRDefault="00000000">
      <w:pPr>
        <w:pStyle w:val="Innehll5"/>
        <w:tabs>
          <w:tab w:val="right" w:leader="dot" w:pos="10240"/>
        </w:tabs>
        <w:rPr>
          <w:rFonts w:ascii="Calibri" w:hAnsi="Calibri"/>
          <w:sz w:val="22"/>
          <w:lang w:val="sv-SE"/>
        </w:rPr>
      </w:pPr>
      <w:hyperlink w:anchor="_Toc256000436" w:history="1">
        <w:r w:rsidR="00A77B3E" w:rsidRPr="00800D1B">
          <w:rPr>
            <w:rStyle w:val="Hyperlnk"/>
            <w:lang w:val="sv-SE"/>
          </w:rPr>
          <w:t>Tabell 8: Dimension 7 – ESF+, Eruf, Sammanhållningsfonden och FRO, jämställdhetsdimensionen</w:t>
        </w:r>
        <w:r w:rsidR="00623E14" w:rsidRPr="00800D1B">
          <w:rPr>
            <w:lang w:val="sv-SE"/>
          </w:rPr>
          <w:tab/>
        </w:r>
        <w:r w:rsidR="00623E14" w:rsidRPr="00800D1B">
          <w:rPr>
            <w:lang w:val="sv-SE"/>
          </w:rPr>
          <w:fldChar w:fldCharType="begin"/>
        </w:r>
        <w:r w:rsidR="00623E14" w:rsidRPr="00800D1B">
          <w:rPr>
            <w:lang w:val="sv-SE"/>
          </w:rPr>
          <w:instrText xml:space="preserve"> PAGEREF _Toc256000436 \h </w:instrText>
        </w:r>
        <w:r w:rsidR="00623E14" w:rsidRPr="00800D1B">
          <w:rPr>
            <w:lang w:val="sv-SE"/>
          </w:rPr>
        </w:r>
        <w:r w:rsidR="00623E14" w:rsidRPr="00800D1B">
          <w:rPr>
            <w:lang w:val="sv-SE"/>
          </w:rPr>
          <w:fldChar w:fldCharType="separate"/>
        </w:r>
        <w:r w:rsidR="00623E14" w:rsidRPr="00800D1B">
          <w:rPr>
            <w:lang w:val="sv-SE"/>
          </w:rPr>
          <w:t>97</w:t>
        </w:r>
        <w:r w:rsidR="00623E14" w:rsidRPr="00800D1B">
          <w:rPr>
            <w:lang w:val="sv-SE"/>
          </w:rPr>
          <w:fldChar w:fldCharType="end"/>
        </w:r>
      </w:hyperlink>
    </w:p>
    <w:p w14:paraId="2D0654B7" w14:textId="77777777" w:rsidR="003422DB" w:rsidRPr="00800D1B" w:rsidRDefault="00000000">
      <w:pPr>
        <w:pStyle w:val="Innehll2"/>
        <w:tabs>
          <w:tab w:val="right" w:leader="dot" w:pos="10240"/>
        </w:tabs>
        <w:rPr>
          <w:rFonts w:ascii="Calibri" w:hAnsi="Calibri"/>
          <w:sz w:val="22"/>
          <w:lang w:val="sv-SE"/>
        </w:rPr>
      </w:pPr>
      <w:hyperlink w:anchor="_Toc256000437" w:history="1">
        <w:r w:rsidR="00A77B3E" w:rsidRPr="00800D1B">
          <w:rPr>
            <w:rStyle w:val="Hyperlnk"/>
            <w:lang w:val="sv-SE"/>
          </w:rPr>
          <w:t>2.2. Prioriteringar för tekniskt bistånd</w:t>
        </w:r>
        <w:r w:rsidR="00623E14" w:rsidRPr="00800D1B">
          <w:rPr>
            <w:lang w:val="sv-SE"/>
          </w:rPr>
          <w:tab/>
        </w:r>
        <w:r w:rsidR="00623E14" w:rsidRPr="00800D1B">
          <w:rPr>
            <w:lang w:val="sv-SE"/>
          </w:rPr>
          <w:fldChar w:fldCharType="begin"/>
        </w:r>
        <w:r w:rsidR="00623E14" w:rsidRPr="00800D1B">
          <w:rPr>
            <w:lang w:val="sv-SE"/>
          </w:rPr>
          <w:instrText xml:space="preserve"> PAGEREF _Toc256000437 \h </w:instrText>
        </w:r>
        <w:r w:rsidR="00623E14" w:rsidRPr="00800D1B">
          <w:rPr>
            <w:lang w:val="sv-SE"/>
          </w:rPr>
        </w:r>
        <w:r w:rsidR="00623E14" w:rsidRPr="00800D1B">
          <w:rPr>
            <w:lang w:val="sv-SE"/>
          </w:rPr>
          <w:fldChar w:fldCharType="separate"/>
        </w:r>
        <w:r w:rsidR="00623E14" w:rsidRPr="00800D1B">
          <w:rPr>
            <w:lang w:val="sv-SE"/>
          </w:rPr>
          <w:t>98</w:t>
        </w:r>
        <w:r w:rsidR="00623E14" w:rsidRPr="00800D1B">
          <w:rPr>
            <w:lang w:val="sv-SE"/>
          </w:rPr>
          <w:fldChar w:fldCharType="end"/>
        </w:r>
      </w:hyperlink>
    </w:p>
    <w:p w14:paraId="2D0654B8" w14:textId="77777777" w:rsidR="003422DB" w:rsidRPr="00800D1B" w:rsidRDefault="00000000">
      <w:pPr>
        <w:pStyle w:val="Innehll1"/>
        <w:tabs>
          <w:tab w:val="right" w:leader="dot" w:pos="10240"/>
        </w:tabs>
        <w:rPr>
          <w:rFonts w:ascii="Calibri" w:hAnsi="Calibri"/>
          <w:sz w:val="22"/>
          <w:lang w:val="sv-SE"/>
        </w:rPr>
      </w:pPr>
      <w:hyperlink w:anchor="_Toc256000438" w:history="1">
        <w:r w:rsidR="00A77B3E" w:rsidRPr="00800D1B">
          <w:rPr>
            <w:rStyle w:val="Hyperlnk"/>
            <w:lang w:val="sv-SE"/>
          </w:rPr>
          <w:t>3. Finansieringsplan</w:t>
        </w:r>
        <w:r w:rsidR="00623E14" w:rsidRPr="00800D1B">
          <w:rPr>
            <w:lang w:val="sv-SE"/>
          </w:rPr>
          <w:tab/>
        </w:r>
        <w:r w:rsidR="00623E14" w:rsidRPr="00800D1B">
          <w:rPr>
            <w:lang w:val="sv-SE"/>
          </w:rPr>
          <w:fldChar w:fldCharType="begin"/>
        </w:r>
        <w:r w:rsidR="00623E14" w:rsidRPr="00800D1B">
          <w:rPr>
            <w:lang w:val="sv-SE"/>
          </w:rPr>
          <w:instrText xml:space="preserve"> PAGEREF _Toc256000438 \h </w:instrText>
        </w:r>
        <w:r w:rsidR="00623E14" w:rsidRPr="00800D1B">
          <w:rPr>
            <w:lang w:val="sv-SE"/>
          </w:rPr>
        </w:r>
        <w:r w:rsidR="00623E14" w:rsidRPr="00800D1B">
          <w:rPr>
            <w:lang w:val="sv-SE"/>
          </w:rPr>
          <w:fldChar w:fldCharType="separate"/>
        </w:r>
        <w:r w:rsidR="00623E14" w:rsidRPr="00800D1B">
          <w:rPr>
            <w:lang w:val="sv-SE"/>
          </w:rPr>
          <w:t>99</w:t>
        </w:r>
        <w:r w:rsidR="00623E14" w:rsidRPr="00800D1B">
          <w:rPr>
            <w:lang w:val="sv-SE"/>
          </w:rPr>
          <w:fldChar w:fldCharType="end"/>
        </w:r>
      </w:hyperlink>
    </w:p>
    <w:p w14:paraId="2D0654B9" w14:textId="77777777" w:rsidR="003422DB" w:rsidRPr="00800D1B" w:rsidRDefault="00000000">
      <w:pPr>
        <w:pStyle w:val="Innehll2"/>
        <w:tabs>
          <w:tab w:val="right" w:leader="dot" w:pos="10240"/>
        </w:tabs>
        <w:rPr>
          <w:rFonts w:ascii="Calibri" w:hAnsi="Calibri"/>
          <w:sz w:val="22"/>
          <w:lang w:val="sv-SE"/>
        </w:rPr>
      </w:pPr>
      <w:hyperlink w:anchor="_Toc256000439" w:history="1">
        <w:r w:rsidR="00A77B3E" w:rsidRPr="00800D1B">
          <w:rPr>
            <w:rStyle w:val="Hyperlnk"/>
            <w:lang w:val="sv-SE"/>
          </w:rPr>
          <w:t>3.1. Överföringar och bidrag (1)</w:t>
        </w:r>
        <w:r w:rsidR="00623E14" w:rsidRPr="00800D1B">
          <w:rPr>
            <w:lang w:val="sv-SE"/>
          </w:rPr>
          <w:tab/>
        </w:r>
        <w:r w:rsidR="00623E14" w:rsidRPr="00800D1B">
          <w:rPr>
            <w:lang w:val="sv-SE"/>
          </w:rPr>
          <w:fldChar w:fldCharType="begin"/>
        </w:r>
        <w:r w:rsidR="00623E14" w:rsidRPr="00800D1B">
          <w:rPr>
            <w:lang w:val="sv-SE"/>
          </w:rPr>
          <w:instrText xml:space="preserve"> PAGEREF _Toc256000439 \h </w:instrText>
        </w:r>
        <w:r w:rsidR="00623E14" w:rsidRPr="00800D1B">
          <w:rPr>
            <w:lang w:val="sv-SE"/>
          </w:rPr>
        </w:r>
        <w:r w:rsidR="00623E14" w:rsidRPr="00800D1B">
          <w:rPr>
            <w:lang w:val="sv-SE"/>
          </w:rPr>
          <w:fldChar w:fldCharType="separate"/>
        </w:r>
        <w:r w:rsidR="00623E14" w:rsidRPr="00800D1B">
          <w:rPr>
            <w:lang w:val="sv-SE"/>
          </w:rPr>
          <w:t>99</w:t>
        </w:r>
        <w:r w:rsidR="00623E14" w:rsidRPr="00800D1B">
          <w:rPr>
            <w:lang w:val="sv-SE"/>
          </w:rPr>
          <w:fldChar w:fldCharType="end"/>
        </w:r>
      </w:hyperlink>
    </w:p>
    <w:p w14:paraId="2D0654BA" w14:textId="77777777" w:rsidR="003422DB" w:rsidRPr="00800D1B" w:rsidRDefault="00000000" w:rsidP="004F0B72">
      <w:pPr>
        <w:pStyle w:val="Innehll4"/>
        <w:rPr>
          <w:rFonts w:ascii="Calibri" w:hAnsi="Calibri"/>
          <w:sz w:val="22"/>
          <w:lang w:val="sv-SE"/>
        </w:rPr>
      </w:pPr>
      <w:hyperlink w:anchor="_Toc256000440" w:history="1">
        <w:r w:rsidR="00A77B3E" w:rsidRPr="00800D1B">
          <w:rPr>
            <w:rStyle w:val="Hyperlnk"/>
            <w:lang w:val="sv-SE"/>
          </w:rPr>
          <w:t>Tabell 15A: Bidrag till InvestEU* (uppdelning per år)</w:t>
        </w:r>
        <w:r w:rsidR="00623E14" w:rsidRPr="00800D1B">
          <w:rPr>
            <w:lang w:val="sv-SE"/>
          </w:rPr>
          <w:tab/>
        </w:r>
        <w:r w:rsidR="00623E14" w:rsidRPr="00800D1B">
          <w:rPr>
            <w:lang w:val="sv-SE"/>
          </w:rPr>
          <w:fldChar w:fldCharType="begin"/>
        </w:r>
        <w:r w:rsidR="00623E14" w:rsidRPr="00800D1B">
          <w:rPr>
            <w:lang w:val="sv-SE"/>
          </w:rPr>
          <w:instrText xml:space="preserve"> PAGEREF _Toc256000440 \h </w:instrText>
        </w:r>
        <w:r w:rsidR="00623E14" w:rsidRPr="00800D1B">
          <w:rPr>
            <w:lang w:val="sv-SE"/>
          </w:rPr>
        </w:r>
        <w:r w:rsidR="00623E14" w:rsidRPr="00800D1B">
          <w:rPr>
            <w:lang w:val="sv-SE"/>
          </w:rPr>
          <w:fldChar w:fldCharType="separate"/>
        </w:r>
        <w:r w:rsidR="00623E14" w:rsidRPr="00800D1B">
          <w:rPr>
            <w:lang w:val="sv-SE"/>
          </w:rPr>
          <w:t>99</w:t>
        </w:r>
        <w:r w:rsidR="00623E14" w:rsidRPr="00800D1B">
          <w:rPr>
            <w:lang w:val="sv-SE"/>
          </w:rPr>
          <w:fldChar w:fldCharType="end"/>
        </w:r>
      </w:hyperlink>
    </w:p>
    <w:p w14:paraId="2D0654BB" w14:textId="77777777" w:rsidR="003422DB" w:rsidRPr="00800D1B" w:rsidRDefault="00000000" w:rsidP="004F0B72">
      <w:pPr>
        <w:pStyle w:val="Innehll4"/>
        <w:rPr>
          <w:rFonts w:ascii="Calibri" w:hAnsi="Calibri"/>
          <w:sz w:val="22"/>
          <w:lang w:val="sv-SE"/>
        </w:rPr>
      </w:pPr>
      <w:hyperlink w:anchor="_Toc256000441" w:history="1">
        <w:r w:rsidR="00A77B3E" w:rsidRPr="00800D1B">
          <w:rPr>
            <w:rStyle w:val="Hyperlnk"/>
            <w:lang w:val="sv-SE"/>
          </w:rPr>
          <w:t>Tabell 15B: Bidrag till InvestEU* (sammanfattning)</w:t>
        </w:r>
        <w:r w:rsidR="00623E14" w:rsidRPr="00800D1B">
          <w:rPr>
            <w:lang w:val="sv-SE"/>
          </w:rPr>
          <w:tab/>
        </w:r>
        <w:r w:rsidR="00623E14" w:rsidRPr="00800D1B">
          <w:rPr>
            <w:lang w:val="sv-SE"/>
          </w:rPr>
          <w:fldChar w:fldCharType="begin"/>
        </w:r>
        <w:r w:rsidR="00623E14" w:rsidRPr="00800D1B">
          <w:rPr>
            <w:lang w:val="sv-SE"/>
          </w:rPr>
          <w:instrText xml:space="preserve"> PAGEREF _Toc256000441 \h </w:instrText>
        </w:r>
        <w:r w:rsidR="00623E14" w:rsidRPr="00800D1B">
          <w:rPr>
            <w:lang w:val="sv-SE"/>
          </w:rPr>
        </w:r>
        <w:r w:rsidR="00623E14" w:rsidRPr="00800D1B">
          <w:rPr>
            <w:lang w:val="sv-SE"/>
          </w:rPr>
          <w:fldChar w:fldCharType="separate"/>
        </w:r>
        <w:r w:rsidR="00623E14" w:rsidRPr="00800D1B">
          <w:rPr>
            <w:lang w:val="sv-SE"/>
          </w:rPr>
          <w:t>99</w:t>
        </w:r>
        <w:r w:rsidR="00623E14" w:rsidRPr="00800D1B">
          <w:rPr>
            <w:lang w:val="sv-SE"/>
          </w:rPr>
          <w:fldChar w:fldCharType="end"/>
        </w:r>
      </w:hyperlink>
    </w:p>
    <w:p w14:paraId="2D0654BC" w14:textId="77777777" w:rsidR="003422DB" w:rsidRPr="00800D1B" w:rsidRDefault="00000000" w:rsidP="004F0B72">
      <w:pPr>
        <w:pStyle w:val="Innehll4"/>
        <w:rPr>
          <w:rFonts w:ascii="Calibri" w:hAnsi="Calibri"/>
          <w:sz w:val="22"/>
          <w:lang w:val="sv-SE"/>
        </w:rPr>
      </w:pPr>
      <w:hyperlink w:anchor="_Toc256000442" w:history="1">
        <w:r w:rsidR="00A77B3E" w:rsidRPr="00800D1B">
          <w:rPr>
            <w:rStyle w:val="Hyperlnk"/>
            <w:lang w:val="sv-SE"/>
          </w:rPr>
          <w:t>Motivering, med beaktande av hur dessa belopp bidrar till uppnåendet av de politiska mål som har valts i programmet i enlighet med artikel 10.1 i InvestEU-förordningen</w:t>
        </w:r>
        <w:r w:rsidR="00623E14" w:rsidRPr="00800D1B">
          <w:rPr>
            <w:lang w:val="sv-SE"/>
          </w:rPr>
          <w:tab/>
        </w:r>
        <w:r w:rsidR="00623E14" w:rsidRPr="00800D1B">
          <w:rPr>
            <w:lang w:val="sv-SE"/>
          </w:rPr>
          <w:fldChar w:fldCharType="begin"/>
        </w:r>
        <w:r w:rsidR="00623E14" w:rsidRPr="00800D1B">
          <w:rPr>
            <w:lang w:val="sv-SE"/>
          </w:rPr>
          <w:instrText xml:space="preserve"> PAGEREF _Toc256000442 \h </w:instrText>
        </w:r>
        <w:r w:rsidR="00623E14" w:rsidRPr="00800D1B">
          <w:rPr>
            <w:lang w:val="sv-SE"/>
          </w:rPr>
        </w:r>
        <w:r w:rsidR="00623E14" w:rsidRPr="00800D1B">
          <w:rPr>
            <w:lang w:val="sv-SE"/>
          </w:rPr>
          <w:fldChar w:fldCharType="separate"/>
        </w:r>
        <w:r w:rsidR="00623E14" w:rsidRPr="00800D1B">
          <w:rPr>
            <w:lang w:val="sv-SE"/>
          </w:rPr>
          <w:t>100</w:t>
        </w:r>
        <w:r w:rsidR="00623E14" w:rsidRPr="00800D1B">
          <w:rPr>
            <w:lang w:val="sv-SE"/>
          </w:rPr>
          <w:fldChar w:fldCharType="end"/>
        </w:r>
      </w:hyperlink>
    </w:p>
    <w:p w14:paraId="2D0654BD" w14:textId="77777777" w:rsidR="003422DB" w:rsidRPr="00800D1B" w:rsidRDefault="00000000" w:rsidP="004F0B72">
      <w:pPr>
        <w:pStyle w:val="Innehll4"/>
        <w:rPr>
          <w:rFonts w:ascii="Calibri" w:hAnsi="Calibri"/>
          <w:sz w:val="22"/>
          <w:lang w:val="sv-SE"/>
        </w:rPr>
      </w:pPr>
      <w:hyperlink w:anchor="_Toc256000443" w:history="1">
        <w:r w:rsidR="00A77B3E" w:rsidRPr="00800D1B">
          <w:rPr>
            <w:rStyle w:val="Hyperlnk"/>
            <w:lang w:val="sv-SE"/>
          </w:rPr>
          <w:t>Tabell 16 A: Överföringar till instrument med direkt eller indirekt förvaltning (fördelning per år)</w:t>
        </w:r>
        <w:r w:rsidR="00623E14" w:rsidRPr="00800D1B">
          <w:rPr>
            <w:lang w:val="sv-SE"/>
          </w:rPr>
          <w:tab/>
        </w:r>
        <w:r w:rsidR="00623E14" w:rsidRPr="00800D1B">
          <w:rPr>
            <w:lang w:val="sv-SE"/>
          </w:rPr>
          <w:fldChar w:fldCharType="begin"/>
        </w:r>
        <w:r w:rsidR="00623E14" w:rsidRPr="00800D1B">
          <w:rPr>
            <w:lang w:val="sv-SE"/>
          </w:rPr>
          <w:instrText xml:space="preserve"> PAGEREF _Toc256000443 \h </w:instrText>
        </w:r>
        <w:r w:rsidR="00623E14" w:rsidRPr="00800D1B">
          <w:rPr>
            <w:lang w:val="sv-SE"/>
          </w:rPr>
        </w:r>
        <w:r w:rsidR="00623E14" w:rsidRPr="00800D1B">
          <w:rPr>
            <w:lang w:val="sv-SE"/>
          </w:rPr>
          <w:fldChar w:fldCharType="separate"/>
        </w:r>
        <w:r w:rsidR="00623E14" w:rsidRPr="00800D1B">
          <w:rPr>
            <w:lang w:val="sv-SE"/>
          </w:rPr>
          <w:t>100</w:t>
        </w:r>
        <w:r w:rsidR="00623E14" w:rsidRPr="00800D1B">
          <w:rPr>
            <w:lang w:val="sv-SE"/>
          </w:rPr>
          <w:fldChar w:fldCharType="end"/>
        </w:r>
      </w:hyperlink>
    </w:p>
    <w:p w14:paraId="2D0654BE" w14:textId="77777777" w:rsidR="003422DB" w:rsidRPr="00800D1B" w:rsidRDefault="00000000" w:rsidP="004F0B72">
      <w:pPr>
        <w:pStyle w:val="Innehll4"/>
        <w:rPr>
          <w:rFonts w:ascii="Calibri" w:hAnsi="Calibri"/>
          <w:sz w:val="22"/>
          <w:lang w:val="sv-SE"/>
        </w:rPr>
      </w:pPr>
      <w:hyperlink w:anchor="_Toc256000444" w:history="1">
        <w:r w:rsidR="00A77B3E" w:rsidRPr="00800D1B">
          <w:rPr>
            <w:rStyle w:val="Hyperlnk"/>
            <w:lang w:val="sv-SE"/>
          </w:rPr>
          <w:t>Tabell 16B: Överföringar till instrument med direkt eller indirekt förvaltning* (sammanfattning)</w:t>
        </w:r>
        <w:r w:rsidR="00623E14" w:rsidRPr="00800D1B">
          <w:rPr>
            <w:lang w:val="sv-SE"/>
          </w:rPr>
          <w:tab/>
        </w:r>
        <w:r w:rsidR="00623E14" w:rsidRPr="00800D1B">
          <w:rPr>
            <w:lang w:val="sv-SE"/>
          </w:rPr>
          <w:fldChar w:fldCharType="begin"/>
        </w:r>
        <w:r w:rsidR="00623E14" w:rsidRPr="00800D1B">
          <w:rPr>
            <w:lang w:val="sv-SE"/>
          </w:rPr>
          <w:instrText xml:space="preserve"> PAGEREF _Toc256000444 \h </w:instrText>
        </w:r>
        <w:r w:rsidR="00623E14" w:rsidRPr="00800D1B">
          <w:rPr>
            <w:lang w:val="sv-SE"/>
          </w:rPr>
        </w:r>
        <w:r w:rsidR="00623E14" w:rsidRPr="00800D1B">
          <w:rPr>
            <w:lang w:val="sv-SE"/>
          </w:rPr>
          <w:fldChar w:fldCharType="separate"/>
        </w:r>
        <w:r w:rsidR="00623E14" w:rsidRPr="00800D1B">
          <w:rPr>
            <w:lang w:val="sv-SE"/>
          </w:rPr>
          <w:t>100</w:t>
        </w:r>
        <w:r w:rsidR="00623E14" w:rsidRPr="00800D1B">
          <w:rPr>
            <w:lang w:val="sv-SE"/>
          </w:rPr>
          <w:fldChar w:fldCharType="end"/>
        </w:r>
      </w:hyperlink>
    </w:p>
    <w:p w14:paraId="2D0654BF" w14:textId="77777777" w:rsidR="003422DB" w:rsidRPr="00800D1B" w:rsidRDefault="00000000" w:rsidP="004F0B72">
      <w:pPr>
        <w:pStyle w:val="Innehll4"/>
        <w:rPr>
          <w:rFonts w:ascii="Calibri" w:hAnsi="Calibri"/>
          <w:sz w:val="22"/>
          <w:lang w:val="sv-SE"/>
        </w:rPr>
      </w:pPr>
      <w:hyperlink w:anchor="_Toc256000445" w:history="1">
        <w:r w:rsidR="00A77B3E" w:rsidRPr="00800D1B">
          <w:rPr>
            <w:rStyle w:val="Hyperlnk"/>
            <w:lang w:val="sv-SE"/>
          </w:rPr>
          <w:t>Överföringar till instrument med direkt eller indirekt förvaltning – Motivering</w:t>
        </w:r>
        <w:r w:rsidR="00623E14" w:rsidRPr="00800D1B">
          <w:rPr>
            <w:lang w:val="sv-SE"/>
          </w:rPr>
          <w:tab/>
        </w:r>
        <w:r w:rsidR="00623E14" w:rsidRPr="00800D1B">
          <w:rPr>
            <w:lang w:val="sv-SE"/>
          </w:rPr>
          <w:fldChar w:fldCharType="begin"/>
        </w:r>
        <w:r w:rsidR="00623E14" w:rsidRPr="00800D1B">
          <w:rPr>
            <w:lang w:val="sv-SE"/>
          </w:rPr>
          <w:instrText xml:space="preserve"> PAGEREF _Toc256000445 \h </w:instrText>
        </w:r>
        <w:r w:rsidR="00623E14" w:rsidRPr="00800D1B">
          <w:rPr>
            <w:lang w:val="sv-SE"/>
          </w:rPr>
        </w:r>
        <w:r w:rsidR="00623E14" w:rsidRPr="00800D1B">
          <w:rPr>
            <w:lang w:val="sv-SE"/>
          </w:rPr>
          <w:fldChar w:fldCharType="separate"/>
        </w:r>
        <w:r w:rsidR="00623E14" w:rsidRPr="00800D1B">
          <w:rPr>
            <w:lang w:val="sv-SE"/>
          </w:rPr>
          <w:t>100</w:t>
        </w:r>
        <w:r w:rsidR="00623E14" w:rsidRPr="00800D1B">
          <w:rPr>
            <w:lang w:val="sv-SE"/>
          </w:rPr>
          <w:fldChar w:fldCharType="end"/>
        </w:r>
      </w:hyperlink>
    </w:p>
    <w:p w14:paraId="2D0654C0" w14:textId="77777777" w:rsidR="003422DB" w:rsidRPr="00800D1B" w:rsidRDefault="00000000" w:rsidP="004F0B72">
      <w:pPr>
        <w:pStyle w:val="Innehll4"/>
        <w:rPr>
          <w:rFonts w:ascii="Calibri" w:hAnsi="Calibri"/>
          <w:sz w:val="22"/>
          <w:lang w:val="sv-SE"/>
        </w:rPr>
      </w:pPr>
      <w:hyperlink w:anchor="_Toc256000446" w:history="1">
        <w:r w:rsidR="00A77B3E" w:rsidRPr="00800D1B">
          <w:rPr>
            <w:rStyle w:val="Hyperlnk"/>
            <w:lang w:val="sv-SE"/>
          </w:rPr>
          <w:t>Tabell 17 A: Överföringar mellan Eruf, ESF+ och Sammanhållningsfonden, eller till en annan fond/fonder* (fördelning per år)</w:t>
        </w:r>
        <w:r w:rsidR="00623E14" w:rsidRPr="00800D1B">
          <w:rPr>
            <w:lang w:val="sv-SE"/>
          </w:rPr>
          <w:tab/>
        </w:r>
        <w:r w:rsidR="00623E14" w:rsidRPr="00800D1B">
          <w:rPr>
            <w:lang w:val="sv-SE"/>
          </w:rPr>
          <w:fldChar w:fldCharType="begin"/>
        </w:r>
        <w:r w:rsidR="00623E14" w:rsidRPr="00800D1B">
          <w:rPr>
            <w:lang w:val="sv-SE"/>
          </w:rPr>
          <w:instrText xml:space="preserve"> PAGEREF _Toc256000446 \h </w:instrText>
        </w:r>
        <w:r w:rsidR="00623E14" w:rsidRPr="00800D1B">
          <w:rPr>
            <w:lang w:val="sv-SE"/>
          </w:rPr>
        </w:r>
        <w:r w:rsidR="00623E14" w:rsidRPr="00800D1B">
          <w:rPr>
            <w:lang w:val="sv-SE"/>
          </w:rPr>
          <w:fldChar w:fldCharType="separate"/>
        </w:r>
        <w:r w:rsidR="00623E14" w:rsidRPr="00800D1B">
          <w:rPr>
            <w:lang w:val="sv-SE"/>
          </w:rPr>
          <w:t>100</w:t>
        </w:r>
        <w:r w:rsidR="00623E14" w:rsidRPr="00800D1B">
          <w:rPr>
            <w:lang w:val="sv-SE"/>
          </w:rPr>
          <w:fldChar w:fldCharType="end"/>
        </w:r>
      </w:hyperlink>
    </w:p>
    <w:p w14:paraId="2D0654C1" w14:textId="77777777" w:rsidR="003422DB" w:rsidRPr="00800D1B" w:rsidRDefault="00000000" w:rsidP="004F0B72">
      <w:pPr>
        <w:pStyle w:val="Innehll4"/>
        <w:rPr>
          <w:rFonts w:ascii="Calibri" w:hAnsi="Calibri"/>
          <w:sz w:val="22"/>
          <w:lang w:val="sv-SE"/>
        </w:rPr>
      </w:pPr>
      <w:hyperlink w:anchor="_Toc256000447" w:history="1">
        <w:r w:rsidR="00A77B3E" w:rsidRPr="00800D1B">
          <w:rPr>
            <w:rStyle w:val="Hyperlnk"/>
            <w:lang w:val="sv-SE"/>
          </w:rPr>
          <w:t>Tabell 17B: Överföringar mellan Eruf, ESF+ och Sammanhållningsfonden, eller till en annan fond/fonder (sammanfattning)</w:t>
        </w:r>
        <w:r w:rsidR="00623E14" w:rsidRPr="00800D1B">
          <w:rPr>
            <w:lang w:val="sv-SE"/>
          </w:rPr>
          <w:tab/>
        </w:r>
        <w:r w:rsidR="00623E14" w:rsidRPr="00800D1B">
          <w:rPr>
            <w:lang w:val="sv-SE"/>
          </w:rPr>
          <w:fldChar w:fldCharType="begin"/>
        </w:r>
        <w:r w:rsidR="00623E14" w:rsidRPr="00800D1B">
          <w:rPr>
            <w:lang w:val="sv-SE"/>
          </w:rPr>
          <w:instrText xml:space="preserve"> PAGEREF _Toc256000447 \h </w:instrText>
        </w:r>
        <w:r w:rsidR="00623E14" w:rsidRPr="00800D1B">
          <w:rPr>
            <w:lang w:val="sv-SE"/>
          </w:rPr>
        </w:r>
        <w:r w:rsidR="00623E14" w:rsidRPr="00800D1B">
          <w:rPr>
            <w:lang w:val="sv-SE"/>
          </w:rPr>
          <w:fldChar w:fldCharType="separate"/>
        </w:r>
        <w:r w:rsidR="00623E14" w:rsidRPr="00800D1B">
          <w:rPr>
            <w:lang w:val="sv-SE"/>
          </w:rPr>
          <w:t>101</w:t>
        </w:r>
        <w:r w:rsidR="00623E14" w:rsidRPr="00800D1B">
          <w:rPr>
            <w:lang w:val="sv-SE"/>
          </w:rPr>
          <w:fldChar w:fldCharType="end"/>
        </w:r>
      </w:hyperlink>
    </w:p>
    <w:p w14:paraId="2D0654C2" w14:textId="77777777" w:rsidR="003422DB" w:rsidRPr="00800D1B" w:rsidRDefault="00000000" w:rsidP="004F0B72">
      <w:pPr>
        <w:pStyle w:val="Innehll4"/>
        <w:rPr>
          <w:rFonts w:ascii="Calibri" w:hAnsi="Calibri"/>
          <w:sz w:val="22"/>
          <w:lang w:val="sv-SE"/>
        </w:rPr>
      </w:pPr>
      <w:hyperlink w:anchor="_Toc256000448" w:history="1">
        <w:r w:rsidR="00A77B3E" w:rsidRPr="00800D1B">
          <w:rPr>
            <w:rStyle w:val="Hyperlnk"/>
            <w:lang w:val="sv-SE"/>
          </w:rPr>
          <w:t>Överföringar mellan fonder med delad förvaltning, inbegripet mellan sammanhållningspolitiska fonder – Motivering</w:t>
        </w:r>
        <w:r w:rsidR="00623E14" w:rsidRPr="00800D1B">
          <w:rPr>
            <w:lang w:val="sv-SE"/>
          </w:rPr>
          <w:tab/>
        </w:r>
        <w:r w:rsidR="00623E14" w:rsidRPr="00800D1B">
          <w:rPr>
            <w:lang w:val="sv-SE"/>
          </w:rPr>
          <w:fldChar w:fldCharType="begin"/>
        </w:r>
        <w:r w:rsidR="00623E14" w:rsidRPr="00800D1B">
          <w:rPr>
            <w:lang w:val="sv-SE"/>
          </w:rPr>
          <w:instrText xml:space="preserve"> PAGEREF _Toc256000448 \h </w:instrText>
        </w:r>
        <w:r w:rsidR="00623E14" w:rsidRPr="00800D1B">
          <w:rPr>
            <w:lang w:val="sv-SE"/>
          </w:rPr>
        </w:r>
        <w:r w:rsidR="00623E14" w:rsidRPr="00800D1B">
          <w:rPr>
            <w:lang w:val="sv-SE"/>
          </w:rPr>
          <w:fldChar w:fldCharType="separate"/>
        </w:r>
        <w:r w:rsidR="00623E14" w:rsidRPr="00800D1B">
          <w:rPr>
            <w:lang w:val="sv-SE"/>
          </w:rPr>
          <w:t>101</w:t>
        </w:r>
        <w:r w:rsidR="00623E14" w:rsidRPr="00800D1B">
          <w:rPr>
            <w:lang w:val="sv-SE"/>
          </w:rPr>
          <w:fldChar w:fldCharType="end"/>
        </w:r>
      </w:hyperlink>
    </w:p>
    <w:p w14:paraId="2D0654C3" w14:textId="77777777" w:rsidR="003422DB" w:rsidRPr="00800D1B" w:rsidRDefault="00000000">
      <w:pPr>
        <w:pStyle w:val="Innehll2"/>
        <w:tabs>
          <w:tab w:val="right" w:leader="dot" w:pos="10240"/>
        </w:tabs>
        <w:rPr>
          <w:rFonts w:ascii="Calibri" w:hAnsi="Calibri"/>
          <w:sz w:val="22"/>
          <w:lang w:val="sv-SE"/>
        </w:rPr>
      </w:pPr>
      <w:hyperlink w:anchor="_Toc256000449" w:history="1">
        <w:r w:rsidR="00A77B3E" w:rsidRPr="00800D1B">
          <w:rPr>
            <w:rStyle w:val="Hyperlnk"/>
            <w:lang w:val="sv-SE"/>
          </w:rPr>
          <w:t>3.2. FRO: anslag inom programmet och överföringar (1)</w:t>
        </w:r>
        <w:r w:rsidR="00623E14" w:rsidRPr="00800D1B">
          <w:rPr>
            <w:lang w:val="sv-SE"/>
          </w:rPr>
          <w:tab/>
        </w:r>
        <w:r w:rsidR="00623E14" w:rsidRPr="00800D1B">
          <w:rPr>
            <w:lang w:val="sv-SE"/>
          </w:rPr>
          <w:fldChar w:fldCharType="begin"/>
        </w:r>
        <w:r w:rsidR="00623E14" w:rsidRPr="00800D1B">
          <w:rPr>
            <w:lang w:val="sv-SE"/>
          </w:rPr>
          <w:instrText xml:space="preserve"> PAGEREF _Toc256000449 \h </w:instrText>
        </w:r>
        <w:r w:rsidR="00623E14" w:rsidRPr="00800D1B">
          <w:rPr>
            <w:lang w:val="sv-SE"/>
          </w:rPr>
        </w:r>
        <w:r w:rsidR="00623E14" w:rsidRPr="00800D1B">
          <w:rPr>
            <w:lang w:val="sv-SE"/>
          </w:rPr>
          <w:fldChar w:fldCharType="separate"/>
        </w:r>
        <w:r w:rsidR="00623E14" w:rsidRPr="00800D1B">
          <w:rPr>
            <w:lang w:val="sv-SE"/>
          </w:rPr>
          <w:t>101</w:t>
        </w:r>
        <w:r w:rsidR="00623E14" w:rsidRPr="00800D1B">
          <w:rPr>
            <w:lang w:val="sv-SE"/>
          </w:rPr>
          <w:fldChar w:fldCharType="end"/>
        </w:r>
      </w:hyperlink>
    </w:p>
    <w:p w14:paraId="2D0654C4" w14:textId="77777777" w:rsidR="003422DB" w:rsidRPr="00800D1B" w:rsidRDefault="00000000">
      <w:pPr>
        <w:pStyle w:val="Innehll2"/>
        <w:tabs>
          <w:tab w:val="right" w:leader="dot" w:pos="10240"/>
        </w:tabs>
        <w:rPr>
          <w:rFonts w:ascii="Calibri" w:hAnsi="Calibri"/>
          <w:sz w:val="22"/>
          <w:lang w:val="sv-SE"/>
        </w:rPr>
      </w:pPr>
      <w:hyperlink w:anchor="_Toc256000450" w:history="1">
        <w:r w:rsidR="00A77B3E" w:rsidRPr="00800D1B">
          <w:rPr>
            <w:rStyle w:val="Hyperlnk"/>
            <w:lang w:val="sv-SE"/>
          </w:rPr>
          <w:t>3.3. Överföringar mellan regionkategorier till följd av halvtidsöversynen</w:t>
        </w:r>
        <w:r w:rsidR="00623E14" w:rsidRPr="00800D1B">
          <w:rPr>
            <w:lang w:val="sv-SE"/>
          </w:rPr>
          <w:tab/>
        </w:r>
        <w:r w:rsidR="00623E14" w:rsidRPr="00800D1B">
          <w:rPr>
            <w:lang w:val="sv-SE"/>
          </w:rPr>
          <w:fldChar w:fldCharType="begin"/>
        </w:r>
        <w:r w:rsidR="00623E14" w:rsidRPr="00800D1B">
          <w:rPr>
            <w:lang w:val="sv-SE"/>
          </w:rPr>
          <w:instrText xml:space="preserve"> PAGEREF _Toc256000450 \h </w:instrText>
        </w:r>
        <w:r w:rsidR="00623E14" w:rsidRPr="00800D1B">
          <w:rPr>
            <w:lang w:val="sv-SE"/>
          </w:rPr>
        </w:r>
        <w:r w:rsidR="00623E14" w:rsidRPr="00800D1B">
          <w:rPr>
            <w:lang w:val="sv-SE"/>
          </w:rPr>
          <w:fldChar w:fldCharType="separate"/>
        </w:r>
        <w:r w:rsidR="00623E14" w:rsidRPr="00800D1B">
          <w:rPr>
            <w:lang w:val="sv-SE"/>
          </w:rPr>
          <w:t>101</w:t>
        </w:r>
        <w:r w:rsidR="00623E14" w:rsidRPr="00800D1B">
          <w:rPr>
            <w:lang w:val="sv-SE"/>
          </w:rPr>
          <w:fldChar w:fldCharType="end"/>
        </w:r>
      </w:hyperlink>
    </w:p>
    <w:p w14:paraId="2D0654C5" w14:textId="77777777" w:rsidR="003422DB" w:rsidRPr="00800D1B" w:rsidRDefault="00000000" w:rsidP="004F0B72">
      <w:pPr>
        <w:pStyle w:val="Innehll4"/>
        <w:rPr>
          <w:rFonts w:ascii="Calibri" w:hAnsi="Calibri"/>
          <w:sz w:val="22"/>
          <w:lang w:val="sv-SE"/>
        </w:rPr>
      </w:pPr>
      <w:hyperlink w:anchor="_Toc256000451" w:history="1">
        <w:r w:rsidR="00A77B3E" w:rsidRPr="00800D1B">
          <w:rPr>
            <w:rStyle w:val="Hyperlnk"/>
            <w:lang w:val="sv-SE"/>
          </w:rPr>
          <w:t>Tabell 19 A: Överföringar mellan regionkategorier till följd av halvtidsöversynen, inom programmet (fördelning per år)</w:t>
        </w:r>
        <w:r w:rsidR="00623E14" w:rsidRPr="00800D1B">
          <w:rPr>
            <w:lang w:val="sv-SE"/>
          </w:rPr>
          <w:tab/>
        </w:r>
        <w:r w:rsidR="00623E14" w:rsidRPr="00800D1B">
          <w:rPr>
            <w:lang w:val="sv-SE"/>
          </w:rPr>
          <w:fldChar w:fldCharType="begin"/>
        </w:r>
        <w:r w:rsidR="00623E14" w:rsidRPr="00800D1B">
          <w:rPr>
            <w:lang w:val="sv-SE"/>
          </w:rPr>
          <w:instrText xml:space="preserve"> PAGEREF _Toc256000451 \h </w:instrText>
        </w:r>
        <w:r w:rsidR="00623E14" w:rsidRPr="00800D1B">
          <w:rPr>
            <w:lang w:val="sv-SE"/>
          </w:rPr>
        </w:r>
        <w:r w:rsidR="00623E14" w:rsidRPr="00800D1B">
          <w:rPr>
            <w:lang w:val="sv-SE"/>
          </w:rPr>
          <w:fldChar w:fldCharType="separate"/>
        </w:r>
        <w:r w:rsidR="00623E14" w:rsidRPr="00800D1B">
          <w:rPr>
            <w:lang w:val="sv-SE"/>
          </w:rPr>
          <w:t>101</w:t>
        </w:r>
        <w:r w:rsidR="00623E14" w:rsidRPr="00800D1B">
          <w:rPr>
            <w:lang w:val="sv-SE"/>
          </w:rPr>
          <w:fldChar w:fldCharType="end"/>
        </w:r>
      </w:hyperlink>
    </w:p>
    <w:p w14:paraId="2D0654C6" w14:textId="77777777" w:rsidR="003422DB" w:rsidRPr="00800D1B" w:rsidRDefault="00000000" w:rsidP="004F0B72">
      <w:pPr>
        <w:pStyle w:val="Innehll4"/>
        <w:rPr>
          <w:rFonts w:ascii="Calibri" w:hAnsi="Calibri"/>
          <w:sz w:val="22"/>
          <w:lang w:val="sv-SE"/>
        </w:rPr>
      </w:pPr>
      <w:hyperlink w:anchor="_Toc256000452" w:history="1">
        <w:r w:rsidR="00A77B3E" w:rsidRPr="00800D1B">
          <w:rPr>
            <w:rStyle w:val="Hyperlnk"/>
            <w:lang w:val="sv-SE"/>
          </w:rPr>
          <w:t>Tabell 19B: Överföringar mellan regionkategorier till följd av halvtidsöversynen, till andra program (fördelning per år)</w:t>
        </w:r>
        <w:r w:rsidR="00623E14" w:rsidRPr="00800D1B">
          <w:rPr>
            <w:lang w:val="sv-SE"/>
          </w:rPr>
          <w:tab/>
        </w:r>
        <w:r w:rsidR="00623E14" w:rsidRPr="00800D1B">
          <w:rPr>
            <w:lang w:val="sv-SE"/>
          </w:rPr>
          <w:fldChar w:fldCharType="begin"/>
        </w:r>
        <w:r w:rsidR="00623E14" w:rsidRPr="00800D1B">
          <w:rPr>
            <w:lang w:val="sv-SE"/>
          </w:rPr>
          <w:instrText xml:space="preserve"> PAGEREF _Toc256000452 \h </w:instrText>
        </w:r>
        <w:r w:rsidR="00623E14" w:rsidRPr="00800D1B">
          <w:rPr>
            <w:lang w:val="sv-SE"/>
          </w:rPr>
        </w:r>
        <w:r w:rsidR="00623E14" w:rsidRPr="00800D1B">
          <w:rPr>
            <w:lang w:val="sv-SE"/>
          </w:rPr>
          <w:fldChar w:fldCharType="separate"/>
        </w:r>
        <w:r w:rsidR="00623E14" w:rsidRPr="00800D1B">
          <w:rPr>
            <w:lang w:val="sv-SE"/>
          </w:rPr>
          <w:t>101</w:t>
        </w:r>
        <w:r w:rsidR="00623E14" w:rsidRPr="00800D1B">
          <w:rPr>
            <w:lang w:val="sv-SE"/>
          </w:rPr>
          <w:fldChar w:fldCharType="end"/>
        </w:r>
      </w:hyperlink>
    </w:p>
    <w:p w14:paraId="2D0654C7" w14:textId="77777777" w:rsidR="003422DB" w:rsidRPr="00800D1B" w:rsidRDefault="00000000">
      <w:pPr>
        <w:pStyle w:val="Innehll2"/>
        <w:tabs>
          <w:tab w:val="right" w:leader="dot" w:pos="10240"/>
        </w:tabs>
        <w:rPr>
          <w:rFonts w:ascii="Calibri" w:hAnsi="Calibri"/>
          <w:sz w:val="22"/>
          <w:lang w:val="sv-SE"/>
        </w:rPr>
      </w:pPr>
      <w:hyperlink w:anchor="_Toc256000453" w:history="1">
        <w:r w:rsidR="00A77B3E" w:rsidRPr="00800D1B">
          <w:rPr>
            <w:rStyle w:val="Hyperlnk"/>
            <w:lang w:val="sv-SE"/>
          </w:rPr>
          <w:t>3.4. Överföringar tillbaka (1)</w:t>
        </w:r>
        <w:r w:rsidR="00623E14" w:rsidRPr="00800D1B">
          <w:rPr>
            <w:lang w:val="sv-SE"/>
          </w:rPr>
          <w:tab/>
        </w:r>
        <w:r w:rsidR="00623E14" w:rsidRPr="00800D1B">
          <w:rPr>
            <w:lang w:val="sv-SE"/>
          </w:rPr>
          <w:fldChar w:fldCharType="begin"/>
        </w:r>
        <w:r w:rsidR="00623E14" w:rsidRPr="00800D1B">
          <w:rPr>
            <w:lang w:val="sv-SE"/>
          </w:rPr>
          <w:instrText xml:space="preserve"> PAGEREF _Toc256000453 \h </w:instrText>
        </w:r>
        <w:r w:rsidR="00623E14" w:rsidRPr="00800D1B">
          <w:rPr>
            <w:lang w:val="sv-SE"/>
          </w:rPr>
        </w:r>
        <w:r w:rsidR="00623E14" w:rsidRPr="00800D1B">
          <w:rPr>
            <w:lang w:val="sv-SE"/>
          </w:rPr>
          <w:fldChar w:fldCharType="separate"/>
        </w:r>
        <w:r w:rsidR="00623E14" w:rsidRPr="00800D1B">
          <w:rPr>
            <w:lang w:val="sv-SE"/>
          </w:rPr>
          <w:t>102</w:t>
        </w:r>
        <w:r w:rsidR="00623E14" w:rsidRPr="00800D1B">
          <w:rPr>
            <w:lang w:val="sv-SE"/>
          </w:rPr>
          <w:fldChar w:fldCharType="end"/>
        </w:r>
      </w:hyperlink>
    </w:p>
    <w:p w14:paraId="2D0654C8" w14:textId="77777777" w:rsidR="003422DB" w:rsidRPr="00800D1B" w:rsidRDefault="00000000" w:rsidP="004F0B72">
      <w:pPr>
        <w:pStyle w:val="Innehll4"/>
        <w:rPr>
          <w:rFonts w:ascii="Calibri" w:hAnsi="Calibri"/>
          <w:sz w:val="22"/>
          <w:lang w:val="sv-SE"/>
        </w:rPr>
      </w:pPr>
      <w:hyperlink w:anchor="_Toc256000454" w:history="1">
        <w:r w:rsidR="00A77B3E" w:rsidRPr="00800D1B">
          <w:rPr>
            <w:rStyle w:val="Hyperlnk"/>
            <w:lang w:val="sv-SE"/>
          </w:rPr>
          <w:t>Tabell 20 A: Överföringar tillbaka (uppdelning per år)</w:t>
        </w:r>
        <w:r w:rsidR="00623E14" w:rsidRPr="00800D1B">
          <w:rPr>
            <w:lang w:val="sv-SE"/>
          </w:rPr>
          <w:tab/>
        </w:r>
        <w:r w:rsidR="00623E14" w:rsidRPr="00800D1B">
          <w:rPr>
            <w:lang w:val="sv-SE"/>
          </w:rPr>
          <w:fldChar w:fldCharType="begin"/>
        </w:r>
        <w:r w:rsidR="00623E14" w:rsidRPr="00800D1B">
          <w:rPr>
            <w:lang w:val="sv-SE"/>
          </w:rPr>
          <w:instrText xml:space="preserve"> PAGEREF _Toc256000454 \h </w:instrText>
        </w:r>
        <w:r w:rsidR="00623E14" w:rsidRPr="00800D1B">
          <w:rPr>
            <w:lang w:val="sv-SE"/>
          </w:rPr>
        </w:r>
        <w:r w:rsidR="00623E14" w:rsidRPr="00800D1B">
          <w:rPr>
            <w:lang w:val="sv-SE"/>
          </w:rPr>
          <w:fldChar w:fldCharType="separate"/>
        </w:r>
        <w:r w:rsidR="00623E14" w:rsidRPr="00800D1B">
          <w:rPr>
            <w:lang w:val="sv-SE"/>
          </w:rPr>
          <w:t>102</w:t>
        </w:r>
        <w:r w:rsidR="00623E14" w:rsidRPr="00800D1B">
          <w:rPr>
            <w:lang w:val="sv-SE"/>
          </w:rPr>
          <w:fldChar w:fldCharType="end"/>
        </w:r>
      </w:hyperlink>
    </w:p>
    <w:p w14:paraId="2D0654C9" w14:textId="77777777" w:rsidR="003422DB" w:rsidRPr="00800D1B" w:rsidRDefault="00000000" w:rsidP="004F0B72">
      <w:pPr>
        <w:pStyle w:val="Innehll4"/>
        <w:rPr>
          <w:rFonts w:ascii="Calibri" w:hAnsi="Calibri"/>
          <w:sz w:val="22"/>
          <w:lang w:val="sv-SE"/>
        </w:rPr>
      </w:pPr>
      <w:hyperlink w:anchor="_Toc256000455" w:history="1">
        <w:r w:rsidR="00A77B3E" w:rsidRPr="00800D1B">
          <w:rPr>
            <w:rStyle w:val="Hyperlnk"/>
            <w:lang w:val="sv-SE"/>
          </w:rPr>
          <w:t>Tabell 20B: Överföringar tillbaka* (sammanfattning)</w:t>
        </w:r>
        <w:r w:rsidR="00623E14" w:rsidRPr="00800D1B">
          <w:rPr>
            <w:lang w:val="sv-SE"/>
          </w:rPr>
          <w:tab/>
        </w:r>
        <w:r w:rsidR="00623E14" w:rsidRPr="00800D1B">
          <w:rPr>
            <w:lang w:val="sv-SE"/>
          </w:rPr>
          <w:fldChar w:fldCharType="begin"/>
        </w:r>
        <w:r w:rsidR="00623E14" w:rsidRPr="00800D1B">
          <w:rPr>
            <w:lang w:val="sv-SE"/>
          </w:rPr>
          <w:instrText xml:space="preserve"> PAGEREF _Toc256000455 \h </w:instrText>
        </w:r>
        <w:r w:rsidR="00623E14" w:rsidRPr="00800D1B">
          <w:rPr>
            <w:lang w:val="sv-SE"/>
          </w:rPr>
        </w:r>
        <w:r w:rsidR="00623E14" w:rsidRPr="00800D1B">
          <w:rPr>
            <w:lang w:val="sv-SE"/>
          </w:rPr>
          <w:fldChar w:fldCharType="separate"/>
        </w:r>
        <w:r w:rsidR="00623E14" w:rsidRPr="00800D1B">
          <w:rPr>
            <w:lang w:val="sv-SE"/>
          </w:rPr>
          <w:t>102</w:t>
        </w:r>
        <w:r w:rsidR="00623E14" w:rsidRPr="00800D1B">
          <w:rPr>
            <w:lang w:val="sv-SE"/>
          </w:rPr>
          <w:fldChar w:fldCharType="end"/>
        </w:r>
      </w:hyperlink>
    </w:p>
    <w:p w14:paraId="2D0654CA" w14:textId="77777777" w:rsidR="003422DB" w:rsidRPr="00800D1B" w:rsidRDefault="00000000">
      <w:pPr>
        <w:pStyle w:val="Innehll2"/>
        <w:tabs>
          <w:tab w:val="right" w:leader="dot" w:pos="10240"/>
        </w:tabs>
        <w:rPr>
          <w:rFonts w:ascii="Calibri" w:hAnsi="Calibri"/>
          <w:sz w:val="22"/>
          <w:lang w:val="sv-SE"/>
        </w:rPr>
      </w:pPr>
      <w:hyperlink w:anchor="_Toc256000456" w:history="1">
        <w:r w:rsidR="00A77B3E" w:rsidRPr="00800D1B">
          <w:rPr>
            <w:rStyle w:val="Hyperlnk"/>
            <w:lang w:val="sv-SE"/>
          </w:rPr>
          <w:t>3.5. Anslag per år</w:t>
        </w:r>
        <w:r w:rsidR="00623E14" w:rsidRPr="00800D1B">
          <w:rPr>
            <w:lang w:val="sv-SE"/>
          </w:rPr>
          <w:tab/>
        </w:r>
        <w:r w:rsidR="00623E14" w:rsidRPr="00800D1B">
          <w:rPr>
            <w:lang w:val="sv-SE"/>
          </w:rPr>
          <w:fldChar w:fldCharType="begin"/>
        </w:r>
        <w:r w:rsidR="00623E14" w:rsidRPr="00800D1B">
          <w:rPr>
            <w:lang w:val="sv-SE"/>
          </w:rPr>
          <w:instrText xml:space="preserve"> PAGEREF _Toc256000456 \h </w:instrText>
        </w:r>
        <w:r w:rsidR="00623E14" w:rsidRPr="00800D1B">
          <w:rPr>
            <w:lang w:val="sv-SE"/>
          </w:rPr>
        </w:r>
        <w:r w:rsidR="00623E14" w:rsidRPr="00800D1B">
          <w:rPr>
            <w:lang w:val="sv-SE"/>
          </w:rPr>
          <w:fldChar w:fldCharType="separate"/>
        </w:r>
        <w:r w:rsidR="00623E14" w:rsidRPr="00800D1B">
          <w:rPr>
            <w:lang w:val="sv-SE"/>
          </w:rPr>
          <w:t>103</w:t>
        </w:r>
        <w:r w:rsidR="00623E14" w:rsidRPr="00800D1B">
          <w:rPr>
            <w:lang w:val="sv-SE"/>
          </w:rPr>
          <w:fldChar w:fldCharType="end"/>
        </w:r>
      </w:hyperlink>
    </w:p>
    <w:p w14:paraId="2D0654CB" w14:textId="77777777" w:rsidR="003422DB" w:rsidRPr="00800D1B" w:rsidRDefault="00000000" w:rsidP="004F0B72">
      <w:pPr>
        <w:pStyle w:val="Innehll4"/>
        <w:rPr>
          <w:rFonts w:ascii="Calibri" w:hAnsi="Calibri"/>
          <w:sz w:val="22"/>
          <w:lang w:val="sv-SE"/>
        </w:rPr>
      </w:pPr>
      <w:hyperlink w:anchor="_Toc256000457" w:history="1">
        <w:r w:rsidR="00A77B3E" w:rsidRPr="00800D1B">
          <w:rPr>
            <w:rStyle w:val="Hyperlnk"/>
            <w:lang w:val="sv-SE"/>
          </w:rPr>
          <w:t>Tabell 10: Anslag per år</w:t>
        </w:r>
        <w:r w:rsidR="00623E14" w:rsidRPr="00800D1B">
          <w:rPr>
            <w:lang w:val="sv-SE"/>
          </w:rPr>
          <w:tab/>
        </w:r>
        <w:r w:rsidR="00623E14" w:rsidRPr="00800D1B">
          <w:rPr>
            <w:lang w:val="sv-SE"/>
          </w:rPr>
          <w:fldChar w:fldCharType="begin"/>
        </w:r>
        <w:r w:rsidR="00623E14" w:rsidRPr="00800D1B">
          <w:rPr>
            <w:lang w:val="sv-SE"/>
          </w:rPr>
          <w:instrText xml:space="preserve"> PAGEREF _Toc256000457 \h </w:instrText>
        </w:r>
        <w:r w:rsidR="00623E14" w:rsidRPr="00800D1B">
          <w:rPr>
            <w:lang w:val="sv-SE"/>
          </w:rPr>
        </w:r>
        <w:r w:rsidR="00623E14" w:rsidRPr="00800D1B">
          <w:rPr>
            <w:lang w:val="sv-SE"/>
          </w:rPr>
          <w:fldChar w:fldCharType="separate"/>
        </w:r>
        <w:r w:rsidR="00623E14" w:rsidRPr="00800D1B">
          <w:rPr>
            <w:lang w:val="sv-SE"/>
          </w:rPr>
          <w:t>103</w:t>
        </w:r>
        <w:r w:rsidR="00623E14" w:rsidRPr="00800D1B">
          <w:rPr>
            <w:lang w:val="sv-SE"/>
          </w:rPr>
          <w:fldChar w:fldCharType="end"/>
        </w:r>
      </w:hyperlink>
    </w:p>
    <w:p w14:paraId="2D0654CC" w14:textId="77777777" w:rsidR="003422DB" w:rsidRPr="00800D1B" w:rsidRDefault="00000000">
      <w:pPr>
        <w:pStyle w:val="Innehll2"/>
        <w:tabs>
          <w:tab w:val="right" w:leader="dot" w:pos="10240"/>
        </w:tabs>
        <w:rPr>
          <w:rFonts w:ascii="Calibri" w:hAnsi="Calibri"/>
          <w:sz w:val="22"/>
          <w:lang w:val="sv-SE"/>
        </w:rPr>
      </w:pPr>
      <w:hyperlink w:anchor="_Toc256000458" w:history="1">
        <w:r w:rsidR="00A77B3E" w:rsidRPr="00800D1B">
          <w:rPr>
            <w:rStyle w:val="Hyperlnk"/>
            <w:lang w:val="sv-SE"/>
          </w:rPr>
          <w:t>3.6. Totala anslag per fond och nationell medfinansiering</w:t>
        </w:r>
        <w:r w:rsidR="00623E14" w:rsidRPr="00800D1B">
          <w:rPr>
            <w:lang w:val="sv-SE"/>
          </w:rPr>
          <w:tab/>
        </w:r>
        <w:r w:rsidR="00623E14" w:rsidRPr="00800D1B">
          <w:rPr>
            <w:lang w:val="sv-SE"/>
          </w:rPr>
          <w:fldChar w:fldCharType="begin"/>
        </w:r>
        <w:r w:rsidR="00623E14" w:rsidRPr="00800D1B">
          <w:rPr>
            <w:lang w:val="sv-SE"/>
          </w:rPr>
          <w:instrText xml:space="preserve"> PAGEREF _Toc256000458 \h </w:instrText>
        </w:r>
        <w:r w:rsidR="00623E14" w:rsidRPr="00800D1B">
          <w:rPr>
            <w:lang w:val="sv-SE"/>
          </w:rPr>
        </w:r>
        <w:r w:rsidR="00623E14" w:rsidRPr="00800D1B">
          <w:rPr>
            <w:lang w:val="sv-SE"/>
          </w:rPr>
          <w:fldChar w:fldCharType="separate"/>
        </w:r>
        <w:r w:rsidR="00623E14" w:rsidRPr="00800D1B">
          <w:rPr>
            <w:lang w:val="sv-SE"/>
          </w:rPr>
          <w:t>104</w:t>
        </w:r>
        <w:r w:rsidR="00623E14" w:rsidRPr="00800D1B">
          <w:rPr>
            <w:lang w:val="sv-SE"/>
          </w:rPr>
          <w:fldChar w:fldCharType="end"/>
        </w:r>
      </w:hyperlink>
    </w:p>
    <w:p w14:paraId="2D0654CD" w14:textId="77777777" w:rsidR="003422DB" w:rsidRPr="00800D1B" w:rsidRDefault="00000000" w:rsidP="004F0B72">
      <w:pPr>
        <w:pStyle w:val="Innehll4"/>
        <w:rPr>
          <w:rFonts w:ascii="Calibri" w:hAnsi="Calibri"/>
          <w:sz w:val="22"/>
          <w:lang w:val="sv-SE"/>
        </w:rPr>
      </w:pPr>
      <w:hyperlink w:anchor="_Toc256000459" w:history="1">
        <w:r w:rsidR="00A77B3E" w:rsidRPr="00800D1B">
          <w:rPr>
            <w:rStyle w:val="Hyperlnk"/>
            <w:lang w:val="sv-SE"/>
          </w:rPr>
          <w:t>Tabell 11: Totala anslag per fond och nationellt bidrag</w:t>
        </w:r>
        <w:r w:rsidR="00623E14" w:rsidRPr="00800D1B">
          <w:rPr>
            <w:lang w:val="sv-SE"/>
          </w:rPr>
          <w:tab/>
        </w:r>
        <w:r w:rsidR="00623E14" w:rsidRPr="00800D1B">
          <w:rPr>
            <w:lang w:val="sv-SE"/>
          </w:rPr>
          <w:fldChar w:fldCharType="begin"/>
        </w:r>
        <w:r w:rsidR="00623E14" w:rsidRPr="00800D1B">
          <w:rPr>
            <w:lang w:val="sv-SE"/>
          </w:rPr>
          <w:instrText xml:space="preserve"> PAGEREF _Toc256000459 \h </w:instrText>
        </w:r>
        <w:r w:rsidR="00623E14" w:rsidRPr="00800D1B">
          <w:rPr>
            <w:lang w:val="sv-SE"/>
          </w:rPr>
        </w:r>
        <w:r w:rsidR="00623E14" w:rsidRPr="00800D1B">
          <w:rPr>
            <w:lang w:val="sv-SE"/>
          </w:rPr>
          <w:fldChar w:fldCharType="separate"/>
        </w:r>
        <w:r w:rsidR="00623E14" w:rsidRPr="00800D1B">
          <w:rPr>
            <w:lang w:val="sv-SE"/>
          </w:rPr>
          <w:t>104</w:t>
        </w:r>
        <w:r w:rsidR="00623E14" w:rsidRPr="00800D1B">
          <w:rPr>
            <w:lang w:val="sv-SE"/>
          </w:rPr>
          <w:fldChar w:fldCharType="end"/>
        </w:r>
      </w:hyperlink>
    </w:p>
    <w:p w14:paraId="2D0654CE" w14:textId="77777777" w:rsidR="003422DB" w:rsidRPr="00800D1B" w:rsidRDefault="00000000">
      <w:pPr>
        <w:pStyle w:val="Innehll1"/>
        <w:tabs>
          <w:tab w:val="right" w:leader="dot" w:pos="10240"/>
        </w:tabs>
        <w:rPr>
          <w:rFonts w:ascii="Calibri" w:hAnsi="Calibri"/>
          <w:sz w:val="22"/>
          <w:lang w:val="sv-SE"/>
        </w:rPr>
      </w:pPr>
      <w:hyperlink w:anchor="_Toc256000460" w:history="1">
        <w:r w:rsidR="00A77B3E" w:rsidRPr="00800D1B">
          <w:rPr>
            <w:rStyle w:val="Hyperlnk"/>
            <w:lang w:val="sv-SE"/>
          </w:rPr>
          <w:t>4. Nödvändiga villkor</w:t>
        </w:r>
        <w:r w:rsidR="00623E14" w:rsidRPr="00800D1B">
          <w:rPr>
            <w:lang w:val="sv-SE"/>
          </w:rPr>
          <w:tab/>
        </w:r>
        <w:r w:rsidR="00623E14" w:rsidRPr="00800D1B">
          <w:rPr>
            <w:lang w:val="sv-SE"/>
          </w:rPr>
          <w:fldChar w:fldCharType="begin"/>
        </w:r>
        <w:r w:rsidR="00623E14" w:rsidRPr="00800D1B">
          <w:rPr>
            <w:lang w:val="sv-SE"/>
          </w:rPr>
          <w:instrText xml:space="preserve"> PAGEREF _Toc256000460 \h </w:instrText>
        </w:r>
        <w:r w:rsidR="00623E14" w:rsidRPr="00800D1B">
          <w:rPr>
            <w:lang w:val="sv-SE"/>
          </w:rPr>
        </w:r>
        <w:r w:rsidR="00623E14" w:rsidRPr="00800D1B">
          <w:rPr>
            <w:lang w:val="sv-SE"/>
          </w:rPr>
          <w:fldChar w:fldCharType="separate"/>
        </w:r>
        <w:r w:rsidR="00623E14" w:rsidRPr="00800D1B">
          <w:rPr>
            <w:lang w:val="sv-SE"/>
          </w:rPr>
          <w:t>106</w:t>
        </w:r>
        <w:r w:rsidR="00623E14" w:rsidRPr="00800D1B">
          <w:rPr>
            <w:lang w:val="sv-SE"/>
          </w:rPr>
          <w:fldChar w:fldCharType="end"/>
        </w:r>
      </w:hyperlink>
    </w:p>
    <w:p w14:paraId="2D0654CF" w14:textId="77777777" w:rsidR="003422DB" w:rsidRPr="00800D1B" w:rsidRDefault="00000000">
      <w:pPr>
        <w:pStyle w:val="Innehll1"/>
        <w:tabs>
          <w:tab w:val="right" w:leader="dot" w:pos="10240"/>
        </w:tabs>
        <w:rPr>
          <w:rFonts w:ascii="Calibri" w:hAnsi="Calibri"/>
          <w:sz w:val="22"/>
          <w:lang w:val="sv-SE"/>
        </w:rPr>
      </w:pPr>
      <w:hyperlink w:anchor="_Toc256000461" w:history="1">
        <w:r w:rsidR="00A77B3E" w:rsidRPr="00800D1B">
          <w:rPr>
            <w:rStyle w:val="Hyperlnk"/>
            <w:lang w:val="sv-SE"/>
          </w:rPr>
          <w:t>5. Programmyndigheter</w:t>
        </w:r>
        <w:r w:rsidR="00623E14" w:rsidRPr="00800D1B">
          <w:rPr>
            <w:lang w:val="sv-SE"/>
          </w:rPr>
          <w:tab/>
        </w:r>
        <w:r w:rsidR="00623E14" w:rsidRPr="00800D1B">
          <w:rPr>
            <w:lang w:val="sv-SE"/>
          </w:rPr>
          <w:fldChar w:fldCharType="begin"/>
        </w:r>
        <w:r w:rsidR="00623E14" w:rsidRPr="00800D1B">
          <w:rPr>
            <w:lang w:val="sv-SE"/>
          </w:rPr>
          <w:instrText xml:space="preserve"> PAGEREF _Toc256000461 \h </w:instrText>
        </w:r>
        <w:r w:rsidR="00623E14" w:rsidRPr="00800D1B">
          <w:rPr>
            <w:lang w:val="sv-SE"/>
          </w:rPr>
        </w:r>
        <w:r w:rsidR="00623E14" w:rsidRPr="00800D1B">
          <w:rPr>
            <w:lang w:val="sv-SE"/>
          </w:rPr>
          <w:fldChar w:fldCharType="separate"/>
        </w:r>
        <w:r w:rsidR="00623E14" w:rsidRPr="00800D1B">
          <w:rPr>
            <w:lang w:val="sv-SE"/>
          </w:rPr>
          <w:t>134</w:t>
        </w:r>
        <w:r w:rsidR="00623E14" w:rsidRPr="00800D1B">
          <w:rPr>
            <w:lang w:val="sv-SE"/>
          </w:rPr>
          <w:fldChar w:fldCharType="end"/>
        </w:r>
      </w:hyperlink>
    </w:p>
    <w:p w14:paraId="2D0654D0" w14:textId="77777777" w:rsidR="003422DB" w:rsidRPr="00800D1B" w:rsidRDefault="00000000">
      <w:pPr>
        <w:pStyle w:val="Innehll2"/>
        <w:tabs>
          <w:tab w:val="right" w:leader="dot" w:pos="10240"/>
        </w:tabs>
        <w:rPr>
          <w:rFonts w:ascii="Calibri" w:hAnsi="Calibri"/>
          <w:sz w:val="22"/>
          <w:lang w:val="sv-SE"/>
        </w:rPr>
      </w:pPr>
      <w:hyperlink w:anchor="_Toc256000462" w:history="1">
        <w:r w:rsidR="00A77B3E" w:rsidRPr="00800D1B">
          <w:rPr>
            <w:rStyle w:val="Hyperlnk"/>
            <w:lang w:val="sv-SE"/>
          </w:rPr>
          <w:t>Tabell 13: Programmyndigheter</w:t>
        </w:r>
        <w:r w:rsidR="00623E14" w:rsidRPr="00800D1B">
          <w:rPr>
            <w:lang w:val="sv-SE"/>
          </w:rPr>
          <w:tab/>
        </w:r>
        <w:r w:rsidR="00623E14" w:rsidRPr="00800D1B">
          <w:rPr>
            <w:lang w:val="sv-SE"/>
          </w:rPr>
          <w:fldChar w:fldCharType="begin"/>
        </w:r>
        <w:r w:rsidR="00623E14" w:rsidRPr="00800D1B">
          <w:rPr>
            <w:lang w:val="sv-SE"/>
          </w:rPr>
          <w:instrText xml:space="preserve"> PAGEREF _Toc256000462 \h </w:instrText>
        </w:r>
        <w:r w:rsidR="00623E14" w:rsidRPr="00800D1B">
          <w:rPr>
            <w:lang w:val="sv-SE"/>
          </w:rPr>
        </w:r>
        <w:r w:rsidR="00623E14" w:rsidRPr="00800D1B">
          <w:rPr>
            <w:lang w:val="sv-SE"/>
          </w:rPr>
          <w:fldChar w:fldCharType="separate"/>
        </w:r>
        <w:r w:rsidR="00623E14" w:rsidRPr="00800D1B">
          <w:rPr>
            <w:lang w:val="sv-SE"/>
          </w:rPr>
          <w:t>134</w:t>
        </w:r>
        <w:r w:rsidR="00623E14" w:rsidRPr="00800D1B">
          <w:rPr>
            <w:lang w:val="sv-SE"/>
          </w:rPr>
          <w:fldChar w:fldCharType="end"/>
        </w:r>
      </w:hyperlink>
    </w:p>
    <w:p w14:paraId="2D0654D1" w14:textId="77777777" w:rsidR="003422DB" w:rsidRPr="00800D1B" w:rsidRDefault="00000000">
      <w:pPr>
        <w:pStyle w:val="Innehll2"/>
        <w:tabs>
          <w:tab w:val="right" w:leader="dot" w:pos="10240"/>
        </w:tabs>
        <w:rPr>
          <w:rFonts w:ascii="Calibri" w:hAnsi="Calibri"/>
          <w:sz w:val="22"/>
          <w:lang w:val="sv-SE"/>
        </w:rPr>
      </w:pPr>
      <w:hyperlink w:anchor="_Toc256000463" w:history="1">
        <w:r w:rsidR="00A77B3E" w:rsidRPr="00800D1B">
          <w:rPr>
            <w:rStyle w:val="Hyperlnk"/>
            <w:lang w:val="sv-SE"/>
          </w:rPr>
          <w:t>Fördelningen av ersatta belopp för tekniskt bistånd i enlighet med artikel 36.5 i förordningen om gemensamma bestämmelser om fler organ identifieras som ska ta emot betalningar från kommissionen</w:t>
        </w:r>
        <w:r w:rsidR="00623E14" w:rsidRPr="00800D1B">
          <w:rPr>
            <w:lang w:val="sv-SE"/>
          </w:rPr>
          <w:tab/>
        </w:r>
        <w:r w:rsidR="00623E14" w:rsidRPr="00800D1B">
          <w:rPr>
            <w:lang w:val="sv-SE"/>
          </w:rPr>
          <w:fldChar w:fldCharType="begin"/>
        </w:r>
        <w:r w:rsidR="00623E14" w:rsidRPr="00800D1B">
          <w:rPr>
            <w:lang w:val="sv-SE"/>
          </w:rPr>
          <w:instrText xml:space="preserve"> PAGEREF _Toc256000463 \h </w:instrText>
        </w:r>
        <w:r w:rsidR="00623E14" w:rsidRPr="00800D1B">
          <w:rPr>
            <w:lang w:val="sv-SE"/>
          </w:rPr>
        </w:r>
        <w:r w:rsidR="00623E14" w:rsidRPr="00800D1B">
          <w:rPr>
            <w:lang w:val="sv-SE"/>
          </w:rPr>
          <w:fldChar w:fldCharType="separate"/>
        </w:r>
        <w:r w:rsidR="00623E14" w:rsidRPr="00800D1B">
          <w:rPr>
            <w:lang w:val="sv-SE"/>
          </w:rPr>
          <w:t>134</w:t>
        </w:r>
        <w:r w:rsidR="00623E14" w:rsidRPr="00800D1B">
          <w:rPr>
            <w:lang w:val="sv-SE"/>
          </w:rPr>
          <w:fldChar w:fldCharType="end"/>
        </w:r>
      </w:hyperlink>
    </w:p>
    <w:p w14:paraId="2D0654D2" w14:textId="77777777" w:rsidR="003422DB" w:rsidRPr="00800D1B" w:rsidRDefault="00000000">
      <w:pPr>
        <w:pStyle w:val="Innehll1"/>
        <w:tabs>
          <w:tab w:val="right" w:leader="dot" w:pos="10240"/>
        </w:tabs>
        <w:rPr>
          <w:rFonts w:ascii="Calibri" w:hAnsi="Calibri"/>
          <w:sz w:val="22"/>
          <w:lang w:val="sv-SE"/>
        </w:rPr>
      </w:pPr>
      <w:hyperlink w:anchor="_Toc256000464" w:history="1">
        <w:r w:rsidR="00A77B3E" w:rsidRPr="00800D1B">
          <w:rPr>
            <w:rStyle w:val="Hyperlnk"/>
            <w:lang w:val="sv-SE"/>
          </w:rPr>
          <w:t>6. Partnerskap</w:t>
        </w:r>
        <w:r w:rsidR="00623E14" w:rsidRPr="00800D1B">
          <w:rPr>
            <w:lang w:val="sv-SE"/>
          </w:rPr>
          <w:tab/>
        </w:r>
        <w:r w:rsidR="00623E14" w:rsidRPr="00800D1B">
          <w:rPr>
            <w:lang w:val="sv-SE"/>
          </w:rPr>
          <w:fldChar w:fldCharType="begin"/>
        </w:r>
        <w:r w:rsidR="00623E14" w:rsidRPr="00800D1B">
          <w:rPr>
            <w:lang w:val="sv-SE"/>
          </w:rPr>
          <w:instrText xml:space="preserve"> PAGEREF _Toc256000464 \h </w:instrText>
        </w:r>
        <w:r w:rsidR="00623E14" w:rsidRPr="00800D1B">
          <w:rPr>
            <w:lang w:val="sv-SE"/>
          </w:rPr>
        </w:r>
        <w:r w:rsidR="00623E14" w:rsidRPr="00800D1B">
          <w:rPr>
            <w:lang w:val="sv-SE"/>
          </w:rPr>
          <w:fldChar w:fldCharType="separate"/>
        </w:r>
        <w:r w:rsidR="00623E14" w:rsidRPr="00800D1B">
          <w:rPr>
            <w:lang w:val="sv-SE"/>
          </w:rPr>
          <w:t>135</w:t>
        </w:r>
        <w:r w:rsidR="00623E14" w:rsidRPr="00800D1B">
          <w:rPr>
            <w:lang w:val="sv-SE"/>
          </w:rPr>
          <w:fldChar w:fldCharType="end"/>
        </w:r>
      </w:hyperlink>
    </w:p>
    <w:p w14:paraId="2D0654D3" w14:textId="77777777" w:rsidR="003422DB" w:rsidRPr="00800D1B" w:rsidRDefault="00000000">
      <w:pPr>
        <w:pStyle w:val="Innehll1"/>
        <w:tabs>
          <w:tab w:val="right" w:leader="dot" w:pos="10240"/>
        </w:tabs>
        <w:rPr>
          <w:rFonts w:ascii="Calibri" w:hAnsi="Calibri"/>
          <w:sz w:val="22"/>
          <w:lang w:val="sv-SE"/>
        </w:rPr>
      </w:pPr>
      <w:hyperlink w:anchor="_Toc256000465" w:history="1">
        <w:r w:rsidR="00A77B3E" w:rsidRPr="00800D1B">
          <w:rPr>
            <w:rStyle w:val="Hyperlnk"/>
            <w:lang w:val="sv-SE"/>
          </w:rPr>
          <w:t>7. Kommunikation och synlighet</w:t>
        </w:r>
        <w:r w:rsidR="00623E14" w:rsidRPr="00800D1B">
          <w:rPr>
            <w:lang w:val="sv-SE"/>
          </w:rPr>
          <w:tab/>
        </w:r>
        <w:r w:rsidR="00623E14" w:rsidRPr="00800D1B">
          <w:rPr>
            <w:lang w:val="sv-SE"/>
          </w:rPr>
          <w:fldChar w:fldCharType="begin"/>
        </w:r>
        <w:r w:rsidR="00623E14" w:rsidRPr="00800D1B">
          <w:rPr>
            <w:lang w:val="sv-SE"/>
          </w:rPr>
          <w:instrText xml:space="preserve"> PAGEREF _Toc256000465 \h </w:instrText>
        </w:r>
        <w:r w:rsidR="00623E14" w:rsidRPr="00800D1B">
          <w:rPr>
            <w:lang w:val="sv-SE"/>
          </w:rPr>
        </w:r>
        <w:r w:rsidR="00623E14" w:rsidRPr="00800D1B">
          <w:rPr>
            <w:lang w:val="sv-SE"/>
          </w:rPr>
          <w:fldChar w:fldCharType="separate"/>
        </w:r>
        <w:r w:rsidR="00623E14" w:rsidRPr="00800D1B">
          <w:rPr>
            <w:lang w:val="sv-SE"/>
          </w:rPr>
          <w:t>138</w:t>
        </w:r>
        <w:r w:rsidR="00623E14" w:rsidRPr="00800D1B">
          <w:rPr>
            <w:lang w:val="sv-SE"/>
          </w:rPr>
          <w:fldChar w:fldCharType="end"/>
        </w:r>
      </w:hyperlink>
    </w:p>
    <w:p w14:paraId="2D0654D4" w14:textId="77777777" w:rsidR="003422DB" w:rsidRPr="00800D1B" w:rsidRDefault="00000000">
      <w:pPr>
        <w:pStyle w:val="Innehll1"/>
        <w:tabs>
          <w:tab w:val="right" w:leader="dot" w:pos="10240"/>
        </w:tabs>
        <w:rPr>
          <w:rFonts w:ascii="Calibri" w:hAnsi="Calibri"/>
          <w:sz w:val="22"/>
          <w:lang w:val="sv-SE"/>
        </w:rPr>
      </w:pPr>
      <w:hyperlink w:anchor="_Toc256000466" w:history="1">
        <w:r w:rsidR="00A77B3E" w:rsidRPr="00800D1B">
          <w:rPr>
            <w:rStyle w:val="Hyperlnk"/>
            <w:lang w:val="sv-SE"/>
          </w:rPr>
          <w:t>8. Användning av enhetskostnader, enhetsbelopp, schablonsatser och finansiering utan koppling till kostnader</w:t>
        </w:r>
        <w:r w:rsidR="00623E14" w:rsidRPr="00800D1B">
          <w:rPr>
            <w:lang w:val="sv-SE"/>
          </w:rPr>
          <w:tab/>
        </w:r>
        <w:r w:rsidR="00623E14" w:rsidRPr="00800D1B">
          <w:rPr>
            <w:lang w:val="sv-SE"/>
          </w:rPr>
          <w:fldChar w:fldCharType="begin"/>
        </w:r>
        <w:r w:rsidR="00623E14" w:rsidRPr="00800D1B">
          <w:rPr>
            <w:lang w:val="sv-SE"/>
          </w:rPr>
          <w:instrText xml:space="preserve"> PAGEREF _Toc256000466 \h </w:instrText>
        </w:r>
        <w:r w:rsidR="00623E14" w:rsidRPr="00800D1B">
          <w:rPr>
            <w:lang w:val="sv-SE"/>
          </w:rPr>
        </w:r>
        <w:r w:rsidR="00623E14" w:rsidRPr="00800D1B">
          <w:rPr>
            <w:lang w:val="sv-SE"/>
          </w:rPr>
          <w:fldChar w:fldCharType="separate"/>
        </w:r>
        <w:r w:rsidR="00623E14" w:rsidRPr="00800D1B">
          <w:rPr>
            <w:lang w:val="sv-SE"/>
          </w:rPr>
          <w:t>140</w:t>
        </w:r>
        <w:r w:rsidR="00623E14" w:rsidRPr="00800D1B">
          <w:rPr>
            <w:lang w:val="sv-SE"/>
          </w:rPr>
          <w:fldChar w:fldCharType="end"/>
        </w:r>
      </w:hyperlink>
    </w:p>
    <w:p w14:paraId="2D0654D5" w14:textId="77777777" w:rsidR="003422DB" w:rsidRPr="00800D1B" w:rsidRDefault="00000000">
      <w:pPr>
        <w:pStyle w:val="Innehll2"/>
        <w:tabs>
          <w:tab w:val="right" w:leader="dot" w:pos="10240"/>
        </w:tabs>
        <w:rPr>
          <w:rFonts w:ascii="Calibri" w:hAnsi="Calibri"/>
          <w:sz w:val="22"/>
          <w:lang w:val="sv-SE"/>
        </w:rPr>
      </w:pPr>
      <w:hyperlink w:anchor="_Toc256000467" w:history="1">
        <w:r w:rsidR="00A77B3E" w:rsidRPr="00800D1B">
          <w:rPr>
            <w:rStyle w:val="Hyperlnk"/>
            <w:lang w:val="sv-SE"/>
          </w:rPr>
          <w:t>Tabell 14: Användning av enhetskostnader, enhetsbelopp, schablonsatser och finansiering utan koppling till kostnader</w:t>
        </w:r>
        <w:r w:rsidR="00623E14" w:rsidRPr="00800D1B">
          <w:rPr>
            <w:lang w:val="sv-SE"/>
          </w:rPr>
          <w:tab/>
        </w:r>
        <w:r w:rsidR="00623E14" w:rsidRPr="00800D1B">
          <w:rPr>
            <w:lang w:val="sv-SE"/>
          </w:rPr>
          <w:fldChar w:fldCharType="begin"/>
        </w:r>
        <w:r w:rsidR="00623E14" w:rsidRPr="00800D1B">
          <w:rPr>
            <w:lang w:val="sv-SE"/>
          </w:rPr>
          <w:instrText xml:space="preserve"> PAGEREF _Toc256000467 \h </w:instrText>
        </w:r>
        <w:r w:rsidR="00623E14" w:rsidRPr="00800D1B">
          <w:rPr>
            <w:lang w:val="sv-SE"/>
          </w:rPr>
        </w:r>
        <w:r w:rsidR="00623E14" w:rsidRPr="00800D1B">
          <w:rPr>
            <w:lang w:val="sv-SE"/>
          </w:rPr>
          <w:fldChar w:fldCharType="separate"/>
        </w:r>
        <w:r w:rsidR="00623E14" w:rsidRPr="00800D1B">
          <w:rPr>
            <w:lang w:val="sv-SE"/>
          </w:rPr>
          <w:t>140</w:t>
        </w:r>
        <w:r w:rsidR="00623E14" w:rsidRPr="00800D1B">
          <w:rPr>
            <w:lang w:val="sv-SE"/>
          </w:rPr>
          <w:fldChar w:fldCharType="end"/>
        </w:r>
      </w:hyperlink>
    </w:p>
    <w:p w14:paraId="2D0654D6" w14:textId="77777777" w:rsidR="003422DB" w:rsidRPr="00800D1B" w:rsidRDefault="00000000">
      <w:pPr>
        <w:pStyle w:val="Innehll1"/>
        <w:tabs>
          <w:tab w:val="right" w:leader="dot" w:pos="10240"/>
        </w:tabs>
        <w:rPr>
          <w:rFonts w:ascii="Calibri" w:hAnsi="Calibri"/>
          <w:sz w:val="22"/>
          <w:lang w:val="sv-SE"/>
        </w:rPr>
      </w:pPr>
      <w:hyperlink w:anchor="_Toc256000468" w:history="1">
        <w:r w:rsidR="00A77B3E" w:rsidRPr="00800D1B">
          <w:rPr>
            <w:rStyle w:val="Hyperlnk"/>
            <w:lang w:val="sv-SE"/>
          </w:rPr>
          <w:t>Tillägg 1: Bidrag från unionen på grundval av enhetskostnader, enhetsbelopp och schablonsatser</w:t>
        </w:r>
        <w:r w:rsidR="00623E14" w:rsidRPr="00800D1B">
          <w:rPr>
            <w:lang w:val="sv-SE"/>
          </w:rPr>
          <w:tab/>
        </w:r>
        <w:r w:rsidR="00623E14" w:rsidRPr="00800D1B">
          <w:rPr>
            <w:lang w:val="sv-SE"/>
          </w:rPr>
          <w:fldChar w:fldCharType="begin"/>
        </w:r>
        <w:r w:rsidR="00623E14" w:rsidRPr="00800D1B">
          <w:rPr>
            <w:lang w:val="sv-SE"/>
          </w:rPr>
          <w:instrText xml:space="preserve"> PAGEREF _Toc256000468 \h </w:instrText>
        </w:r>
        <w:r w:rsidR="00623E14" w:rsidRPr="00800D1B">
          <w:rPr>
            <w:lang w:val="sv-SE"/>
          </w:rPr>
        </w:r>
        <w:r w:rsidR="00623E14" w:rsidRPr="00800D1B">
          <w:rPr>
            <w:lang w:val="sv-SE"/>
          </w:rPr>
          <w:fldChar w:fldCharType="separate"/>
        </w:r>
        <w:r w:rsidR="00623E14" w:rsidRPr="00800D1B">
          <w:rPr>
            <w:lang w:val="sv-SE"/>
          </w:rPr>
          <w:t>141</w:t>
        </w:r>
        <w:r w:rsidR="00623E14" w:rsidRPr="00800D1B">
          <w:rPr>
            <w:lang w:val="sv-SE"/>
          </w:rPr>
          <w:fldChar w:fldCharType="end"/>
        </w:r>
      </w:hyperlink>
    </w:p>
    <w:p w14:paraId="2D0654D7" w14:textId="77777777" w:rsidR="003422DB" w:rsidRPr="00800D1B" w:rsidRDefault="00000000">
      <w:pPr>
        <w:pStyle w:val="Innehll2"/>
        <w:tabs>
          <w:tab w:val="right" w:leader="dot" w:pos="10240"/>
        </w:tabs>
        <w:rPr>
          <w:rFonts w:ascii="Calibri" w:hAnsi="Calibri"/>
          <w:sz w:val="22"/>
          <w:lang w:val="sv-SE"/>
        </w:rPr>
      </w:pPr>
      <w:hyperlink w:anchor="_Toc256000469" w:history="1">
        <w:r w:rsidR="00A77B3E" w:rsidRPr="00800D1B">
          <w:rPr>
            <w:rStyle w:val="Hyperlnk"/>
            <w:lang w:val="sv-SE"/>
          </w:rPr>
          <w:t>A. Sammanfattning av de viktigaste delarna</w:t>
        </w:r>
        <w:r w:rsidR="00623E14" w:rsidRPr="00800D1B">
          <w:rPr>
            <w:lang w:val="sv-SE"/>
          </w:rPr>
          <w:tab/>
        </w:r>
        <w:r w:rsidR="00623E14" w:rsidRPr="00800D1B">
          <w:rPr>
            <w:lang w:val="sv-SE"/>
          </w:rPr>
          <w:fldChar w:fldCharType="begin"/>
        </w:r>
        <w:r w:rsidR="00623E14" w:rsidRPr="00800D1B">
          <w:rPr>
            <w:lang w:val="sv-SE"/>
          </w:rPr>
          <w:instrText xml:space="preserve"> PAGEREF _Toc256000469 \h </w:instrText>
        </w:r>
        <w:r w:rsidR="00623E14" w:rsidRPr="00800D1B">
          <w:rPr>
            <w:lang w:val="sv-SE"/>
          </w:rPr>
        </w:r>
        <w:r w:rsidR="00623E14" w:rsidRPr="00800D1B">
          <w:rPr>
            <w:lang w:val="sv-SE"/>
          </w:rPr>
          <w:fldChar w:fldCharType="separate"/>
        </w:r>
        <w:r w:rsidR="00623E14" w:rsidRPr="00800D1B">
          <w:rPr>
            <w:lang w:val="sv-SE"/>
          </w:rPr>
          <w:t>141</w:t>
        </w:r>
        <w:r w:rsidR="00623E14" w:rsidRPr="00800D1B">
          <w:rPr>
            <w:lang w:val="sv-SE"/>
          </w:rPr>
          <w:fldChar w:fldCharType="end"/>
        </w:r>
      </w:hyperlink>
    </w:p>
    <w:p w14:paraId="2D0654D8" w14:textId="77777777" w:rsidR="003422DB" w:rsidRPr="00800D1B" w:rsidRDefault="00000000">
      <w:pPr>
        <w:pStyle w:val="Innehll2"/>
        <w:tabs>
          <w:tab w:val="right" w:leader="dot" w:pos="10240"/>
        </w:tabs>
        <w:rPr>
          <w:rFonts w:ascii="Calibri" w:hAnsi="Calibri"/>
          <w:sz w:val="22"/>
          <w:lang w:val="sv-SE"/>
        </w:rPr>
      </w:pPr>
      <w:hyperlink w:anchor="_Toc256000470" w:history="1">
        <w:r w:rsidR="00A77B3E" w:rsidRPr="00800D1B">
          <w:rPr>
            <w:rStyle w:val="Hyperlnk"/>
            <w:lang w:val="sv-SE"/>
          </w:rPr>
          <w:t>B. Uppgifter per typ av insats</w:t>
        </w:r>
        <w:r w:rsidR="00623E14" w:rsidRPr="00800D1B">
          <w:rPr>
            <w:lang w:val="sv-SE"/>
          </w:rPr>
          <w:tab/>
        </w:r>
        <w:r w:rsidR="00623E14" w:rsidRPr="00800D1B">
          <w:rPr>
            <w:lang w:val="sv-SE"/>
          </w:rPr>
          <w:fldChar w:fldCharType="begin"/>
        </w:r>
        <w:r w:rsidR="00623E14" w:rsidRPr="00800D1B">
          <w:rPr>
            <w:lang w:val="sv-SE"/>
          </w:rPr>
          <w:instrText xml:space="preserve"> PAGEREF _Toc256000470 \h </w:instrText>
        </w:r>
        <w:r w:rsidR="00623E14" w:rsidRPr="00800D1B">
          <w:rPr>
            <w:lang w:val="sv-SE"/>
          </w:rPr>
        </w:r>
        <w:r w:rsidR="00623E14" w:rsidRPr="00800D1B">
          <w:rPr>
            <w:lang w:val="sv-SE"/>
          </w:rPr>
          <w:fldChar w:fldCharType="separate"/>
        </w:r>
        <w:r w:rsidR="00623E14" w:rsidRPr="00800D1B">
          <w:rPr>
            <w:lang w:val="sv-SE"/>
          </w:rPr>
          <w:t>142</w:t>
        </w:r>
        <w:r w:rsidR="00623E14" w:rsidRPr="00800D1B">
          <w:rPr>
            <w:lang w:val="sv-SE"/>
          </w:rPr>
          <w:fldChar w:fldCharType="end"/>
        </w:r>
      </w:hyperlink>
    </w:p>
    <w:p w14:paraId="2D0654D9" w14:textId="77777777" w:rsidR="003422DB" w:rsidRPr="00800D1B" w:rsidRDefault="00000000">
      <w:pPr>
        <w:pStyle w:val="Innehll2"/>
        <w:tabs>
          <w:tab w:val="right" w:leader="dot" w:pos="10240"/>
        </w:tabs>
        <w:rPr>
          <w:rFonts w:ascii="Calibri" w:hAnsi="Calibri"/>
          <w:sz w:val="22"/>
          <w:lang w:val="sv-SE"/>
        </w:rPr>
      </w:pPr>
      <w:hyperlink w:anchor="_Toc256000471" w:history="1">
        <w:r w:rsidR="00A77B3E" w:rsidRPr="00800D1B">
          <w:rPr>
            <w:rStyle w:val="Hyperlnk"/>
            <w:lang w:val="sv-SE"/>
          </w:rPr>
          <w:t>C. Beräkning av standardiserade skalor för enhetskostnader, enhetsbelopp eller schablonsatser</w:t>
        </w:r>
        <w:r w:rsidR="00623E14" w:rsidRPr="00800D1B">
          <w:rPr>
            <w:lang w:val="sv-SE"/>
          </w:rPr>
          <w:tab/>
        </w:r>
        <w:r w:rsidR="00623E14" w:rsidRPr="00800D1B">
          <w:rPr>
            <w:lang w:val="sv-SE"/>
          </w:rPr>
          <w:fldChar w:fldCharType="begin"/>
        </w:r>
        <w:r w:rsidR="00623E14" w:rsidRPr="00800D1B">
          <w:rPr>
            <w:lang w:val="sv-SE"/>
          </w:rPr>
          <w:instrText xml:space="preserve"> PAGEREF _Toc256000471 \h </w:instrText>
        </w:r>
        <w:r w:rsidR="00623E14" w:rsidRPr="00800D1B">
          <w:rPr>
            <w:lang w:val="sv-SE"/>
          </w:rPr>
        </w:r>
        <w:r w:rsidR="00623E14" w:rsidRPr="00800D1B">
          <w:rPr>
            <w:lang w:val="sv-SE"/>
          </w:rPr>
          <w:fldChar w:fldCharType="separate"/>
        </w:r>
        <w:r w:rsidR="00623E14" w:rsidRPr="00800D1B">
          <w:rPr>
            <w:lang w:val="sv-SE"/>
          </w:rPr>
          <w:t>142</w:t>
        </w:r>
        <w:r w:rsidR="00623E14" w:rsidRPr="00800D1B">
          <w:rPr>
            <w:lang w:val="sv-SE"/>
          </w:rPr>
          <w:fldChar w:fldCharType="end"/>
        </w:r>
      </w:hyperlink>
    </w:p>
    <w:p w14:paraId="2D0654DA" w14:textId="77777777" w:rsidR="003422DB" w:rsidRPr="00800D1B" w:rsidRDefault="00000000">
      <w:pPr>
        <w:pStyle w:val="Innehll2"/>
        <w:tabs>
          <w:tab w:val="right" w:leader="dot" w:pos="10240"/>
        </w:tabs>
        <w:rPr>
          <w:rFonts w:ascii="Calibri" w:hAnsi="Calibri"/>
          <w:sz w:val="22"/>
          <w:lang w:val="sv-SE"/>
        </w:rPr>
      </w:pPr>
      <w:hyperlink w:anchor="_Toc256000472" w:history="1">
        <w:r w:rsidR="00A77B3E" w:rsidRPr="00800D1B">
          <w:rPr>
            <w:rStyle w:val="Hyperlnk"/>
            <w:lang w:val="sv-SE"/>
          </w:rPr>
          <w:t>1. Uppgiftskälla som använts för beräkningen av de standardiserade skalorna för enhetskostnader, enhetsbelopp eller schablonsatser (vem tog fram, samlade in och registrerade uppgifterna, plats för datalagring, brytdatum, validering etc.).</w:t>
        </w:r>
        <w:r w:rsidR="00623E14" w:rsidRPr="00800D1B">
          <w:rPr>
            <w:lang w:val="sv-SE"/>
          </w:rPr>
          <w:tab/>
        </w:r>
        <w:r w:rsidR="00623E14" w:rsidRPr="00800D1B">
          <w:rPr>
            <w:lang w:val="sv-SE"/>
          </w:rPr>
          <w:fldChar w:fldCharType="begin"/>
        </w:r>
        <w:r w:rsidR="00623E14" w:rsidRPr="00800D1B">
          <w:rPr>
            <w:lang w:val="sv-SE"/>
          </w:rPr>
          <w:instrText xml:space="preserve"> PAGEREF _Toc256000472 \h </w:instrText>
        </w:r>
        <w:r w:rsidR="00623E14" w:rsidRPr="00800D1B">
          <w:rPr>
            <w:lang w:val="sv-SE"/>
          </w:rPr>
        </w:r>
        <w:r w:rsidR="00623E14" w:rsidRPr="00800D1B">
          <w:rPr>
            <w:lang w:val="sv-SE"/>
          </w:rPr>
          <w:fldChar w:fldCharType="separate"/>
        </w:r>
        <w:r w:rsidR="00623E14" w:rsidRPr="00800D1B">
          <w:rPr>
            <w:lang w:val="sv-SE"/>
          </w:rPr>
          <w:t>142</w:t>
        </w:r>
        <w:r w:rsidR="00623E14" w:rsidRPr="00800D1B">
          <w:rPr>
            <w:lang w:val="sv-SE"/>
          </w:rPr>
          <w:fldChar w:fldCharType="end"/>
        </w:r>
      </w:hyperlink>
    </w:p>
    <w:p w14:paraId="2D0654DB" w14:textId="77777777" w:rsidR="003422DB" w:rsidRPr="00800D1B" w:rsidRDefault="00000000">
      <w:pPr>
        <w:pStyle w:val="Innehll2"/>
        <w:tabs>
          <w:tab w:val="right" w:leader="dot" w:pos="10240"/>
        </w:tabs>
        <w:rPr>
          <w:rFonts w:ascii="Calibri" w:hAnsi="Calibri"/>
          <w:sz w:val="22"/>
          <w:lang w:val="sv-SE"/>
        </w:rPr>
      </w:pPr>
      <w:hyperlink w:anchor="_Toc256000473" w:history="1">
        <w:r w:rsidR="00A77B3E" w:rsidRPr="00800D1B">
          <w:rPr>
            <w:rStyle w:val="Hyperlnk"/>
            <w:lang w:val="sv-SE"/>
          </w:rPr>
          <w:t>2. Ange varför den föreslagna metoden och beräkningen på grundval av artikel 94.2 i förordningen om gemensamma bestämmelser är relevant för insatstypen.</w:t>
        </w:r>
        <w:r w:rsidR="00623E14" w:rsidRPr="00800D1B">
          <w:rPr>
            <w:lang w:val="sv-SE"/>
          </w:rPr>
          <w:tab/>
        </w:r>
        <w:r w:rsidR="00623E14" w:rsidRPr="00800D1B">
          <w:rPr>
            <w:lang w:val="sv-SE"/>
          </w:rPr>
          <w:fldChar w:fldCharType="begin"/>
        </w:r>
        <w:r w:rsidR="00623E14" w:rsidRPr="00800D1B">
          <w:rPr>
            <w:lang w:val="sv-SE"/>
          </w:rPr>
          <w:instrText xml:space="preserve"> PAGEREF _Toc256000473 \h </w:instrText>
        </w:r>
        <w:r w:rsidR="00623E14" w:rsidRPr="00800D1B">
          <w:rPr>
            <w:lang w:val="sv-SE"/>
          </w:rPr>
        </w:r>
        <w:r w:rsidR="00623E14" w:rsidRPr="00800D1B">
          <w:rPr>
            <w:lang w:val="sv-SE"/>
          </w:rPr>
          <w:fldChar w:fldCharType="separate"/>
        </w:r>
        <w:r w:rsidR="00623E14" w:rsidRPr="00800D1B">
          <w:rPr>
            <w:lang w:val="sv-SE"/>
          </w:rPr>
          <w:t>142</w:t>
        </w:r>
        <w:r w:rsidR="00623E14" w:rsidRPr="00800D1B">
          <w:rPr>
            <w:lang w:val="sv-SE"/>
          </w:rPr>
          <w:fldChar w:fldCharType="end"/>
        </w:r>
      </w:hyperlink>
    </w:p>
    <w:p w14:paraId="2D0654DC" w14:textId="77777777" w:rsidR="003422DB" w:rsidRPr="00800D1B" w:rsidRDefault="00000000">
      <w:pPr>
        <w:pStyle w:val="Innehll2"/>
        <w:tabs>
          <w:tab w:val="right" w:leader="dot" w:pos="10240"/>
        </w:tabs>
        <w:rPr>
          <w:rFonts w:ascii="Calibri" w:hAnsi="Calibri"/>
          <w:sz w:val="22"/>
          <w:lang w:val="sv-SE"/>
        </w:rPr>
      </w:pPr>
      <w:hyperlink w:anchor="_Toc256000474" w:history="1">
        <w:r w:rsidR="00A77B3E" w:rsidRPr="00800D1B">
          <w:rPr>
            <w:rStyle w:val="Hyperlnk"/>
            <w:lang w:val="sv-SE"/>
          </w:rPr>
          <w:t>3. Ange hur beräkningarna gjordes, särskilt eventuella antaganden i fråga om kvalitet eller kvantitet. I relevanta fall ska statistiska belägg och referensvärden användas och på begäran tillhandahållas i ett format som kommissionen kan använda.</w:t>
        </w:r>
        <w:r w:rsidR="00623E14" w:rsidRPr="00800D1B">
          <w:rPr>
            <w:lang w:val="sv-SE"/>
          </w:rPr>
          <w:tab/>
        </w:r>
        <w:r w:rsidR="00623E14" w:rsidRPr="00800D1B">
          <w:rPr>
            <w:lang w:val="sv-SE"/>
          </w:rPr>
          <w:fldChar w:fldCharType="begin"/>
        </w:r>
        <w:r w:rsidR="00623E14" w:rsidRPr="00800D1B">
          <w:rPr>
            <w:lang w:val="sv-SE"/>
          </w:rPr>
          <w:instrText xml:space="preserve"> PAGEREF _Toc256000474 \h </w:instrText>
        </w:r>
        <w:r w:rsidR="00623E14" w:rsidRPr="00800D1B">
          <w:rPr>
            <w:lang w:val="sv-SE"/>
          </w:rPr>
        </w:r>
        <w:r w:rsidR="00623E14" w:rsidRPr="00800D1B">
          <w:rPr>
            <w:lang w:val="sv-SE"/>
          </w:rPr>
          <w:fldChar w:fldCharType="separate"/>
        </w:r>
        <w:r w:rsidR="00623E14" w:rsidRPr="00800D1B">
          <w:rPr>
            <w:lang w:val="sv-SE"/>
          </w:rPr>
          <w:t>142</w:t>
        </w:r>
        <w:r w:rsidR="00623E14" w:rsidRPr="00800D1B">
          <w:rPr>
            <w:lang w:val="sv-SE"/>
          </w:rPr>
          <w:fldChar w:fldCharType="end"/>
        </w:r>
      </w:hyperlink>
    </w:p>
    <w:p w14:paraId="2D0654DD" w14:textId="77777777" w:rsidR="003422DB" w:rsidRPr="00800D1B" w:rsidRDefault="00000000">
      <w:pPr>
        <w:pStyle w:val="Innehll2"/>
        <w:tabs>
          <w:tab w:val="right" w:leader="dot" w:pos="10240"/>
        </w:tabs>
        <w:rPr>
          <w:rFonts w:ascii="Calibri" w:hAnsi="Calibri"/>
          <w:sz w:val="22"/>
          <w:lang w:val="sv-SE"/>
        </w:rPr>
      </w:pPr>
      <w:hyperlink w:anchor="_Toc256000475" w:history="1">
        <w:r w:rsidR="00A77B3E" w:rsidRPr="00800D1B">
          <w:rPr>
            <w:rStyle w:val="Hyperlnk"/>
            <w:lang w:val="sv-SE"/>
          </w:rPr>
          <w:t>4. Förklara hur ni har säkerställt att endast stödberättigande utgifter ingår i beräkningen av standardskalan av enhetskostnad, enhetsbelopp eller schablonsats.</w:t>
        </w:r>
        <w:r w:rsidR="00623E14" w:rsidRPr="00800D1B">
          <w:rPr>
            <w:lang w:val="sv-SE"/>
          </w:rPr>
          <w:tab/>
        </w:r>
        <w:r w:rsidR="00623E14" w:rsidRPr="00800D1B">
          <w:rPr>
            <w:lang w:val="sv-SE"/>
          </w:rPr>
          <w:fldChar w:fldCharType="begin"/>
        </w:r>
        <w:r w:rsidR="00623E14" w:rsidRPr="00800D1B">
          <w:rPr>
            <w:lang w:val="sv-SE"/>
          </w:rPr>
          <w:instrText xml:space="preserve"> PAGEREF _Toc256000475 \h </w:instrText>
        </w:r>
        <w:r w:rsidR="00623E14" w:rsidRPr="00800D1B">
          <w:rPr>
            <w:lang w:val="sv-SE"/>
          </w:rPr>
        </w:r>
        <w:r w:rsidR="00623E14" w:rsidRPr="00800D1B">
          <w:rPr>
            <w:lang w:val="sv-SE"/>
          </w:rPr>
          <w:fldChar w:fldCharType="separate"/>
        </w:r>
        <w:r w:rsidR="00623E14" w:rsidRPr="00800D1B">
          <w:rPr>
            <w:lang w:val="sv-SE"/>
          </w:rPr>
          <w:t>142</w:t>
        </w:r>
        <w:r w:rsidR="00623E14" w:rsidRPr="00800D1B">
          <w:rPr>
            <w:lang w:val="sv-SE"/>
          </w:rPr>
          <w:fldChar w:fldCharType="end"/>
        </w:r>
      </w:hyperlink>
    </w:p>
    <w:p w14:paraId="2D0654DE" w14:textId="77777777" w:rsidR="003422DB" w:rsidRPr="00800D1B" w:rsidRDefault="00000000">
      <w:pPr>
        <w:pStyle w:val="Innehll2"/>
        <w:tabs>
          <w:tab w:val="right" w:leader="dot" w:pos="10240"/>
        </w:tabs>
        <w:rPr>
          <w:rFonts w:ascii="Calibri" w:hAnsi="Calibri"/>
          <w:sz w:val="22"/>
          <w:lang w:val="sv-SE"/>
        </w:rPr>
      </w:pPr>
      <w:hyperlink w:anchor="_Toc256000476" w:history="1">
        <w:r w:rsidR="00A77B3E" w:rsidRPr="00800D1B">
          <w:rPr>
            <w:rStyle w:val="Hyperlnk"/>
            <w:lang w:val="sv-SE"/>
          </w:rPr>
          <w:t>5. Revisionsmyndighetens eller revisionsmyndigheternas bedömning av beräkningsmetoden, beloppen och arrangemangen för att säkerställa kontroll, insamling och lagring av uppgifter samt uppgifternas kvalitet.</w:t>
        </w:r>
        <w:r w:rsidR="00623E14" w:rsidRPr="00800D1B">
          <w:rPr>
            <w:lang w:val="sv-SE"/>
          </w:rPr>
          <w:tab/>
        </w:r>
        <w:r w:rsidR="00623E14" w:rsidRPr="00800D1B">
          <w:rPr>
            <w:lang w:val="sv-SE"/>
          </w:rPr>
          <w:fldChar w:fldCharType="begin"/>
        </w:r>
        <w:r w:rsidR="00623E14" w:rsidRPr="00800D1B">
          <w:rPr>
            <w:lang w:val="sv-SE"/>
          </w:rPr>
          <w:instrText xml:space="preserve"> PAGEREF _Toc256000476 \h </w:instrText>
        </w:r>
        <w:r w:rsidR="00623E14" w:rsidRPr="00800D1B">
          <w:rPr>
            <w:lang w:val="sv-SE"/>
          </w:rPr>
        </w:r>
        <w:r w:rsidR="00623E14" w:rsidRPr="00800D1B">
          <w:rPr>
            <w:lang w:val="sv-SE"/>
          </w:rPr>
          <w:fldChar w:fldCharType="separate"/>
        </w:r>
        <w:r w:rsidR="00623E14" w:rsidRPr="00800D1B">
          <w:rPr>
            <w:lang w:val="sv-SE"/>
          </w:rPr>
          <w:t>142</w:t>
        </w:r>
        <w:r w:rsidR="00623E14" w:rsidRPr="00800D1B">
          <w:rPr>
            <w:lang w:val="sv-SE"/>
          </w:rPr>
          <w:fldChar w:fldCharType="end"/>
        </w:r>
      </w:hyperlink>
    </w:p>
    <w:p w14:paraId="2D0654DF" w14:textId="77777777" w:rsidR="003422DB" w:rsidRPr="00800D1B" w:rsidRDefault="00000000">
      <w:pPr>
        <w:pStyle w:val="Innehll1"/>
        <w:tabs>
          <w:tab w:val="right" w:leader="dot" w:pos="10240"/>
        </w:tabs>
        <w:rPr>
          <w:rFonts w:ascii="Calibri" w:hAnsi="Calibri"/>
          <w:sz w:val="22"/>
          <w:lang w:val="sv-SE"/>
        </w:rPr>
      </w:pPr>
      <w:hyperlink w:anchor="_Toc256000477" w:history="1">
        <w:r w:rsidR="00A77B3E" w:rsidRPr="00800D1B">
          <w:rPr>
            <w:rStyle w:val="Hyperlnk"/>
            <w:lang w:val="sv-SE"/>
          </w:rPr>
          <w:t>Tillägg 2: Bidrag från unionen på grundval av finansiering som inte är kopplad till kostnaderna</w:t>
        </w:r>
        <w:r w:rsidR="00623E14" w:rsidRPr="00800D1B">
          <w:rPr>
            <w:lang w:val="sv-SE"/>
          </w:rPr>
          <w:tab/>
        </w:r>
        <w:r w:rsidR="00623E14" w:rsidRPr="00800D1B">
          <w:rPr>
            <w:lang w:val="sv-SE"/>
          </w:rPr>
          <w:fldChar w:fldCharType="begin"/>
        </w:r>
        <w:r w:rsidR="00623E14" w:rsidRPr="00800D1B">
          <w:rPr>
            <w:lang w:val="sv-SE"/>
          </w:rPr>
          <w:instrText xml:space="preserve"> PAGEREF _Toc256000477 \h </w:instrText>
        </w:r>
        <w:r w:rsidR="00623E14" w:rsidRPr="00800D1B">
          <w:rPr>
            <w:lang w:val="sv-SE"/>
          </w:rPr>
        </w:r>
        <w:r w:rsidR="00623E14" w:rsidRPr="00800D1B">
          <w:rPr>
            <w:lang w:val="sv-SE"/>
          </w:rPr>
          <w:fldChar w:fldCharType="separate"/>
        </w:r>
        <w:r w:rsidR="00623E14" w:rsidRPr="00800D1B">
          <w:rPr>
            <w:lang w:val="sv-SE"/>
          </w:rPr>
          <w:t>144</w:t>
        </w:r>
        <w:r w:rsidR="00623E14" w:rsidRPr="00800D1B">
          <w:rPr>
            <w:lang w:val="sv-SE"/>
          </w:rPr>
          <w:fldChar w:fldCharType="end"/>
        </w:r>
      </w:hyperlink>
    </w:p>
    <w:p w14:paraId="2D0654E0" w14:textId="77777777" w:rsidR="003422DB" w:rsidRPr="00800D1B" w:rsidRDefault="00000000">
      <w:pPr>
        <w:pStyle w:val="Innehll2"/>
        <w:tabs>
          <w:tab w:val="right" w:leader="dot" w:pos="10240"/>
        </w:tabs>
        <w:rPr>
          <w:rFonts w:ascii="Calibri" w:hAnsi="Calibri"/>
          <w:sz w:val="22"/>
          <w:lang w:val="sv-SE"/>
        </w:rPr>
      </w:pPr>
      <w:hyperlink w:anchor="_Toc256000478" w:history="1">
        <w:r w:rsidR="00A77B3E" w:rsidRPr="00800D1B">
          <w:rPr>
            <w:rStyle w:val="Hyperlnk"/>
            <w:lang w:val="sv-SE"/>
          </w:rPr>
          <w:t>A. Sammanfattning av de viktigaste delarna</w:t>
        </w:r>
        <w:r w:rsidR="00623E14" w:rsidRPr="00800D1B">
          <w:rPr>
            <w:lang w:val="sv-SE"/>
          </w:rPr>
          <w:tab/>
        </w:r>
        <w:r w:rsidR="00623E14" w:rsidRPr="00800D1B">
          <w:rPr>
            <w:lang w:val="sv-SE"/>
          </w:rPr>
          <w:fldChar w:fldCharType="begin"/>
        </w:r>
        <w:r w:rsidR="00623E14" w:rsidRPr="00800D1B">
          <w:rPr>
            <w:lang w:val="sv-SE"/>
          </w:rPr>
          <w:instrText xml:space="preserve"> PAGEREF _Toc256000478 \h </w:instrText>
        </w:r>
        <w:r w:rsidR="00623E14" w:rsidRPr="00800D1B">
          <w:rPr>
            <w:lang w:val="sv-SE"/>
          </w:rPr>
        </w:r>
        <w:r w:rsidR="00623E14" w:rsidRPr="00800D1B">
          <w:rPr>
            <w:lang w:val="sv-SE"/>
          </w:rPr>
          <w:fldChar w:fldCharType="separate"/>
        </w:r>
        <w:r w:rsidR="00623E14" w:rsidRPr="00800D1B">
          <w:rPr>
            <w:lang w:val="sv-SE"/>
          </w:rPr>
          <w:t>144</w:t>
        </w:r>
        <w:r w:rsidR="00623E14" w:rsidRPr="00800D1B">
          <w:rPr>
            <w:lang w:val="sv-SE"/>
          </w:rPr>
          <w:fldChar w:fldCharType="end"/>
        </w:r>
      </w:hyperlink>
    </w:p>
    <w:p w14:paraId="2D0654E1" w14:textId="77777777" w:rsidR="003422DB" w:rsidRPr="00800D1B" w:rsidRDefault="00000000">
      <w:pPr>
        <w:pStyle w:val="Innehll2"/>
        <w:tabs>
          <w:tab w:val="right" w:leader="dot" w:pos="10240"/>
        </w:tabs>
        <w:rPr>
          <w:rFonts w:ascii="Calibri" w:hAnsi="Calibri"/>
          <w:sz w:val="22"/>
          <w:lang w:val="sv-SE"/>
        </w:rPr>
      </w:pPr>
      <w:hyperlink w:anchor="_Toc256000479" w:history="1">
        <w:r w:rsidR="00A77B3E" w:rsidRPr="00800D1B">
          <w:rPr>
            <w:rStyle w:val="Hyperlnk"/>
            <w:lang w:val="sv-SE"/>
          </w:rPr>
          <w:t>B. Uppgifter per typ av insats</w:t>
        </w:r>
        <w:r w:rsidR="00623E14" w:rsidRPr="00800D1B">
          <w:rPr>
            <w:lang w:val="sv-SE"/>
          </w:rPr>
          <w:tab/>
        </w:r>
        <w:r w:rsidR="00623E14" w:rsidRPr="00800D1B">
          <w:rPr>
            <w:lang w:val="sv-SE"/>
          </w:rPr>
          <w:fldChar w:fldCharType="begin"/>
        </w:r>
        <w:r w:rsidR="00623E14" w:rsidRPr="00800D1B">
          <w:rPr>
            <w:lang w:val="sv-SE"/>
          </w:rPr>
          <w:instrText xml:space="preserve"> PAGEREF _Toc256000479 \h </w:instrText>
        </w:r>
        <w:r w:rsidR="00623E14" w:rsidRPr="00800D1B">
          <w:rPr>
            <w:lang w:val="sv-SE"/>
          </w:rPr>
        </w:r>
        <w:r w:rsidR="00623E14" w:rsidRPr="00800D1B">
          <w:rPr>
            <w:lang w:val="sv-SE"/>
          </w:rPr>
          <w:fldChar w:fldCharType="separate"/>
        </w:r>
        <w:r w:rsidR="00623E14" w:rsidRPr="00800D1B">
          <w:rPr>
            <w:lang w:val="sv-SE"/>
          </w:rPr>
          <w:t>145</w:t>
        </w:r>
        <w:r w:rsidR="00623E14" w:rsidRPr="00800D1B">
          <w:rPr>
            <w:lang w:val="sv-SE"/>
          </w:rPr>
          <w:fldChar w:fldCharType="end"/>
        </w:r>
      </w:hyperlink>
    </w:p>
    <w:p w14:paraId="2D0654E2" w14:textId="77777777" w:rsidR="003422DB" w:rsidRPr="00800D1B" w:rsidRDefault="00000000">
      <w:pPr>
        <w:pStyle w:val="Innehll1"/>
        <w:tabs>
          <w:tab w:val="right" w:leader="dot" w:pos="10240"/>
        </w:tabs>
        <w:rPr>
          <w:rFonts w:ascii="Calibri" w:hAnsi="Calibri"/>
          <w:sz w:val="22"/>
          <w:lang w:val="sv-SE"/>
        </w:rPr>
      </w:pPr>
      <w:hyperlink w:anchor="_Toc256000480" w:history="1">
        <w:r w:rsidR="00A77B3E" w:rsidRPr="00800D1B">
          <w:rPr>
            <w:rStyle w:val="Hyperlnk"/>
            <w:lang w:val="sv-SE"/>
          </w:rPr>
          <w:t>Tillägg 3: Förteckning över planerade insatser av strategisk betydelse med en tidplan</w:t>
        </w:r>
        <w:r w:rsidR="00623E14" w:rsidRPr="00800D1B">
          <w:rPr>
            <w:lang w:val="sv-SE"/>
          </w:rPr>
          <w:tab/>
        </w:r>
        <w:r w:rsidR="00623E14" w:rsidRPr="00800D1B">
          <w:rPr>
            <w:lang w:val="sv-SE"/>
          </w:rPr>
          <w:fldChar w:fldCharType="begin"/>
        </w:r>
        <w:r w:rsidR="00623E14" w:rsidRPr="00800D1B">
          <w:rPr>
            <w:lang w:val="sv-SE"/>
          </w:rPr>
          <w:instrText xml:space="preserve"> PAGEREF _Toc256000480 \h </w:instrText>
        </w:r>
        <w:r w:rsidR="00623E14" w:rsidRPr="00800D1B">
          <w:rPr>
            <w:lang w:val="sv-SE"/>
          </w:rPr>
        </w:r>
        <w:r w:rsidR="00623E14" w:rsidRPr="00800D1B">
          <w:rPr>
            <w:lang w:val="sv-SE"/>
          </w:rPr>
          <w:fldChar w:fldCharType="separate"/>
        </w:r>
        <w:r w:rsidR="00623E14" w:rsidRPr="00800D1B">
          <w:rPr>
            <w:lang w:val="sv-SE"/>
          </w:rPr>
          <w:t>146</w:t>
        </w:r>
        <w:r w:rsidR="00623E14" w:rsidRPr="00800D1B">
          <w:rPr>
            <w:lang w:val="sv-SE"/>
          </w:rPr>
          <w:fldChar w:fldCharType="end"/>
        </w:r>
      </w:hyperlink>
    </w:p>
    <w:p w14:paraId="305DBE1C" w14:textId="598EA047" w:rsidR="004725C1" w:rsidRPr="00800D1B" w:rsidRDefault="00000000" w:rsidP="00D517AF">
      <w:pPr>
        <w:pStyle w:val="Innehll1"/>
        <w:tabs>
          <w:tab w:val="right" w:leader="dot" w:pos="10240"/>
        </w:tabs>
        <w:rPr>
          <w:lang w:val="sv-SE"/>
        </w:rPr>
      </w:pPr>
      <w:hyperlink w:anchor="_Toc256000481" w:history="1">
        <w:r w:rsidR="00A77B3E" w:rsidRPr="00800D1B">
          <w:rPr>
            <w:rStyle w:val="Hyperlnk"/>
            <w:lang w:val="sv-SE"/>
          </w:rPr>
          <w:t>DOKUMENT</w:t>
        </w:r>
        <w:r w:rsidR="00623E14" w:rsidRPr="00800D1B">
          <w:rPr>
            <w:lang w:val="sv-SE"/>
          </w:rPr>
          <w:tab/>
        </w:r>
        <w:r w:rsidR="00623E14" w:rsidRPr="00800D1B">
          <w:rPr>
            <w:lang w:val="sv-SE"/>
          </w:rPr>
          <w:fldChar w:fldCharType="begin"/>
        </w:r>
        <w:r w:rsidR="00623E14" w:rsidRPr="00800D1B">
          <w:rPr>
            <w:lang w:val="sv-SE"/>
          </w:rPr>
          <w:instrText xml:space="preserve"> PAGEREF _Toc256000481 \h </w:instrText>
        </w:r>
        <w:r w:rsidR="00623E14" w:rsidRPr="00800D1B">
          <w:rPr>
            <w:lang w:val="sv-SE"/>
          </w:rPr>
        </w:r>
        <w:r w:rsidR="00623E14" w:rsidRPr="00800D1B">
          <w:rPr>
            <w:lang w:val="sv-SE"/>
          </w:rPr>
          <w:fldChar w:fldCharType="separate"/>
        </w:r>
        <w:r w:rsidR="00623E14" w:rsidRPr="00800D1B">
          <w:rPr>
            <w:lang w:val="sv-SE"/>
          </w:rPr>
          <w:t>147</w:t>
        </w:r>
        <w:r w:rsidR="00623E14" w:rsidRPr="00800D1B">
          <w:rPr>
            <w:lang w:val="sv-SE"/>
          </w:rPr>
          <w:fldChar w:fldCharType="end"/>
        </w:r>
      </w:hyperlink>
    </w:p>
    <w:p w14:paraId="15F8266A" w14:textId="7E725164" w:rsidR="004725C1" w:rsidRPr="00800D1B" w:rsidRDefault="004725C1" w:rsidP="004725C1">
      <w:pPr>
        <w:rPr>
          <w:lang w:val="sv-SE"/>
        </w:rPr>
        <w:sectPr w:rsidR="004725C1" w:rsidRPr="00800D1B" w:rsidSect="00D517AF">
          <w:pgSz w:w="11906" w:h="16838"/>
          <w:pgMar w:top="720" w:right="936" w:bottom="864" w:left="720" w:header="0" w:footer="72" w:gutter="0"/>
          <w:cols w:space="720"/>
          <w:noEndnote/>
          <w:docGrid w:linePitch="360"/>
        </w:sectPr>
      </w:pPr>
    </w:p>
    <w:p w14:paraId="2D0654E4" w14:textId="4EBFAA0E" w:rsidR="00A77B3E" w:rsidRPr="00800D1B" w:rsidRDefault="00623E14" w:rsidP="00CC562B">
      <w:pPr>
        <w:pStyle w:val="Rubrik2"/>
        <w:spacing w:after="240"/>
        <w:ind w:left="180" w:hanging="180"/>
        <w:rPr>
          <w:lang w:val="sv-SE"/>
        </w:rPr>
      </w:pPr>
      <w:r w:rsidRPr="00800D1B">
        <w:rPr>
          <w:b/>
          <w:lang w:val="sv-SE"/>
        </w:rPr>
        <w:fldChar w:fldCharType="end"/>
      </w:r>
      <w:bookmarkStart w:id="0" w:name="_Toc256000241"/>
      <w:r w:rsidRPr="00CC562B">
        <w:rPr>
          <w:lang w:val="sv-SE"/>
        </w:rPr>
        <w:t>Programstrategi</w:t>
      </w:r>
      <w:r w:rsidRPr="00800D1B">
        <w:rPr>
          <w:lang w:val="sv-SE"/>
        </w:rPr>
        <w:t>: viktigaste utmaningar och politiska åtgärder</w:t>
      </w:r>
      <w:bookmarkEnd w:id="0"/>
    </w:p>
    <w:p w14:paraId="05243721" w14:textId="77777777" w:rsidR="00FD4482" w:rsidRPr="00800D1B" w:rsidRDefault="00623E14" w:rsidP="00701936">
      <w:pPr>
        <w:spacing w:before="100" w:after="120"/>
        <w:rPr>
          <w:color w:val="000000"/>
          <w:lang w:val="sv-SE"/>
        </w:rPr>
      </w:pPr>
      <w:r w:rsidRPr="00800D1B">
        <w:rPr>
          <w:color w:val="000000"/>
          <w:lang w:val="sv-SE"/>
        </w:rPr>
        <w:t>Referens: artikel 22.3 a i–viii och a x samt b i förordning (EU) 2021/1060 (förordningen om gemensamma bestämmelser)</w:t>
      </w:r>
    </w:p>
    <w:p w14:paraId="6F5D187A" w14:textId="5463BBE4" w:rsidR="00FD4482" w:rsidRPr="00800D1B" w:rsidRDefault="00F17B07">
      <w:pPr>
        <w:spacing w:before="100"/>
        <w:rPr>
          <w:color w:val="000000"/>
          <w:sz w:val="0"/>
          <w:lang w:val="sv-SE"/>
        </w:rPr>
      </w:pPr>
      <w:r w:rsidRPr="00800D1B">
        <w:rPr>
          <w:color w:val="000000"/>
          <w:sz w:val="0"/>
          <w:lang w:val="sv-SE"/>
        </w:rPr>
        <mc:AlternateContent>
          <mc:Choice Requires="wps">
            <w:drawing>
              <wp:anchor distT="0" distB="0" distL="114300" distR="114300" simplePos="0" relativeHeight="251695104" behindDoc="0" locked="0" layoutInCell="1" allowOverlap="1" wp14:anchorId="112BFB9D" wp14:editId="064B721E">
                <wp:simplePos x="0" y="0"/>
                <wp:positionH relativeFrom="column">
                  <wp:posOffset>-76200</wp:posOffset>
                </wp:positionH>
                <wp:positionV relativeFrom="page">
                  <wp:posOffset>1188720</wp:posOffset>
                </wp:positionV>
                <wp:extent cx="6598920" cy="8869680"/>
                <wp:effectExtent l="0" t="0" r="11430" b="26670"/>
                <wp:wrapNone/>
                <wp:docPr id="32" name="Rectangle 3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598920" cy="886968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81BF20" id="Rectangle 32" o:spid="_x0000_s1026" alt="&quot;&quot;" style="position:absolute;margin-left:-6pt;margin-top:93.6pt;width:519.6pt;height:698.4pt;z-index:251695104;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" filled="f" strokecolor="black [3213]" strokeweight=".5pt">
                <w10:wrap anchory="page"/>
              </v:rect>
            </w:pict>
          </mc:Fallback>
        </mc:AlternateContent>
      </w:r>
    </w:p>
    <w:p w14:paraId="6180F834" w14:textId="77777777" w:rsidR="00FD4482" w:rsidRPr="00800D1B" w:rsidRDefault="00FD4482" w:rsidP="007C5F91">
      <w:pPr>
        <w:pStyle w:val="Rubrik3"/>
        <w:numPr>
          <w:ilvl w:val="0"/>
          <w:numId w:val="0"/>
        </w:numPr>
        <w:spacing w:before="300" w:after="100"/>
        <w:contextualSpacing w:val="0"/>
        <w:rPr>
          <w:b/>
          <w:bCs/>
          <w:lang w:val="sv-SE"/>
        </w:rPr>
      </w:pPr>
      <w:r w:rsidRPr="00800D1B">
        <w:rPr>
          <w:b/>
          <w:bCs/>
          <w:lang w:val="sv-SE"/>
        </w:rPr>
        <w:t xml:space="preserve">Programmets vision </w:t>
      </w:r>
    </w:p>
    <w:p w14:paraId="2BBED4B5" w14:textId="77777777" w:rsidR="00FD4482" w:rsidRPr="00800D1B" w:rsidRDefault="00FD4482" w:rsidP="007C5F91">
      <w:pPr>
        <w:spacing w:before="100"/>
        <w:rPr>
          <w:color w:val="000000"/>
          <w:lang w:val="sv-SE"/>
        </w:rPr>
      </w:pPr>
      <w:r w:rsidRPr="00800D1B">
        <w:rPr>
          <w:color w:val="000000"/>
          <w:lang w:val="sv-SE"/>
        </w:rPr>
        <w:t>Programmet ska bidra till att stärka regionens konkurrens- och attraktionskraft på lång och kort sikt. Efter genomfört program ska regionens innovationssystem vara inkluderande och samhället i framkant beträffande genomförandet av de globala målen för hållbar utveckling i Agenda 2030.</w:t>
      </w:r>
    </w:p>
    <w:p w14:paraId="52F2FA38" w14:textId="77777777" w:rsidR="00FD4482" w:rsidRPr="00800D1B" w:rsidRDefault="00FD4482" w:rsidP="007C5F91">
      <w:pPr>
        <w:pStyle w:val="Rubrik3"/>
        <w:numPr>
          <w:ilvl w:val="0"/>
          <w:numId w:val="0"/>
        </w:numPr>
        <w:spacing w:before="100" w:after="100"/>
        <w:contextualSpacing w:val="0"/>
        <w:rPr>
          <w:b/>
          <w:bCs/>
          <w:lang w:val="sv-SE"/>
        </w:rPr>
      </w:pPr>
      <w:r w:rsidRPr="00800D1B">
        <w:rPr>
          <w:b/>
          <w:bCs/>
          <w:lang w:val="sv-SE"/>
        </w:rPr>
        <w:t xml:space="preserve">De globala hållbarhetsmålen </w:t>
      </w:r>
    </w:p>
    <w:p w14:paraId="4E7627B6" w14:textId="77777777" w:rsidR="00FD4482" w:rsidRPr="00800D1B" w:rsidRDefault="00FD4482" w:rsidP="007C5F91">
      <w:pPr>
        <w:spacing w:before="100"/>
        <w:rPr>
          <w:color w:val="000000"/>
          <w:lang w:val="sv-SE"/>
        </w:rPr>
      </w:pPr>
      <w:r w:rsidRPr="00800D1B">
        <w:rPr>
          <w:color w:val="000000"/>
          <w:lang w:val="sv-SE"/>
        </w:rPr>
        <w:t>Agenda 2030 belyser utmaningar som t.ex. att bekämpa klimatförändringarna och att skapa jämställda samhällen. För att adressera de globala målen krävs hållbara lösningar på samhällsutmaningarna. Nya former av samverkan mellan olika sektorer och branscher behövs för att öka takten i arbetet.</w:t>
      </w:r>
    </w:p>
    <w:p w14:paraId="25DE4424" w14:textId="77777777" w:rsidR="00FD4482" w:rsidRPr="00800D1B" w:rsidRDefault="00FD4482" w:rsidP="007C5F91">
      <w:pPr>
        <w:spacing w:before="100"/>
        <w:rPr>
          <w:color w:val="000000"/>
          <w:lang w:val="sv-SE"/>
        </w:rPr>
      </w:pPr>
      <w:r w:rsidRPr="00800D1B">
        <w:rPr>
          <w:color w:val="000000"/>
          <w:lang w:val="sv-SE"/>
        </w:rPr>
        <w:t>Regionalfondsprogrammet för Övre Norrland (ÖN) har förutsättningar att bidra till ett stort antal av de globala målen i Agenda 2030. En beskrivning av hur programmet förväntas bidra till globala mål, samt exempel på målkonflikter, kommer att preciseras i kommande utlysningar. Exempelvis hur insatser för industriell omställning inom smarta specialiseringsområden såsom naturbaserad ekonomi och hållbar energi och miljöteknik kan bidra till minskad energiförbrukning inom industriell produktion genom utveckling av energisnåla produktionsprocesser och processinnovationer inom energidistribution (mål 7), minskad resursanvändning i industrin (mål 8 och 12) samt ökad hållbarhet inom industri och infrastruktur (mål 9). Satsningar inom de smarta specialiseringsområdena som rör besöks- och upplevelsenäring kan bland annat främja gynnsam och hållbar turism som skapar arbetstillfällen och främjar lokal kultur och lokala produkter (mål 8) samt bidra till mindre resurskrävande produktion och användning av upplevelsetjänster (mål 12). Insatser inom politiskt mål 1.5 kan främja tillgänglig och utvecklad digital infrastruktur, vilket bidrar till uppgraderad digital infrastruktur för ökad hållbarhet och tillgången till informations och kommunikationsteknik för alla (mål 9). Insatser inom politiskt mål 3 möjliggör en hållbar utveckling av transportlösningar och transportinfrastruktur, vilket kan bidra positivt till bland annat mål 9 och 11.</w:t>
      </w:r>
    </w:p>
    <w:p w14:paraId="5AE8D671" w14:textId="77777777" w:rsidR="00FD4482" w:rsidRPr="00800D1B" w:rsidRDefault="00FD4482" w:rsidP="007C5F91">
      <w:pPr>
        <w:pStyle w:val="Rubrik3"/>
        <w:numPr>
          <w:ilvl w:val="0"/>
          <w:numId w:val="0"/>
        </w:numPr>
        <w:spacing w:before="100" w:after="100"/>
        <w:contextualSpacing w:val="0"/>
        <w:rPr>
          <w:b/>
          <w:bCs/>
          <w:lang w:val="sv-SE"/>
        </w:rPr>
      </w:pPr>
      <w:r w:rsidRPr="00800D1B">
        <w:rPr>
          <w:b/>
          <w:bCs/>
          <w:lang w:val="sv-SE"/>
        </w:rPr>
        <w:t xml:space="preserve">Programregionens ekonomiska, sociala och territoriella förutsättningar </w:t>
      </w:r>
    </w:p>
    <w:p w14:paraId="3177A430" w14:textId="77777777" w:rsidR="00FD4482" w:rsidRPr="00800D1B" w:rsidRDefault="00FD4482" w:rsidP="007C5F91">
      <w:pPr>
        <w:pStyle w:val="Rubrik4"/>
        <w:spacing w:before="120" w:after="100"/>
        <w:ind w:left="0" w:firstLine="0"/>
        <w:rPr>
          <w:i/>
          <w:iCs/>
        </w:rPr>
      </w:pPr>
      <w:r w:rsidRPr="00800D1B">
        <w:rPr>
          <w:i/>
          <w:iCs/>
        </w:rPr>
        <w:t xml:space="preserve">Geografiska och demografiska förutsättningar påverkar möjligheterna </w:t>
      </w:r>
    </w:p>
    <w:p w14:paraId="55E297EF" w14:textId="77777777" w:rsidR="00FD4482" w:rsidRPr="00800D1B" w:rsidRDefault="00FD4482" w:rsidP="007C5F91">
      <w:pPr>
        <w:spacing w:before="100"/>
        <w:rPr>
          <w:color w:val="000000"/>
          <w:lang w:val="sv-SE"/>
        </w:rPr>
      </w:pPr>
      <w:r w:rsidRPr="00800D1B">
        <w:rPr>
          <w:color w:val="000000"/>
          <w:lang w:val="sv-SE"/>
        </w:rPr>
        <w:t>Till ytan är ÖN en av EU:s geografiskt största NUTS 2-regioner och motsvarar nära 40% av Sveriges yta. Området ligger i den nordligaste delen av EU och gränsar till Norge i väst och Finland i öst. Området har strategiska förbindelser för internationell export; västerut mot Norge samt Atlanten och österut mot Finland.</w:t>
      </w:r>
    </w:p>
    <w:p w14:paraId="70EB8523" w14:textId="77777777" w:rsidR="00FD4482" w:rsidRPr="00800D1B" w:rsidRDefault="00FD4482" w:rsidP="007C5F91">
      <w:pPr>
        <w:spacing w:before="100"/>
        <w:rPr>
          <w:color w:val="000000"/>
          <w:lang w:val="sv-SE"/>
        </w:rPr>
      </w:pPr>
      <w:r w:rsidRPr="00800D1B">
        <w:rPr>
          <w:color w:val="000000"/>
          <w:lang w:val="sv-SE"/>
        </w:rPr>
        <w:t>Ungefär 4% av Sveriges befolkning bor i regionen. Det ger en befolkningstäthet på cirka tre invånare per km2. Regionen räknas därmed till en av de mest glesbefolkade inom EU. Två tredjedelar av invånarna bor i regionens kustkommuner vilket skapar en kontrast mellan en tätbefolkad kuststräcka och ett glest befolkat inland (OECD, 2017). ÖN berikas av dess urfolk och nationella minoriteter. De nationella minoriteterna är samer, tornedalingar, sverigefinnar, romer och judar.</w:t>
      </w:r>
    </w:p>
    <w:p w14:paraId="165F7D56" w14:textId="77777777" w:rsidR="00FD4482" w:rsidRPr="00800D1B" w:rsidRDefault="00FD4482" w:rsidP="007C5F91">
      <w:pPr>
        <w:spacing w:before="100"/>
        <w:rPr>
          <w:color w:val="000000"/>
          <w:lang w:val="sv-SE"/>
        </w:rPr>
      </w:pPr>
      <w:r w:rsidRPr="00800D1B">
        <w:rPr>
          <w:color w:val="000000"/>
          <w:lang w:val="sv-SE"/>
        </w:rPr>
        <w:t>Att det samiska folket är ett urfolk medför att de har en särskild lagstadgad rätt att bevara och utveckla sitt språk och sin kultur inklusive sina näringar. Sápmi, det landområde där samerna bor, sträcker sig från Kolahalvön i nordvästra Ryssland över de norra delarna av Norge, Sverige och Finland, längs efter fjällkedjan söderut ner till Engerdal i Norge och Idre i Sverige.</w:t>
      </w:r>
    </w:p>
    <w:p w14:paraId="68581C30" w14:textId="77777777" w:rsidR="00FD4482" w:rsidRPr="00800D1B" w:rsidRDefault="00FD4482" w:rsidP="007C5F91">
      <w:pPr>
        <w:pStyle w:val="Rubrik4"/>
        <w:spacing w:before="120"/>
        <w:ind w:left="0" w:firstLine="0"/>
        <w:rPr>
          <w:i/>
          <w:iCs/>
        </w:rPr>
      </w:pPr>
      <w:r w:rsidRPr="00800D1B">
        <w:rPr>
          <w:i/>
          <w:iCs/>
        </w:rPr>
        <w:t xml:space="preserve">Utmaningar och möjligheter för offentlig sektor och idéburen sektor </w:t>
      </w:r>
    </w:p>
    <w:p w14:paraId="173E5660" w14:textId="77777777" w:rsidR="00FD4482" w:rsidRPr="00800D1B" w:rsidRDefault="00FD4482" w:rsidP="007C5F91">
      <w:pPr>
        <w:spacing w:before="100"/>
        <w:rPr>
          <w:color w:val="000000"/>
          <w:lang w:val="sv-SE"/>
        </w:rPr>
      </w:pPr>
      <w:r w:rsidRPr="00800D1B">
        <w:rPr>
          <w:color w:val="000000"/>
          <w:lang w:val="sv-SE"/>
        </w:rPr>
        <w:t>I många av regionens kommuner är offentlig sektor den största arbetsgivaren och en viktig faktor för att diversifiera arbetsmarknaden och näringslivet i länet. Kartläggningar visar att det i området finns drygt 13 000 civilsamhällesorganisationer med cirka 35 000 anställda. Sektorns intäkter låg på nästan 17 miljarder kronor 2019. Civilsamhällets organisationer har en viktig roll för regionens sociala, miljömässiga och ekonomiska utveckling.</w:t>
      </w:r>
    </w:p>
    <w:p w14:paraId="4617C8B2" w14:textId="77777777" w:rsidR="00F17B07" w:rsidRPr="00800D1B" w:rsidRDefault="00FD4482" w:rsidP="007C5F91">
      <w:pPr>
        <w:pStyle w:val="Rubrik4"/>
        <w:spacing w:before="100"/>
        <w:ind w:left="0" w:firstLine="0"/>
        <w:rPr>
          <w:i/>
          <w:iCs/>
        </w:rPr>
        <w:sectPr w:rsidR="00F17B07" w:rsidRPr="00800D1B" w:rsidSect="00701936">
          <w:pgSz w:w="11906" w:h="16838"/>
          <w:pgMar w:top="720" w:right="936" w:bottom="864" w:left="720" w:header="0" w:footer="72" w:gutter="0"/>
          <w:cols w:space="720"/>
          <w:noEndnote/>
          <w:docGrid w:linePitch="360"/>
        </w:sectPr>
      </w:pPr>
      <w:r w:rsidRPr="00800D1B">
        <w:rPr>
          <w:i/>
          <w:iCs/>
        </w:rPr>
        <w:t xml:space="preserve">Möjligheter och utmaningar inom forskning och innovation </w:t>
      </w:r>
    </w:p>
    <w:p w14:paraId="699C073E" w14:textId="76814595" w:rsidR="00FD4482" w:rsidRPr="00800D1B" w:rsidRDefault="00F854FB" w:rsidP="00F17B07">
      <w:pPr>
        <w:spacing w:before="200"/>
        <w:rPr>
          <w:color w:val="000000"/>
          <w:lang w:val="sv-SE"/>
        </w:rPr>
      </w:pPr>
      <w:r w:rsidRPr="00800D1B">
        <w:rPr>
          <w:color w:val="000000"/>
          <w:lang w:val="sv-SE"/>
        </w:rPr>
        <mc:AlternateContent>
          <mc:Choice Requires="wps">
            <w:drawing>
              <wp:anchor distT="0" distB="0" distL="114300" distR="114300" simplePos="0" relativeHeight="251687936" behindDoc="0" locked="0" layoutInCell="1" allowOverlap="1" wp14:anchorId="5857603C" wp14:editId="60D3C148">
                <wp:simplePos x="0" y="0"/>
                <wp:positionH relativeFrom="column">
                  <wp:posOffset>-60960</wp:posOffset>
                </wp:positionH>
                <wp:positionV relativeFrom="page">
                  <wp:posOffset>487680</wp:posOffset>
                </wp:positionV>
                <wp:extent cx="6686550" cy="9601200"/>
                <wp:effectExtent l="0" t="0" r="19050" b="19050"/>
                <wp:wrapNone/>
                <wp:docPr id="25" name="Rectangle 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686550" cy="96012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72EEAD8" id="Rectangle 25" o:spid="_x0000_s1026" alt="&quot;&quot;" style="position:absolute;margin-left:-4.8pt;margin-top:38.4pt;width:526.5pt;height:756pt;z-index:25168793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" filled="f" strokecolor="black [3213]" strokeweight=".5pt">
                <w10:wrap anchory="page"/>
              </v:rect>
            </w:pict>
          </mc:Fallback>
        </mc:AlternateContent>
      </w:r>
      <w:r w:rsidR="00FD4482" w:rsidRPr="00800D1B">
        <w:rPr>
          <w:color w:val="000000"/>
          <w:lang w:val="sv-SE"/>
        </w:rPr>
        <w:t>Under flera år har ÖN rankats som innovationsledare i ”Regional Innovation Scoreboard” med starka miljöer kopplade till länens tre universitet och universitetssjukhus, innovativa företag och kommuner samt till ett starkt civilsamhälle.</w:t>
      </w:r>
    </w:p>
    <w:p w14:paraId="21CECC23" w14:textId="77777777" w:rsidR="00FD4482" w:rsidRPr="00800D1B" w:rsidRDefault="00FD4482" w:rsidP="0013425E">
      <w:pPr>
        <w:spacing w:before="100"/>
        <w:rPr>
          <w:color w:val="000000"/>
          <w:lang w:val="sv-SE"/>
        </w:rPr>
      </w:pPr>
      <w:r w:rsidRPr="00800D1B">
        <w:rPr>
          <w:color w:val="000000"/>
          <w:lang w:val="sv-SE"/>
        </w:rPr>
        <w:t>I regionen finns små forskningsmiljöer, varav flera har positionerat sig som världsledande inom specifika områden. Dessa miljöer är betydelsefulla för regionens utveckling. Erfarenheter visar att forskningsmiljöer inte begränsas av att ligga i små samhällen långt ifrån större städer, utan att begränsningarna härrör från institutionell kapacitet och ett lågt antal företag.</w:t>
      </w:r>
    </w:p>
    <w:p w14:paraId="157A22CC" w14:textId="77777777" w:rsidR="00FD4482" w:rsidRPr="00800D1B" w:rsidRDefault="00FD4482" w:rsidP="0013425E">
      <w:pPr>
        <w:spacing w:before="100"/>
        <w:rPr>
          <w:color w:val="000000"/>
          <w:lang w:val="sv-SE"/>
        </w:rPr>
      </w:pPr>
      <w:r w:rsidRPr="00800D1B">
        <w:rPr>
          <w:color w:val="000000"/>
          <w:lang w:val="sv-SE"/>
        </w:rPr>
        <w:t>Internationellt samarbete för strategisk forskning och innovation (FoI-samverkan) samt kunskapsuppbyggnad är en viktig aspekt för smart specialisering. Gällande ÖNs deltagande i EU:s ramprogram Horisont 2020, placerar sig Västerbotten på en sjunde plats med ca 31,5 miljoner € i beviljade medel och Norrbotten på en sjätteplats med cirka 51,2 miljoner € i Sverige. Sammantaget har ÖN mottagit cirka 5% av de Horisont 2020 medel som beviljats i Sverige (VR 2019:4, Horisont 2020).</w:t>
      </w:r>
    </w:p>
    <w:p w14:paraId="0995BBE9" w14:textId="77777777" w:rsidR="00FD4482" w:rsidRPr="00800D1B" w:rsidRDefault="00FD4482" w:rsidP="007C5F91">
      <w:pPr>
        <w:pStyle w:val="Rubrik4"/>
        <w:spacing w:before="100"/>
        <w:ind w:left="0" w:firstLine="0"/>
        <w:rPr>
          <w:i/>
          <w:iCs/>
        </w:rPr>
      </w:pPr>
      <w:r w:rsidRPr="00800D1B">
        <w:rPr>
          <w:i/>
          <w:iCs/>
        </w:rPr>
        <w:t>Universitet, forskningsmiljöer och forskningsinstitut</w:t>
      </w:r>
    </w:p>
    <w:p w14:paraId="50569E47" w14:textId="77777777" w:rsidR="00FD4482" w:rsidRPr="00800D1B" w:rsidRDefault="00FD4482" w:rsidP="0013425E">
      <w:pPr>
        <w:spacing w:before="100"/>
        <w:rPr>
          <w:color w:val="000000"/>
          <w:lang w:val="sv-SE"/>
        </w:rPr>
      </w:pPr>
      <w:r w:rsidRPr="00800D1B">
        <w:rPr>
          <w:color w:val="000000"/>
          <w:lang w:val="sv-SE"/>
        </w:rPr>
        <w:t>I ÖN finns tre universitet; Luleå tekniska universitet, Sveriges lantbruksuniversitet och Umeå universitet. Två av dessa, Umeå universitet och Luleå tekniska universitet, är med på den akademiska rankinglistan ”Shanghai Ranking”. I ÖN finns samisk forskning som kan bidra till att öka samhällets kunskap och kompetens om det samiska samhället och kulturen. En speciell utmaning ligger i att det samiska samhället inte är begränsat till ett land eftersom Sápmi sträcker sig över fyra nationalstater. Samerna har ett intresse av att verka internationellt mot institutioner som exempelvis FN och EU samt mot olika forum som till exempel Barentssamarbetet. Det är viktigt att miljöer för samisk forskning knyts samman i större nätverk för att på så sätt kunna dra nytta av olika former av kompetens.</w:t>
      </w:r>
    </w:p>
    <w:p w14:paraId="2602F252" w14:textId="77777777" w:rsidR="00FD4482" w:rsidRPr="00800D1B" w:rsidRDefault="00FD4482" w:rsidP="007C5F91">
      <w:pPr>
        <w:pStyle w:val="Rubrik4"/>
        <w:spacing w:before="100"/>
        <w:ind w:left="0" w:firstLine="0"/>
        <w:rPr>
          <w:i/>
          <w:iCs/>
        </w:rPr>
      </w:pPr>
      <w:r w:rsidRPr="00800D1B">
        <w:rPr>
          <w:i/>
          <w:iCs/>
        </w:rPr>
        <w:t xml:space="preserve">Möjligheter och utmaningar för digitalisering </w:t>
      </w:r>
    </w:p>
    <w:p w14:paraId="5A16F62D" w14:textId="77777777" w:rsidR="00FD4482" w:rsidRPr="00800D1B" w:rsidRDefault="00FD4482" w:rsidP="0013425E">
      <w:pPr>
        <w:spacing w:before="100"/>
        <w:rPr>
          <w:color w:val="000000"/>
          <w:lang w:val="sv-SE"/>
        </w:rPr>
      </w:pPr>
      <w:r w:rsidRPr="00800D1B">
        <w:rPr>
          <w:color w:val="000000"/>
          <w:lang w:val="sv-SE"/>
        </w:rPr>
        <w:t>Med den förändringskraft som digitaliseringen innebär är det viktigt att näringslivet, offentlig sektor och civilsamhället är med i utvecklingen. I rapporten ”Digitaliseringen och näringslivet” angav 66% av företagen att de obehindrat kunde handskas med datorer och 33% av företagen att de har svårigheter. Något förvånande är att hela 11% av företagen anger att det inte finns någon inom verksamheten som kan handskas med datorer och vanliga mjukvaror (Digitaliseringen och näringslivet, 2019).</w:t>
      </w:r>
    </w:p>
    <w:p w14:paraId="3DEEF3A4" w14:textId="77777777" w:rsidR="00FD4482" w:rsidRPr="00800D1B" w:rsidRDefault="00FD4482" w:rsidP="007C5F91">
      <w:pPr>
        <w:pStyle w:val="Rubrik4"/>
        <w:spacing w:before="100"/>
        <w:ind w:left="0" w:firstLine="0"/>
        <w:rPr>
          <w:i/>
          <w:iCs/>
        </w:rPr>
      </w:pPr>
      <w:r w:rsidRPr="00800D1B">
        <w:rPr>
          <w:i/>
          <w:iCs/>
        </w:rPr>
        <w:t xml:space="preserve">Möjligheter och utmaningar inom näringsliv och entreprenörskap </w:t>
      </w:r>
    </w:p>
    <w:p w14:paraId="1305A582" w14:textId="77777777" w:rsidR="00FD4482" w:rsidRPr="00800D1B" w:rsidRDefault="00FD4482" w:rsidP="0013425E">
      <w:pPr>
        <w:spacing w:before="100"/>
        <w:rPr>
          <w:color w:val="000000"/>
          <w:lang w:val="sv-SE"/>
        </w:rPr>
      </w:pPr>
      <w:r w:rsidRPr="00800D1B">
        <w:rPr>
          <w:color w:val="000000"/>
          <w:lang w:val="sv-SE"/>
        </w:rPr>
        <w:t>Regionens naturtillgångar är och har varit viktiga för utvecklingen. Inom sektorerna gruv- och mineral, energitillgångar, stål- och skogsindustrin finns bolag i flera värdekedjor. Inom alla dessa sektorer har regionen starka universitet med världsledande forskning. En utmaning är dock att förädlingsgraden av varor och tjänster fortfarande är relativt låg hos företagen. Innovationsgraden samt drivkraften att kommersialisera innovationer är generellt låg.</w:t>
      </w:r>
    </w:p>
    <w:p w14:paraId="5AAB3847" w14:textId="77777777" w:rsidR="00FD4482" w:rsidRPr="00800D1B" w:rsidRDefault="00FD4482" w:rsidP="0013425E">
      <w:pPr>
        <w:spacing w:before="100"/>
        <w:rPr>
          <w:color w:val="000000"/>
          <w:lang w:val="sv-SE"/>
        </w:rPr>
      </w:pPr>
      <w:r w:rsidRPr="00800D1B">
        <w:rPr>
          <w:color w:val="000000"/>
          <w:lang w:val="sv-SE"/>
        </w:rPr>
        <w:t>Över 90% av företagen i ÖN tillhör kategorin mikro- och småföretag. Medelstora företag är underrepresenterade. För att möta utmaningen med begränsad kapacitet är det nödvändigt att samspela med det företagsfrämjande systemet och aktörer på andra orter eller regioner. Det innebär att kommuner i glesbygd behöver ta en större roll i att samverka och främja kontakter med täta miljöer längs kusten för att stärka sin kapacitet.</w:t>
      </w:r>
    </w:p>
    <w:p w14:paraId="759AE3A4" w14:textId="77777777" w:rsidR="00FD4482" w:rsidRPr="00800D1B" w:rsidRDefault="00FD4482" w:rsidP="0013425E">
      <w:pPr>
        <w:spacing w:before="100"/>
        <w:rPr>
          <w:color w:val="000000"/>
          <w:lang w:val="sv-SE"/>
        </w:rPr>
      </w:pPr>
      <w:r w:rsidRPr="00800D1B">
        <w:rPr>
          <w:color w:val="000000"/>
          <w:lang w:val="sv-SE"/>
        </w:rPr>
        <w:t>Av Sveriges regioner är Norrbotten den sjätte största och Västerbotten den tionde största regionen för varuexport. Statistiken är dock ofta missvisande då stora bolagskoncerner ofta har sitt huvudkontor i Stockholm och på så sätt räknas in i exporten från Stockholms län. Trots denna statistik har 78% av bolagen i ÖN inte någon erfarenhet av att exportera sina produkter till andra länder. Detta visar att företagen är beroende av den lokala marknaden samt som underleverantörer till basindustrin. </w:t>
      </w:r>
    </w:p>
    <w:p w14:paraId="521C0157" w14:textId="77777777" w:rsidR="00FD4482" w:rsidRPr="00800D1B" w:rsidRDefault="00FD4482" w:rsidP="0013425E">
      <w:pPr>
        <w:spacing w:before="100"/>
        <w:rPr>
          <w:color w:val="000000"/>
          <w:lang w:val="sv-SE"/>
        </w:rPr>
      </w:pPr>
      <w:r w:rsidRPr="00800D1B">
        <w:rPr>
          <w:color w:val="000000"/>
          <w:lang w:val="sv-SE"/>
        </w:rPr>
        <w:t>Egenföretagandet är lägre i ÖN än i riket och skillnaderna mellan kommunerna är stora. I synnerhet glesbygdsdominerade kommuner uppvisar en högre grad av entreprenörskap och egenföretagande än kuststäderna och de industridominerade kommunerna. Nya företag startas och drivs främst av inrikes födda män. Av nystartade företag är det ca 13% som grundades av utrikesfödda. Vidare finns det stora skevheter i könsfördelning bland anställda, i ledningsgrupper, på chefspositioner och i styrelsepositioner. I Västerbotten är kvinnor och personer med utländsk bakgrund underrepresenterade både vad gäller att starta nya företag samt i ledarpositioner och som företagsledare (Smart specialisering i Norrbotten, 2020). </w:t>
      </w:r>
    </w:p>
    <w:p w14:paraId="176C3CB3" w14:textId="67AFDDBD" w:rsidR="00FD4482" w:rsidRPr="00800D1B" w:rsidRDefault="00F854FB">
      <w:pPr>
        <w:spacing w:before="100"/>
        <w:rPr>
          <w:color w:val="000000"/>
          <w:lang w:val="sv-SE"/>
        </w:rPr>
      </w:pPr>
      <w:r w:rsidRPr="00800D1B">
        <w:rPr>
          <w:color w:val="000000"/>
          <w:lang w:val="sv-SE"/>
        </w:rPr>
        <mc:AlternateContent>
          <mc:Choice Requires="wps">
            <w:drawing>
              <wp:anchor distT="0" distB="0" distL="114300" distR="114300" simplePos="0" relativeHeight="251688960" behindDoc="0" locked="0" layoutInCell="1" allowOverlap="1" wp14:anchorId="60DA7A25" wp14:editId="13F1E371">
                <wp:simplePos x="0" y="0"/>
                <wp:positionH relativeFrom="column">
                  <wp:posOffset>-76200</wp:posOffset>
                </wp:positionH>
                <wp:positionV relativeFrom="page">
                  <wp:posOffset>381000</wp:posOffset>
                </wp:positionV>
                <wp:extent cx="6610350" cy="9791700"/>
                <wp:effectExtent l="0" t="0" r="19050" b="19050"/>
                <wp:wrapNone/>
                <wp:docPr id="26" name="Rectangle 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610350" cy="97917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307E11" id="Rectangle 26" o:spid="_x0000_s1026" alt="&quot;&quot;" style="position:absolute;margin-left:-6pt;margin-top:30pt;width:520.5pt;height:771pt;z-index:251688960;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" filled="f" strokecolor="black [3213]" strokeweight=".5pt">
                <w10:wrap anchory="page"/>
              </v:rect>
            </w:pict>
          </mc:Fallback>
        </mc:AlternateContent>
      </w:r>
      <w:r w:rsidR="00FD4482" w:rsidRPr="00800D1B">
        <w:rPr>
          <w:color w:val="000000"/>
          <w:lang w:val="sv-SE"/>
        </w:rPr>
        <w:t xml:space="preserve">En utmaning är den starkt könssegregerade arbetsmarknaden i ÖN. Traditionella, könstypiska val styr i stor utsträckning yrkesvalen för kvinnor och män. Kvinnor arbetar i högre grad inom offentlig sektor och män i det privata näringslivet. Kvinnors arbete är därmed koncentrerat till ett fåtal branscher medan män verkar inom en större branschbredd. </w:t>
      </w:r>
    </w:p>
    <w:p w14:paraId="2E616D8E" w14:textId="77777777" w:rsidR="00FD4482" w:rsidRPr="00800D1B" w:rsidRDefault="00FD4482">
      <w:pPr>
        <w:spacing w:before="100"/>
        <w:rPr>
          <w:color w:val="000000"/>
          <w:lang w:val="sv-SE"/>
        </w:rPr>
      </w:pPr>
      <w:r w:rsidRPr="00800D1B">
        <w:rPr>
          <w:color w:val="000000"/>
          <w:lang w:val="sv-SE"/>
        </w:rPr>
        <w:t>Brist på egna resurser och externt kapital skapar därför ett behov av offentliga insatser och stöd för att stärka utvecklingen och tillväxten i företagen (Geografisk fördelning av riskkapital 2011 och 2018 samt förhandsbedömning för stöd till finansieringsinstrument ERUF 2014-2020).</w:t>
      </w:r>
    </w:p>
    <w:p w14:paraId="6AB4A1D9" w14:textId="77777777" w:rsidR="00FD4482" w:rsidRPr="00800D1B" w:rsidRDefault="00FD4482" w:rsidP="007C5F91">
      <w:pPr>
        <w:pStyle w:val="Rubrik4"/>
        <w:spacing w:before="100"/>
        <w:ind w:left="0" w:firstLine="0"/>
        <w:rPr>
          <w:i/>
          <w:iCs/>
        </w:rPr>
      </w:pPr>
      <w:r w:rsidRPr="00800D1B">
        <w:rPr>
          <w:i/>
          <w:iCs/>
        </w:rPr>
        <w:t xml:space="preserve">Samiska företag och näringsliv </w:t>
      </w:r>
    </w:p>
    <w:p w14:paraId="2EB1E3B1" w14:textId="77777777" w:rsidR="00FD4482" w:rsidRPr="00800D1B" w:rsidRDefault="00FD4482">
      <w:pPr>
        <w:spacing w:before="100"/>
        <w:rPr>
          <w:color w:val="000000"/>
          <w:lang w:val="sv-SE"/>
        </w:rPr>
      </w:pPr>
      <w:r w:rsidRPr="00800D1B">
        <w:rPr>
          <w:color w:val="000000"/>
          <w:lang w:val="sv-SE"/>
        </w:rPr>
        <w:t>Samiskt näringsliv har av tradition främst handlat om rennäring, jakt, fiske samt duodji, samisk slöjd. Idag är majoriteten av den samiska befolkningen dock inte sysselsatta inom traditionellt samiska yrken.</w:t>
      </w:r>
    </w:p>
    <w:p w14:paraId="7978B951" w14:textId="77777777" w:rsidR="00FD4482" w:rsidRPr="00800D1B" w:rsidRDefault="00FD4482">
      <w:pPr>
        <w:spacing w:before="100"/>
        <w:rPr>
          <w:color w:val="000000"/>
          <w:lang w:val="sv-SE"/>
        </w:rPr>
      </w:pPr>
      <w:r w:rsidRPr="00800D1B">
        <w:rPr>
          <w:color w:val="000000"/>
          <w:lang w:val="sv-SE"/>
        </w:rPr>
        <w:t>Allt fler samer startar turistföretag som bedriver verksamhet med den samiska kulturen som kännetecken. Där återfinns alltifrån kommunikation och media; upplevelse- och naturturism; guidning och samisk information till cateringverksamhet. I rapporten ”Läget i Sápmi – kartläggningar av samiskt näringsliv” identifierades ca 150 mikro- och småföretag inom samisk besöksnäring. Enligt rapporten är kvalitet, hållbarhet, säkerhet och trovärdighet ledord för en ekologiskt hållbar utveckling inom samiska näringar.</w:t>
      </w:r>
    </w:p>
    <w:p w14:paraId="276A4539" w14:textId="77777777" w:rsidR="00FD4482" w:rsidRPr="00800D1B" w:rsidRDefault="00FD4482">
      <w:pPr>
        <w:spacing w:before="100"/>
        <w:rPr>
          <w:color w:val="000000"/>
          <w:lang w:val="sv-SE"/>
        </w:rPr>
      </w:pPr>
      <w:r w:rsidRPr="00800D1B">
        <w:rPr>
          <w:color w:val="000000"/>
          <w:lang w:val="sv-SE"/>
        </w:rPr>
        <w:t>Rennärings- och slöjdföretagen är ofta uppbyggda så att företagaren gör flera saker i samma företag beroende på årstid. Möjligheten att hitta kompletterande verksamheter till de befintliga näringarna är ofta av högre prioritet än att hitta helt nya verksamheter. Besöksnäringen är dock oerhört viktig för Sápmi eftersom den är en förutsättning för försäljning av renkött samt samisk slöjd, konst och design.</w:t>
      </w:r>
    </w:p>
    <w:p w14:paraId="32EE6BA8" w14:textId="77777777" w:rsidR="00FD4482" w:rsidRPr="00800D1B" w:rsidRDefault="00FD4482" w:rsidP="007C5F91">
      <w:pPr>
        <w:pStyle w:val="Rubrik4"/>
        <w:spacing w:before="100"/>
        <w:ind w:left="0" w:firstLine="0"/>
        <w:rPr>
          <w:i/>
          <w:iCs/>
        </w:rPr>
      </w:pPr>
      <w:r w:rsidRPr="00800D1B">
        <w:rPr>
          <w:i/>
          <w:iCs/>
        </w:rPr>
        <w:t>Tillgång till kapital </w:t>
      </w:r>
    </w:p>
    <w:p w14:paraId="7FA4DE99" w14:textId="77777777" w:rsidR="00FD4482" w:rsidRPr="00800D1B" w:rsidRDefault="00FD4482">
      <w:pPr>
        <w:spacing w:before="100"/>
        <w:rPr>
          <w:color w:val="000000"/>
          <w:lang w:val="sv-SE"/>
        </w:rPr>
      </w:pPr>
      <w:r w:rsidRPr="00800D1B">
        <w:rPr>
          <w:color w:val="000000"/>
          <w:lang w:val="sv-SE"/>
        </w:rPr>
        <w:t>Tillgång till kapital är en förutsättning för att företag ska kunna starta och växa och för att innovativa idéer ska kunna kommersialiseras och bidra till omställningen till en hållbar regional utveckling. Det är därför centralt att tillhandahålla god kapitalförsörjning längst hela värdekedjan och att hänsyn tas till territoriella inomregionala skillnader. Ett strukturellt hinder för utveckling, i form av brister i marknadens utbud av kapital i ÖN, uppmärksammas av såväl OECD som Europeiska Investeringsbanken. Låga andrahandsvärden på fastigheter och brister på tillgångar medför större osäkerheter för långivare. Skillnader i tillgång på kapital i olika skeden samt skillnader i möjligheter för kvinnor, unga och personer med utländsk bakgrund att få tillgång till kapital, visar på behovet av marknadskompletterande kapitalförsörjningsinsatser i ÖN.</w:t>
      </w:r>
    </w:p>
    <w:p w14:paraId="72FC9A3A" w14:textId="77777777" w:rsidR="00FD4482" w:rsidRPr="00800D1B" w:rsidRDefault="00FD4482" w:rsidP="007C5F91">
      <w:pPr>
        <w:pStyle w:val="Rubrik4"/>
        <w:spacing w:before="100"/>
        <w:ind w:left="0" w:firstLine="0"/>
        <w:rPr>
          <w:i/>
          <w:iCs/>
        </w:rPr>
      </w:pPr>
      <w:r w:rsidRPr="00800D1B">
        <w:rPr>
          <w:i/>
          <w:iCs/>
        </w:rPr>
        <w:t xml:space="preserve">Kompetensförsörjning </w:t>
      </w:r>
    </w:p>
    <w:p w14:paraId="5FB58CA5" w14:textId="77777777" w:rsidR="00FD4482" w:rsidRPr="00800D1B" w:rsidRDefault="00FD4482">
      <w:pPr>
        <w:spacing w:before="100"/>
        <w:rPr>
          <w:color w:val="000000"/>
          <w:lang w:val="sv-SE"/>
        </w:rPr>
      </w:pPr>
      <w:r w:rsidRPr="00800D1B">
        <w:rPr>
          <w:color w:val="000000"/>
          <w:lang w:val="sv-SE"/>
        </w:rPr>
        <w:t>Många kommuner i ÖN står inför betydande utmaningar när det gäller kompetensförsörjning. Drygt 27% av små och medelstora företag i regionen upplever att bristen på kompetent arbetskraft är ett stort hinder för utveckling. Systemen för kompetensförsörjning är komplexa med en mängd aktörer som påverkar utvecklingen på lokal, regional och nationell nivå.</w:t>
      </w:r>
    </w:p>
    <w:p w14:paraId="52E16D3B" w14:textId="77777777" w:rsidR="00FD4482" w:rsidRPr="00800D1B" w:rsidRDefault="00FD4482">
      <w:pPr>
        <w:spacing w:before="100"/>
        <w:rPr>
          <w:color w:val="000000"/>
          <w:lang w:val="sv-SE"/>
        </w:rPr>
      </w:pPr>
      <w:r w:rsidRPr="00800D1B">
        <w:rPr>
          <w:color w:val="000000"/>
          <w:lang w:val="sv-SE"/>
        </w:rPr>
        <w:t>Skillnaderna gällande högre utbildning mellan kvinnor och män i ÖN är stor, precis som i övriga riket. En högre andel kvinnor går vidare till eftergymnasial utbildning. Exempelvis har 38% av kvinnorna i Norrbotten en eftergymnasial utbildning jämfört med 21% av männen. Västerbottens utbildningsnivå är i nivå med riket, men skillnaderna i utbildningsnivå är precis som i Norrbotten mycket stora mellan kommunerna. (Socioekonomisk analys ERUF ÖN, 2020).</w:t>
      </w:r>
    </w:p>
    <w:p w14:paraId="2D2861BA" w14:textId="77777777" w:rsidR="00FD4482" w:rsidRPr="00800D1B" w:rsidRDefault="00FD4482" w:rsidP="007C5F91">
      <w:pPr>
        <w:pStyle w:val="Rubrik4"/>
        <w:spacing w:before="100"/>
        <w:ind w:left="0" w:firstLine="0"/>
        <w:rPr>
          <w:i/>
          <w:iCs/>
        </w:rPr>
      </w:pPr>
      <w:r w:rsidRPr="00800D1B">
        <w:rPr>
          <w:i/>
          <w:iCs/>
        </w:rPr>
        <w:t>Utmaningar och möjligheter för ett koldioxidfritt och grönare Europa </w:t>
      </w:r>
    </w:p>
    <w:p w14:paraId="0139E8A0" w14:textId="77777777" w:rsidR="00FD4482" w:rsidRPr="00800D1B" w:rsidRDefault="00FD4482">
      <w:pPr>
        <w:spacing w:before="100"/>
        <w:rPr>
          <w:color w:val="000000"/>
          <w:lang w:val="sv-SE"/>
        </w:rPr>
      </w:pPr>
      <w:r w:rsidRPr="00800D1B">
        <w:rPr>
          <w:color w:val="000000"/>
          <w:lang w:val="sv-SE"/>
        </w:rPr>
        <w:t>En utmaning för energisystemet i ÖN är att en ökning av produktionen av förnybar energi, framför allt el från landbaserad vindkraft och sol, inte kan tillgodogöras fullt ut på grund av kapacitetsbrist i överförings- och distributionsinfrastrukturen. Utmaningen förstärks av att: först till kvarn gäller avseende möjligt effektuttag vilket innebär att kunder ofta ”bokar upp” mer effekt än vad de behöver och omställningen till ett förnybart elsystem medför en ojämnare elproduktion. Sveriges nationella energi och klimatplan utgår från Sveriges befintliga mål och beslutade styrmedel och åtgärder för energi- och klimatområdet.</w:t>
      </w:r>
    </w:p>
    <w:p w14:paraId="259E039D" w14:textId="77777777" w:rsidR="00FD4482" w:rsidRPr="00800D1B" w:rsidRDefault="00FD4482" w:rsidP="007C5F91">
      <w:pPr>
        <w:pStyle w:val="Rubrik4"/>
        <w:spacing w:before="100"/>
        <w:ind w:left="0" w:firstLine="0"/>
        <w:rPr>
          <w:i/>
          <w:iCs/>
        </w:rPr>
      </w:pPr>
      <w:r w:rsidRPr="00800D1B">
        <w:rPr>
          <w:i/>
          <w:iCs/>
        </w:rPr>
        <w:t>Cirkulär ekonomi </w:t>
      </w:r>
    </w:p>
    <w:p w14:paraId="39FD6E6F" w14:textId="77777777" w:rsidR="00FD4482" w:rsidRPr="00800D1B" w:rsidRDefault="00FD4482">
      <w:pPr>
        <w:spacing w:before="100"/>
        <w:rPr>
          <w:color w:val="000000"/>
          <w:lang w:val="sv-SE"/>
        </w:rPr>
      </w:pPr>
      <w:r w:rsidRPr="00800D1B">
        <w:rPr>
          <w:color w:val="000000"/>
          <w:lang w:val="sv-SE"/>
        </w:rPr>
        <w:t>Design- och planeringsstadiet är viktigt för att ställa om till en cirkulär ekonomi. Hos företag och startupbolag är kunskapen om cirkulära affärsmodeller och cirkulära affärsflöden avgörande. Enligt COM(2020) 98 final avgörs upp till 80% av produkters miljöpåverkan under designfasen.</w:t>
      </w:r>
    </w:p>
    <w:p w14:paraId="4A8279D8" w14:textId="3BB5CF45" w:rsidR="00FD4482" w:rsidRPr="00800D1B" w:rsidRDefault="00F854FB">
      <w:pPr>
        <w:spacing w:before="100"/>
        <w:rPr>
          <w:color w:val="000000"/>
          <w:lang w:val="sv-SE"/>
        </w:rPr>
      </w:pPr>
      <w:r w:rsidRPr="00800D1B">
        <w:rPr>
          <w:color w:val="000000"/>
          <w:lang w:val="sv-SE"/>
        </w:rPr>
        <mc:AlternateContent>
          <mc:Choice Requires="wps">
            <w:drawing>
              <wp:anchor distT="0" distB="0" distL="114300" distR="114300" simplePos="0" relativeHeight="251689984" behindDoc="0" locked="0" layoutInCell="1" allowOverlap="1" wp14:anchorId="48DD506D" wp14:editId="10EC2270">
                <wp:simplePos x="0" y="0"/>
                <wp:positionH relativeFrom="column">
                  <wp:posOffset>-95250</wp:posOffset>
                </wp:positionH>
                <wp:positionV relativeFrom="paragraph">
                  <wp:posOffset>-30480</wp:posOffset>
                </wp:positionV>
                <wp:extent cx="6610350" cy="9677400"/>
                <wp:effectExtent l="0" t="0" r="19050" b="19050"/>
                <wp:wrapNone/>
                <wp:docPr id="27" name="Rectangle 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610350" cy="96774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25334D" id="Rectangle 27" o:spid="_x0000_s1026" alt="&quot;&quot;" style="position:absolute;margin-left:-7.5pt;margin-top:-2.4pt;width:520.5pt;height:762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" filled="f" strokecolor="black [3213]" strokeweight=".5pt"/>
            </w:pict>
          </mc:Fallback>
        </mc:AlternateContent>
      </w:r>
      <w:r w:rsidR="00FD4482" w:rsidRPr="00800D1B">
        <w:rPr>
          <w:color w:val="000000"/>
          <w:lang w:val="sv-SE"/>
        </w:rPr>
        <w:t>Genom att hantera material och design mer cirkulärt kan värdeläckage från olika materialflöden minska. Regionens samhällen är betydelsefulla i en cirkulär omställning och kan bidra till innovationskraft och utveckling. Offentlig sektor kan genom att upphandla cirkulärt använda sin egen konsumtion av varor och tjänster för att driva utvecklingen i rätt riktning.</w:t>
      </w:r>
    </w:p>
    <w:p w14:paraId="0A8929A4" w14:textId="77777777" w:rsidR="00FD4482" w:rsidRPr="00800D1B" w:rsidRDefault="00FD4482" w:rsidP="007C5F91">
      <w:pPr>
        <w:pStyle w:val="Rubrik4"/>
        <w:spacing w:before="100"/>
        <w:ind w:left="0" w:firstLine="0"/>
        <w:rPr>
          <w:i/>
          <w:iCs/>
        </w:rPr>
      </w:pPr>
      <w:r w:rsidRPr="00800D1B">
        <w:rPr>
          <w:i/>
          <w:iCs/>
        </w:rPr>
        <w:t xml:space="preserve">Anpassning till ett förändrat klimat </w:t>
      </w:r>
    </w:p>
    <w:p w14:paraId="4B0F27B5" w14:textId="77777777" w:rsidR="00FD4482" w:rsidRPr="00800D1B" w:rsidRDefault="00FD4482">
      <w:pPr>
        <w:spacing w:before="100"/>
        <w:rPr>
          <w:color w:val="000000"/>
          <w:lang w:val="sv-SE"/>
        </w:rPr>
      </w:pPr>
      <w:r w:rsidRPr="00800D1B">
        <w:rPr>
          <w:color w:val="000000"/>
          <w:lang w:val="sv-SE"/>
        </w:rPr>
        <w:t>ÖNs geografiska placering i Arktis medför stor påverkan och konsekvenser avde pågående klimatförändringarna. </w:t>
      </w:r>
    </w:p>
    <w:p w14:paraId="1F732E43" w14:textId="77777777" w:rsidR="00FD4482" w:rsidRPr="00800D1B" w:rsidRDefault="00FD4482">
      <w:pPr>
        <w:spacing w:before="100"/>
        <w:rPr>
          <w:color w:val="000000"/>
          <w:lang w:val="sv-SE"/>
        </w:rPr>
      </w:pPr>
      <w:r w:rsidRPr="00800D1B">
        <w:rPr>
          <w:color w:val="000000"/>
          <w:lang w:val="sv-SE"/>
        </w:rPr>
        <w:t>Enligt Skogsstyrelsen flyttar klimatzonerna i Sverige norrut med mellan 5 och 10 km om året. Det gör att den skog som planteras och brukas idag även ska kunna producera och vara lönsam i en framtida klimatzon. Skogen ska utöver att producera virke också bevara biologisk mångfald och ge möjligheter till naturvistelse även för kommande generationer.</w:t>
      </w:r>
    </w:p>
    <w:p w14:paraId="20C27C36" w14:textId="77777777" w:rsidR="00FD4482" w:rsidRPr="00800D1B" w:rsidRDefault="00FD4482">
      <w:pPr>
        <w:spacing w:before="100"/>
        <w:rPr>
          <w:color w:val="000000"/>
          <w:lang w:val="sv-SE"/>
        </w:rPr>
      </w:pPr>
      <w:r w:rsidRPr="00800D1B">
        <w:rPr>
          <w:color w:val="000000"/>
          <w:lang w:val="sv-SE"/>
        </w:rPr>
        <w:t>Ett förändrat klimat med högre temperaturer, fler skyfall och längre perioder med torka påverkar antalet skogsbränder och deras utbredning och tillgången till samt kvalitén på dricksvatten. Även mer långsamma förändringar som de i yt- och grundvattenmängd ger nya utmaningar (SMHI, 2015).</w:t>
      </w:r>
    </w:p>
    <w:p w14:paraId="6023DC1D" w14:textId="77777777" w:rsidR="00FD4482" w:rsidRPr="00800D1B" w:rsidRDefault="00FD4482">
      <w:pPr>
        <w:spacing w:before="100"/>
        <w:rPr>
          <w:color w:val="000000"/>
          <w:lang w:val="sv-SE"/>
        </w:rPr>
      </w:pPr>
      <w:r w:rsidRPr="00800D1B">
        <w:rPr>
          <w:color w:val="000000"/>
          <w:lang w:val="sv-SE"/>
        </w:rPr>
        <w:t>Den ökade risken för ras och skred och erosion bidrar till en ökad föroreningsrisk framöver. För att minska risken för spridning är det viktigt att miljöfarliga verksamheter skyddas och anpassas till framtida klimateffekter och att klimatrelaterade risker vägs in vid bedömning av saneringsbehov av förorenade områden.</w:t>
      </w:r>
    </w:p>
    <w:p w14:paraId="5AC01CB9" w14:textId="77777777" w:rsidR="00FD4482" w:rsidRPr="00800D1B" w:rsidRDefault="00FD4482" w:rsidP="007C5F91">
      <w:pPr>
        <w:pStyle w:val="Rubrik4"/>
        <w:spacing w:before="100"/>
        <w:ind w:left="0" w:firstLine="0"/>
        <w:rPr>
          <w:i/>
          <w:iCs/>
        </w:rPr>
      </w:pPr>
      <w:r w:rsidRPr="00800D1B">
        <w:rPr>
          <w:i/>
          <w:iCs/>
        </w:rPr>
        <w:t xml:space="preserve">Utmaningar och möjligheter för ett mer sammanlänkat Europa </w:t>
      </w:r>
    </w:p>
    <w:p w14:paraId="171ADD65" w14:textId="77777777" w:rsidR="00FD4482" w:rsidRPr="00800D1B" w:rsidRDefault="00FD4482">
      <w:pPr>
        <w:spacing w:before="100"/>
        <w:rPr>
          <w:color w:val="000000"/>
          <w:lang w:val="sv-SE"/>
        </w:rPr>
      </w:pPr>
      <w:r w:rsidRPr="00800D1B">
        <w:rPr>
          <w:color w:val="000000"/>
          <w:lang w:val="sv-SE"/>
        </w:rPr>
        <w:t>Den digitala infrastrukturen i ÖN behöver förbättras, exempelvis har Norrbotten den lägsta graden av mobil yttäckning i hela landet. Yttäckningen i Norrbotten för mobila taltjänster har utvecklats från att täcka 64,2% av geografin 2013 till 71,6% 2018. I 2020 års uppföljning av regeringens bredbandsstrategi framgår att en ökad mobil användning kräver investeringar i fast bredband, bland annat genom förbättrad kapacitet till och från basstationer.</w:t>
      </w:r>
    </w:p>
    <w:p w14:paraId="7CAC2CA7" w14:textId="77777777" w:rsidR="00FD4482" w:rsidRPr="00800D1B" w:rsidRDefault="00FD4482">
      <w:pPr>
        <w:spacing w:before="100"/>
        <w:rPr>
          <w:color w:val="000000"/>
          <w:lang w:val="sv-SE"/>
        </w:rPr>
      </w:pPr>
      <w:r w:rsidRPr="00800D1B">
        <w:rPr>
          <w:color w:val="000000"/>
          <w:lang w:val="sv-SE"/>
        </w:rPr>
        <w:t>Enligt regeringens mål bör hela Sverige ha tillgång till snabbt bredband år 2025. För att nå regeringens mål behöver tillgången till fast bredband där människor bor och arbetar utvecklas enligt Post- och telestyrelsens (PTS) bredbandskartläggning för 2020. Endast 80% av hushållen och 77% arbetsplatserna i Norrbotten har fiber. I Västerbotten är motsvarande siffror 88% respektive 87% .</w:t>
      </w:r>
    </w:p>
    <w:p w14:paraId="7439EF03" w14:textId="77777777" w:rsidR="00FD4482" w:rsidRPr="00800D1B" w:rsidRDefault="00FD4482">
      <w:pPr>
        <w:spacing w:before="100"/>
        <w:rPr>
          <w:color w:val="000000"/>
          <w:lang w:val="sv-SE"/>
        </w:rPr>
      </w:pPr>
      <w:r w:rsidRPr="00800D1B">
        <w:rPr>
          <w:color w:val="000000"/>
          <w:lang w:val="sv-SE"/>
        </w:rPr>
        <w:t>Fungerande mobila kommunikationer i glesbebodda fjällområden är av särskild betydelse för den samiska befolkningen, eftersom mobila kommunikationer innebär ökad säkerhet och trygghet för renskötare som periodvis arbetar i socialt isolerade miljöer. Sametinget menar också att utbyggnation av mobilt internet på ett positivt sätt kan stimulera samarbeten mellan samebyar, besöksnäringen och andra intressenter som verkar i regionens fjällområden.</w:t>
      </w:r>
    </w:p>
    <w:p w14:paraId="6D93391A" w14:textId="77777777" w:rsidR="00FD4482" w:rsidRPr="00800D1B" w:rsidRDefault="00FD4482" w:rsidP="007C5F91">
      <w:pPr>
        <w:pStyle w:val="Rubrik4"/>
        <w:spacing w:before="100"/>
        <w:ind w:left="0" w:firstLine="0"/>
        <w:rPr>
          <w:i/>
          <w:iCs/>
        </w:rPr>
      </w:pPr>
      <w:r w:rsidRPr="00800D1B">
        <w:rPr>
          <w:i/>
          <w:iCs/>
        </w:rPr>
        <w:t xml:space="preserve">Transportinfrastruktur </w:t>
      </w:r>
    </w:p>
    <w:p w14:paraId="440293C1" w14:textId="77777777" w:rsidR="00FD4482" w:rsidRPr="00800D1B" w:rsidRDefault="00FD4482">
      <w:pPr>
        <w:spacing w:before="100"/>
        <w:rPr>
          <w:color w:val="000000"/>
          <w:lang w:val="sv-SE"/>
        </w:rPr>
      </w:pPr>
      <w:r w:rsidRPr="00800D1B">
        <w:rPr>
          <w:color w:val="000000"/>
          <w:lang w:val="sv-SE"/>
        </w:rPr>
        <w:t>För att bidra till Sveriges och Europas hållbara utveckling är näringslivet beroende av ett robust och kapacitetsstarkt transportsystem. Det krävs konkurrenskraftiga transportlösningar som bygger på långsiktig hållbarhet. </w:t>
      </w:r>
    </w:p>
    <w:p w14:paraId="31EB2FF3" w14:textId="77777777" w:rsidR="00FD4482" w:rsidRPr="00800D1B" w:rsidRDefault="00FD4482">
      <w:pPr>
        <w:spacing w:before="100"/>
        <w:rPr>
          <w:color w:val="000000"/>
          <w:lang w:val="sv-SE"/>
        </w:rPr>
      </w:pPr>
      <w:r w:rsidRPr="00800D1B">
        <w:rPr>
          <w:color w:val="000000"/>
          <w:lang w:val="sv-SE"/>
        </w:rPr>
        <w:t>För att bidra till en ökad tillgänglighet i regionen behöver ett långsiktigt hållbart resande utvecklas. Om kollektivtrafik inte fungerar riskerar det att minska tillgängligheten för resenärsgrupper utan tillgång till bil. Det gör också att besöksnäringen inte alltid kan erbjuda ett hållbart resande med allmän kollektivtrafik för sina gäster. Regionen har ett betydande gränsregionalt resande som har betydelse för såväl offentlig sektors som näringslivets kompetensförsörjning samt för besöksnäringen.</w:t>
      </w:r>
    </w:p>
    <w:p w14:paraId="269B5924" w14:textId="77777777" w:rsidR="00FD4482" w:rsidRPr="00800D1B" w:rsidRDefault="00FD4482">
      <w:pPr>
        <w:spacing w:before="100"/>
        <w:rPr>
          <w:color w:val="000000"/>
          <w:lang w:val="sv-SE"/>
        </w:rPr>
      </w:pPr>
      <w:r w:rsidRPr="00800D1B">
        <w:rPr>
          <w:color w:val="000000"/>
          <w:lang w:val="sv-SE"/>
        </w:rPr>
        <w:t>Vägnätets övergripande stråk utgörs av Europavägarna E4, E10, E12 och E45 i samverkan med det regionala vägsystemet. Stora delar av vägnätet kommer under perioden att uppnå sin tekniska livslängd och är därmed i behov av omfattande reinvesteringar. Även på det lågtrafikerade vägnätet finns stora behov av underhållsåtgärder. Det finns även ett stort behov av vägförbättrande åtgärder som ökar såväl tillgänglighet som miljö- och trafiksäkerhet. Industrin efterfrågar möjligheter att köra allt tyngre transporter. Detta ställer ökade krav på drift och underhåll av väg- och järnvägssystemet (Trafikverket, 2017, Bilaga 2). </w:t>
      </w:r>
    </w:p>
    <w:p w14:paraId="30B78814" w14:textId="1EAE4E14" w:rsidR="00FD4482" w:rsidRPr="00800D1B" w:rsidRDefault="00F854FB">
      <w:pPr>
        <w:spacing w:before="100"/>
        <w:rPr>
          <w:color w:val="000000"/>
          <w:lang w:val="sv-SE"/>
        </w:rPr>
      </w:pPr>
      <w:r w:rsidRPr="00800D1B">
        <w:rPr>
          <w:color w:val="000000"/>
          <w:lang w:val="sv-SE"/>
        </w:rPr>
        <mc:AlternateContent>
          <mc:Choice Requires="wps">
            <w:drawing>
              <wp:anchor distT="0" distB="0" distL="114300" distR="114300" simplePos="0" relativeHeight="251691008" behindDoc="0" locked="0" layoutInCell="1" allowOverlap="1" wp14:anchorId="1FF61089" wp14:editId="7533E48F">
                <wp:simplePos x="0" y="0"/>
                <wp:positionH relativeFrom="column">
                  <wp:posOffset>-76200</wp:posOffset>
                </wp:positionH>
                <wp:positionV relativeFrom="page">
                  <wp:posOffset>361950</wp:posOffset>
                </wp:positionV>
                <wp:extent cx="6610350" cy="9772650"/>
                <wp:effectExtent l="0" t="0" r="19050" b="19050"/>
                <wp:wrapNone/>
                <wp:docPr id="28" name="Rectangle 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610350" cy="97726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DC4E57" id="Rectangle 28" o:spid="_x0000_s1026" alt="&quot;&quot;" style="position:absolute;margin-left:-6pt;margin-top:28.5pt;width:520.5pt;height:769.5pt;z-index:251691008;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" filled="f" strokecolor="black [3213]" strokeweight=".5pt">
                <w10:wrap anchory="page"/>
              </v:rect>
            </w:pict>
          </mc:Fallback>
        </mc:AlternateContent>
      </w:r>
      <w:r w:rsidR="00FD4482" w:rsidRPr="00800D1B">
        <w:rPr>
          <w:color w:val="000000"/>
          <w:lang w:val="sv-SE"/>
        </w:rPr>
        <w:t>Stambanan sträcker sig genom ÖN i nord-sydlig riktning och har en stor betydelse för regionen och för Sverige som helhet. I nord-sydlig riktning finns även Inlandsbanan och Botniabanan. Dessa kompletteras av Norrbotniabanan mellan Umeå och Luleå där den första etappen är påbörjad. Norrbotniabanan är en viktig länk som idag saknas, exempelvis för att stärka kapaciteten för godstransporter och för att förbättra människors mobilitet (Trafikverket, 2019).</w:t>
      </w:r>
    </w:p>
    <w:p w14:paraId="0BEC447B" w14:textId="77777777" w:rsidR="00FD4482" w:rsidRPr="00800D1B" w:rsidRDefault="00FD4482">
      <w:pPr>
        <w:spacing w:before="100"/>
        <w:rPr>
          <w:color w:val="000000"/>
          <w:lang w:val="sv-SE"/>
        </w:rPr>
      </w:pPr>
      <w:r w:rsidRPr="00800D1B">
        <w:rPr>
          <w:color w:val="000000"/>
          <w:lang w:val="sv-SE"/>
        </w:rPr>
        <w:t>De nord-sydliga järnvägsstråken kompletteras av malmbanan Narvik-Kiruna-Gällivare-Luleå samt tvärbanorna Älvsbyn-Piteå, Arvidsjaur-Jörn (idag utan trafik), Storuman-Lycksele-Hällnäs, Vännäs-Umeå-Holmsund, Bastuträsk-Skellefteå-Skelleftehamn och Haparandabanan som ansluter till det finska järnvägsnätet.</w:t>
      </w:r>
    </w:p>
    <w:p w14:paraId="020BD4AA" w14:textId="77777777" w:rsidR="00FD4482" w:rsidRPr="00800D1B" w:rsidRDefault="00FD4482">
      <w:pPr>
        <w:spacing w:before="100"/>
        <w:rPr>
          <w:color w:val="000000"/>
          <w:lang w:val="sv-SE"/>
        </w:rPr>
      </w:pPr>
      <w:r w:rsidRPr="00800D1B">
        <w:rPr>
          <w:color w:val="000000"/>
          <w:lang w:val="sv-SE"/>
        </w:rPr>
        <w:t>Det finns stora brister i järnvägssystemet i form av avsaknad av elektrifiering på vissa sträckor, brister i signal- och säkerhetssystem, flaskhalsar, brist på mötesplatser och uppställningsspår samt behov av dubbelspår på vissa sträckor. Införandet av det europeiska tågsäkerhetssystemet (ERTMS) utgör ett potentiellt hinder för vissa tågoperatörer på grund av de relativt höga kostnaderna i förhållande till nyttan. Detta kan innebära en suboptimering när det gäller nyttjandet av de delar som enbart förlitar sig på ERTMS som signalsystem.</w:t>
      </w:r>
    </w:p>
    <w:p w14:paraId="1AEA3728" w14:textId="77777777" w:rsidR="00FD4482" w:rsidRPr="00800D1B" w:rsidRDefault="00FD4482">
      <w:pPr>
        <w:spacing w:before="100"/>
        <w:rPr>
          <w:color w:val="000000"/>
          <w:lang w:val="sv-SE"/>
        </w:rPr>
      </w:pPr>
      <w:r w:rsidRPr="00800D1B">
        <w:rPr>
          <w:color w:val="000000"/>
          <w:lang w:val="sv-SE"/>
        </w:rPr>
        <w:t>För att kunna möta beräknade ökningar av persontransporter och godsflöden på järnvägen krävs investeringar. Den kommande Norrbotniabanan klassas som stomjärnväg och är en viktig del av Botniska korridoren i TEN-T Core Network. Botniska korridoren kopplar ihop den europeiska kontinenten med norra Sverige, Norge och Finland genom stomnätskorridorerna Skandinavien-Medelhavet och Nordsjön-Östersjön.</w:t>
      </w:r>
    </w:p>
    <w:p w14:paraId="2652B242" w14:textId="77777777" w:rsidR="00FD4482" w:rsidRPr="00800D1B" w:rsidRDefault="00FD4482">
      <w:pPr>
        <w:spacing w:before="100"/>
        <w:rPr>
          <w:color w:val="000000"/>
          <w:lang w:val="sv-SE"/>
        </w:rPr>
      </w:pPr>
      <w:r w:rsidRPr="00800D1B">
        <w:rPr>
          <w:color w:val="000000"/>
          <w:lang w:val="sv-SE"/>
        </w:rPr>
        <w:t>Längs Norrlandskusten finns en hamnstruktur som är inriktad på exportföretag inom framförallt skogs- och stålindustrin. Luleå hamn hanterar idag rikets tredje största godsvolym och är av EU även klassad som en stomnätshamn. Piteå hamn är viktig för skogsindustrin och har under senare år haft en avgörande roll för vindkraftsutbyggnaden i Markbygden. I Skellefteås och Umeås hamnar pågår flera investeringar för att möta industrins utveckling. Mellan Umeå och Vasa sattes en ny innovativ och miljömässigt hållbar färja i trafik i augusti 2021. De större tillsammans med de mindre och mellanstora hamnarna längs Norrlandskusten tillgodoser industriernas behov eftersom hamnarna kompletterar varandra. Genom åtgärder som stärker och knyter samman hamnarna med andra trafikslag skapas en helhet med ett långsiktigt hållbart transportsystem som får bättre förutsättningar att avlasta väg- och järnvägsnätet. </w:t>
      </w:r>
    </w:p>
    <w:p w14:paraId="4D8D4559" w14:textId="77777777" w:rsidR="00FD4482" w:rsidRPr="00800D1B" w:rsidRDefault="00FD4482" w:rsidP="007C5F91">
      <w:pPr>
        <w:pStyle w:val="Rubrik4"/>
        <w:spacing w:before="100"/>
        <w:ind w:left="0" w:firstLine="0"/>
        <w:rPr>
          <w:i/>
          <w:iCs/>
        </w:rPr>
      </w:pPr>
      <w:r w:rsidRPr="00800D1B">
        <w:rPr>
          <w:i/>
          <w:iCs/>
        </w:rPr>
        <w:t>Organisation och styrning</w:t>
      </w:r>
    </w:p>
    <w:p w14:paraId="3FAA4A16" w14:textId="77777777" w:rsidR="00FD4482" w:rsidRPr="00800D1B" w:rsidRDefault="00FD4482">
      <w:pPr>
        <w:spacing w:before="100"/>
        <w:rPr>
          <w:color w:val="000000"/>
          <w:lang w:val="sv-SE"/>
        </w:rPr>
      </w:pPr>
      <w:r w:rsidRPr="00800D1B">
        <w:rPr>
          <w:color w:val="000000"/>
          <w:lang w:val="sv-SE"/>
        </w:rPr>
        <w:t>Tillväxtverket är förvaltande myndighet och har haft denna uppgift sedan programperioden 2007-2013. Ekonomistyrningsverket är revisionsmyndighet sedan 2007-2013. Regionerna och länsstyrelserna i programområdet ÖN har haft ett ansvar för programskrivning och varit en del av genomförandet sedan programperioden 1995. För att underlätta för företag och projektägare har regionerna i programområdet ställt sig bakom de förslag till förenklingsåtgärder som tidigare presenterats av Tillväxtverket.</w:t>
      </w:r>
    </w:p>
    <w:p w14:paraId="02E91745" w14:textId="77777777" w:rsidR="00FD4482" w:rsidRPr="00800D1B" w:rsidRDefault="00FD4482">
      <w:pPr>
        <w:spacing w:before="100"/>
        <w:rPr>
          <w:color w:val="000000"/>
          <w:lang w:val="sv-SE"/>
        </w:rPr>
      </w:pPr>
      <w:r w:rsidRPr="00800D1B">
        <w:rPr>
          <w:color w:val="000000"/>
          <w:lang w:val="sv-SE"/>
        </w:rPr>
        <w:t>Under 2022-2023 kommer förvaltande myndighet och projektägare att hantera regionalfondsmedel för olika programperioder parallellt bl.a. på grund av React-EU, vilket förutsätter en väl fungerande förvaltningsmodell bl.a för att säkerställa att dubbelfinansiering inte ska förekomma.</w:t>
      </w:r>
    </w:p>
    <w:p w14:paraId="432E6D69" w14:textId="77777777" w:rsidR="00FD4482" w:rsidRPr="00800D1B" w:rsidRDefault="00FD4482">
      <w:pPr>
        <w:spacing w:before="100"/>
        <w:rPr>
          <w:color w:val="000000"/>
          <w:lang w:val="sv-SE"/>
        </w:rPr>
      </w:pPr>
      <w:r w:rsidRPr="00800D1B">
        <w:rPr>
          <w:color w:val="000000"/>
          <w:lang w:val="sv-SE"/>
        </w:rPr>
        <w:t>Lagen (2016:1145) om offentlig upphandling och tillämpliga statsstödsregler kommer att beaktas vid bedömningen av respektive projekt. Under genomförandet av programmet kommer förvaltande myndighet att främja den strategiska användningen av offentlig upphandling för att stödja de politiska målen.</w:t>
      </w:r>
    </w:p>
    <w:p w14:paraId="67282997" w14:textId="77777777" w:rsidR="00FD4482" w:rsidRPr="00800D1B" w:rsidRDefault="00FD4482">
      <w:pPr>
        <w:spacing w:before="100"/>
        <w:rPr>
          <w:color w:val="000000"/>
          <w:lang w:val="sv-SE"/>
        </w:rPr>
      </w:pPr>
      <w:r w:rsidRPr="00800D1B">
        <w:rPr>
          <w:color w:val="000000"/>
          <w:lang w:val="sv-SE"/>
        </w:rPr>
        <w:t>Programmet har genomgått en strategisk miljöbedömning som syftar till att integrera miljöaspekter i programmet så att hållbar utveckling främjas. Den strategiska miljöbedömningen har beaktats och insatserna bedöms vara förenliga med principen om att inte orsaka betydande skada.</w:t>
      </w:r>
    </w:p>
    <w:p w14:paraId="0AD06B89" w14:textId="77777777" w:rsidR="00FD4482" w:rsidRPr="00800D1B" w:rsidRDefault="00FD4482">
      <w:pPr>
        <w:spacing w:before="100"/>
        <w:rPr>
          <w:color w:val="000000"/>
          <w:lang w:val="sv-SE"/>
        </w:rPr>
      </w:pPr>
      <w:r w:rsidRPr="00800D1B">
        <w:rPr>
          <w:color w:val="000000"/>
          <w:lang w:val="sv-SE"/>
        </w:rPr>
        <w:t>De övergripande principer som anges i artikel 9 i CPR kommer beaktas i utformningen och genomförandet av programmet (se även bilaga).</w:t>
      </w:r>
    </w:p>
    <w:p w14:paraId="78BA2CE6" w14:textId="77777777" w:rsidR="00FD4482" w:rsidRPr="00800D1B" w:rsidRDefault="00FD4482">
      <w:pPr>
        <w:spacing w:before="100"/>
        <w:rPr>
          <w:color w:val="000000"/>
          <w:lang w:val="sv-SE"/>
        </w:rPr>
      </w:pPr>
      <w:r w:rsidRPr="00800D1B">
        <w:rPr>
          <w:color w:val="000000"/>
          <w:lang w:val="sv-SE"/>
        </w:rPr>
        <w:t>Syftet är att insatserna ska ge långsiktiga resultat.</w:t>
      </w:r>
    </w:p>
    <w:p w14:paraId="1959745C" w14:textId="77777777" w:rsidR="00FD4482" w:rsidRPr="00800D1B" w:rsidRDefault="00FD4482" w:rsidP="007C5F91">
      <w:pPr>
        <w:pStyle w:val="Rubrik4"/>
        <w:spacing w:before="100"/>
        <w:ind w:left="0" w:firstLine="0"/>
        <w:rPr>
          <w:i/>
          <w:iCs/>
        </w:rPr>
      </w:pPr>
      <w:r w:rsidRPr="00800D1B">
        <w:rPr>
          <w:i/>
          <w:iCs/>
        </w:rPr>
        <w:t>Lärdomar från tidigare erfarenheter</w:t>
      </w:r>
    </w:p>
    <w:p w14:paraId="17D1AA31" w14:textId="450C79F8" w:rsidR="00FD4482" w:rsidRPr="00800D1B" w:rsidRDefault="00FD4482">
      <w:pPr>
        <w:spacing w:before="100"/>
        <w:rPr>
          <w:color w:val="000000"/>
          <w:lang w:val="sv-SE"/>
        </w:rPr>
      </w:pPr>
      <w:r w:rsidRPr="00800D1B">
        <w:rPr>
          <w:color w:val="000000"/>
          <w:lang w:val="sv-SE"/>
        </w:rPr>
        <w:t xml:space="preserve">Lärdomar från tidigare programperiod ligger till grund för de strategiska val som gjorts i utformningen av det regionala operativa programmet för ÖN 2021 – 2027. Det gäller såväl erfarenheter som konstateras i </w:t>
      </w:r>
      <w:r w:rsidR="00F854FB" w:rsidRPr="00800D1B">
        <w:rPr>
          <w:color w:val="000000"/>
          <w:lang w:val="sv-SE"/>
        </w:rPr>
        <mc:AlternateContent>
          <mc:Choice Requires="wps">
            <w:drawing>
              <wp:anchor distT="0" distB="0" distL="114300" distR="114300" simplePos="0" relativeHeight="251692032" behindDoc="0" locked="0" layoutInCell="1" allowOverlap="1" wp14:anchorId="0AAFEB86" wp14:editId="46CDA15B">
                <wp:simplePos x="0" y="0"/>
                <wp:positionH relativeFrom="column">
                  <wp:posOffset>-106680</wp:posOffset>
                </wp:positionH>
                <wp:positionV relativeFrom="page">
                  <wp:posOffset>365760</wp:posOffset>
                </wp:positionV>
                <wp:extent cx="6648450" cy="9776460"/>
                <wp:effectExtent l="0" t="0" r="19050" b="15240"/>
                <wp:wrapNone/>
                <wp:docPr id="29" name="Rectangle 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648450" cy="97764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AB513B" id="Rectangle 29" o:spid="_x0000_s1026" alt="&quot;&quot;" style="position:absolute;margin-left:-8.4pt;margin-top:28.8pt;width:523.5pt;height:769.8pt;z-index:25169203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" filled="f" strokecolor="black [3213]" strokeweight=".5pt">
                <w10:wrap anchory="page"/>
              </v:rect>
            </w:pict>
          </mc:Fallback>
        </mc:AlternateContent>
      </w:r>
      <w:r w:rsidRPr="00800D1B">
        <w:rPr>
          <w:color w:val="000000"/>
          <w:lang w:val="sv-SE"/>
        </w:rPr>
        <w:t>programutvärderingar som erfarenheter som framkommit i dialog med regionala aktörer och programansvariga på förvaltande myndighet.</w:t>
      </w:r>
    </w:p>
    <w:p w14:paraId="617AD930" w14:textId="77777777" w:rsidR="00FD4482" w:rsidRPr="00800D1B" w:rsidRDefault="00FD4482">
      <w:pPr>
        <w:spacing w:before="100"/>
        <w:rPr>
          <w:color w:val="000000"/>
          <w:lang w:val="sv-SE"/>
        </w:rPr>
      </w:pPr>
      <w:r w:rsidRPr="00800D1B">
        <w:rPr>
          <w:color w:val="000000"/>
          <w:lang w:val="sv-SE"/>
        </w:rPr>
        <w:t>Utvärderingar visar att ÖN har många bra satsningar på forskning, teknisk utveckling och innovation som stärker regionens områden för smart specialisering och diversifiering. Projekten arbetar i många fall mycket företagsnära och bidrar till att utgöra en brygga mellan lärosäten och näringsliv. Med anledning av områdets glesa befolkningsstruktur och långa avstånd blir också satsningar på digitalisering och platsoberoende innovationssystem viktiga att fokusera vidare på. Likväl som platsoberoende stödinsatser för nya och växande företag.</w:t>
      </w:r>
    </w:p>
    <w:p w14:paraId="40EAF9E7" w14:textId="77777777" w:rsidR="00FD4482" w:rsidRPr="00800D1B" w:rsidRDefault="00FD4482">
      <w:pPr>
        <w:spacing w:before="100"/>
        <w:rPr>
          <w:color w:val="000000"/>
          <w:lang w:val="sv-SE"/>
        </w:rPr>
      </w:pPr>
      <w:r w:rsidRPr="00800D1B">
        <w:rPr>
          <w:color w:val="000000"/>
          <w:lang w:val="sv-SE"/>
        </w:rPr>
        <w:t>Kopplat till digitalisering så finns det fortfarande stora utmaningar med bredbandsinfrastruktur för att möjliggöra en grundläggande service till civilsamhälle och företag i ÖN. Den låga graden av mobil yttäckning är ett tydligt marknadsmisslyckande. Digitaliseringens betydelse har också visat sin fulla betydelse under de senaste åren då pandemin Covid-19 har gjort att stora delar av arbetsmarknaden har blivit starkt digitaliserad och möjligheten till platsoberoende arbete har blivit central.</w:t>
      </w:r>
    </w:p>
    <w:p w14:paraId="1181E93D" w14:textId="77777777" w:rsidR="00FD4482" w:rsidRPr="00800D1B" w:rsidRDefault="00FD4482">
      <w:pPr>
        <w:spacing w:before="100"/>
        <w:rPr>
          <w:color w:val="000000"/>
          <w:lang w:val="sv-SE"/>
        </w:rPr>
      </w:pPr>
      <w:r w:rsidRPr="00800D1B">
        <w:rPr>
          <w:color w:val="000000"/>
          <w:lang w:val="sv-SE"/>
        </w:rPr>
        <w:t>De stora investeringar och etableringar som har initierats inom programområdets geografi har påskyndat behovet av att stärka kompetensförsörjning och utveckla hållbara transporter för att klara omställningen mot en grönare och mer koldioxidsnål ekonomi. Dessa områden kommer därför att ges ett större fokus i kommande programperiod. Omställningen och de satsningar som görs kräver nya och innovativa lösningar vilket även innebär ett ökat behov av riskvilligt kapital till nya och växande företag. Många av de utmaningar som lyfts förstärks av områdets glesa befolkningsstruktur.</w:t>
      </w:r>
    </w:p>
    <w:p w14:paraId="3FDD863A" w14:textId="77777777" w:rsidR="00FD4482" w:rsidRPr="00800D1B" w:rsidRDefault="00FD4482">
      <w:pPr>
        <w:spacing w:before="100"/>
        <w:rPr>
          <w:color w:val="000000"/>
          <w:lang w:val="sv-SE"/>
        </w:rPr>
      </w:pPr>
      <w:r w:rsidRPr="00800D1B">
        <w:rPr>
          <w:color w:val="000000"/>
          <w:lang w:val="sv-SE"/>
        </w:rPr>
        <w:t>Andra lärdomar som tas med inför kommande programperiod rör främst genomförandeaspekter. Det har exempelvis visat sig att möjlighet till längre projekttider i vissa fall är nödvändigt, här rör det främst verksamhet av mer komplex art och med flera parter involverade samt insatser förenade med tillståndsprocesser och andra externa faktorer som kan få stor påverkan på projektgenomförandet.</w:t>
      </w:r>
    </w:p>
    <w:p w14:paraId="30733A56" w14:textId="77777777" w:rsidR="00FD4482" w:rsidRPr="00800D1B" w:rsidRDefault="00FD4482">
      <w:pPr>
        <w:spacing w:before="100"/>
        <w:rPr>
          <w:color w:val="000000"/>
          <w:lang w:val="sv-SE"/>
        </w:rPr>
      </w:pPr>
      <w:r w:rsidRPr="00800D1B">
        <w:rPr>
          <w:color w:val="000000"/>
          <w:lang w:val="sv-SE"/>
        </w:rPr>
        <w:t>Hänvisning till utvärderingar och rapporter:</w:t>
      </w:r>
    </w:p>
    <w:p w14:paraId="4F91B1DC" w14:textId="41BA91C6" w:rsidR="00FD4482" w:rsidRPr="00800D1B" w:rsidRDefault="00FD4482">
      <w:pPr>
        <w:pStyle w:val="Liststycke"/>
        <w:numPr>
          <w:ilvl w:val="0"/>
          <w:numId w:val="94"/>
        </w:numPr>
        <w:tabs>
          <w:tab w:val="left" w:pos="180"/>
        </w:tabs>
        <w:spacing w:before="100"/>
        <w:ind w:left="0" w:firstLine="0"/>
        <w:contextualSpacing w:val="0"/>
        <w:rPr>
          <w:color w:val="000000"/>
          <w:lang w:val="sv-SE"/>
        </w:rPr>
      </w:pPr>
      <w:r w:rsidRPr="00800D1B">
        <w:rPr>
          <w:color w:val="000000"/>
          <w:lang w:val="sv-SE"/>
        </w:rPr>
        <w:t>Delrapport, programutvärdering av tematiskt mål 1. Februari 2017, Ramboll</w:t>
      </w:r>
    </w:p>
    <w:p w14:paraId="23611CBD" w14:textId="2D772150" w:rsidR="00FD4482" w:rsidRPr="00800D1B" w:rsidRDefault="00FD4482">
      <w:pPr>
        <w:pStyle w:val="Liststycke"/>
        <w:numPr>
          <w:ilvl w:val="0"/>
          <w:numId w:val="94"/>
        </w:numPr>
        <w:tabs>
          <w:tab w:val="left" w:pos="180"/>
        </w:tabs>
        <w:spacing w:before="100"/>
        <w:ind w:left="0" w:firstLine="0"/>
        <w:contextualSpacing w:val="0"/>
        <w:rPr>
          <w:color w:val="000000"/>
          <w:lang w:val="sv-SE"/>
        </w:rPr>
      </w:pPr>
      <w:r w:rsidRPr="00800D1B">
        <w:rPr>
          <w:color w:val="000000"/>
          <w:lang w:val="sv-SE"/>
        </w:rPr>
        <w:t>Löpande programutvärdering av programperioden 2020-2027, tematiskt mål 3: Öka konkurrenskraften hos små och medelstora företag. Februari 2017, Sweco</w:t>
      </w:r>
    </w:p>
    <w:p w14:paraId="5F985400" w14:textId="4E45BF5F" w:rsidR="00FD4482" w:rsidRPr="00800D1B" w:rsidRDefault="00FD4482">
      <w:pPr>
        <w:pStyle w:val="Liststycke"/>
        <w:numPr>
          <w:ilvl w:val="0"/>
          <w:numId w:val="94"/>
        </w:numPr>
        <w:tabs>
          <w:tab w:val="left" w:pos="180"/>
          <w:tab w:val="left" w:pos="270"/>
        </w:tabs>
        <w:spacing w:before="100"/>
        <w:ind w:left="0" w:firstLine="0"/>
        <w:contextualSpacing w:val="0"/>
        <w:rPr>
          <w:color w:val="000000"/>
          <w:lang w:val="sv-SE"/>
        </w:rPr>
      </w:pPr>
      <w:r w:rsidRPr="00800D1B">
        <w:rPr>
          <w:color w:val="000000"/>
          <w:lang w:val="sv-SE"/>
        </w:rPr>
        <w:t>Programutvärdering av TM4 – Att stödja övergången till en koldioxidsnål ekonomi. 2017. Sweco</w:t>
      </w:r>
    </w:p>
    <w:p w14:paraId="71DB7FEE" w14:textId="64CB7A06" w:rsidR="00FD4482" w:rsidRPr="00800D1B" w:rsidRDefault="00FD4482">
      <w:pPr>
        <w:pStyle w:val="Liststycke"/>
        <w:numPr>
          <w:ilvl w:val="0"/>
          <w:numId w:val="94"/>
        </w:numPr>
        <w:tabs>
          <w:tab w:val="left" w:pos="180"/>
        </w:tabs>
        <w:spacing w:before="100"/>
        <w:ind w:left="0" w:firstLine="0"/>
        <w:contextualSpacing w:val="0"/>
        <w:rPr>
          <w:color w:val="000000"/>
          <w:lang w:val="sv-SE"/>
        </w:rPr>
      </w:pPr>
      <w:r w:rsidRPr="00800D1B">
        <w:rPr>
          <w:color w:val="000000"/>
          <w:lang w:val="sv-SE"/>
        </w:rPr>
        <w:t>Regionalfondens bidrag till utveckling i Övre Norrland. 2021. Tillväxtverket</w:t>
      </w:r>
    </w:p>
    <w:p w14:paraId="0CC7B7F0" w14:textId="77777777" w:rsidR="00FD4482" w:rsidRPr="00800D1B" w:rsidRDefault="00FD4482">
      <w:pPr>
        <w:spacing w:before="100"/>
        <w:rPr>
          <w:color w:val="000000"/>
          <w:lang w:val="sv-SE"/>
        </w:rPr>
      </w:pPr>
      <w:r w:rsidRPr="00800D1B">
        <w:rPr>
          <w:color w:val="000000"/>
          <w:lang w:val="sv-SE"/>
        </w:rPr>
        <w:t>Åtgärderna är i linje med de strategiska prioriteringar som beskrivs i Partnerskapsöverenskommelsen. Åtgärderna bidrar till genomförandet av den europeiska pelaren för sociala rättigheter, i synnerhet principen om utbildning och livslångt lärande, jämställdhet och lika möjligheter. Gröna given är också vägledande, tillsammans med EU:s digitaliseringsstrategi, i arbetet med den gröna och digitala omställningen och den ekonomiska återhämtningen efter pandemin. Vid programmets framtagande har bilaga D i kommissionens landrapport för Sverige 2019 varit en av utgångspunkterna.</w:t>
      </w:r>
    </w:p>
    <w:p w14:paraId="64E82A02" w14:textId="77777777" w:rsidR="00FD4482" w:rsidRPr="00800D1B" w:rsidRDefault="00FD4482">
      <w:pPr>
        <w:spacing w:before="100"/>
        <w:rPr>
          <w:color w:val="000000"/>
          <w:lang w:val="sv-SE"/>
        </w:rPr>
      </w:pPr>
      <w:r w:rsidRPr="00800D1B">
        <w:rPr>
          <w:i/>
          <w:iCs/>
          <w:color w:val="000000"/>
          <w:lang w:val="sv-SE"/>
        </w:rPr>
        <w:t>Komplementariet</w:t>
      </w:r>
      <w:r w:rsidRPr="00800D1B">
        <w:rPr>
          <w:color w:val="000000"/>
          <w:lang w:val="sv-SE"/>
        </w:rPr>
        <w:t xml:space="preserve"> och synergier med övriga EU-fonder som kan bidra till måluppfyllelse för ÖN ska främjas och överlappningar med andra fonder ska undvikas, genom dialog och samordning kopplat programgenomförandet. En bedömning kommer att ske på projektnivå för att säkerställa att ingen dubbelfinansiering sker.</w:t>
      </w:r>
    </w:p>
    <w:p w14:paraId="39A074EE" w14:textId="77777777" w:rsidR="00FD4482" w:rsidRPr="00800D1B" w:rsidRDefault="00FD4482">
      <w:pPr>
        <w:spacing w:before="100"/>
        <w:rPr>
          <w:color w:val="000000"/>
          <w:lang w:val="sv-SE"/>
        </w:rPr>
      </w:pPr>
      <w:r w:rsidRPr="00800D1B">
        <w:rPr>
          <w:color w:val="000000"/>
          <w:lang w:val="sv-SE"/>
        </w:rPr>
        <w:t>ERUF samspelar med Fonden för rättvis omställning (FRO) och ESF+. De olika fonderna har liknande inriktningar på insatser, men skiljer sig tydligt åt när det gäller vilka huvudsakliga målgrupper de riktar sig till och vart insatsernas främsta fokus ligger. Skillnaderna mellan de olika fonderna är tydliga och möjligheten att få satsningarna att komplettera varandra är därför goda.</w:t>
      </w:r>
    </w:p>
    <w:p w14:paraId="5BB29F02" w14:textId="4AE46FE1" w:rsidR="00FD4482" w:rsidRPr="00800D1B" w:rsidRDefault="00FD4482">
      <w:pPr>
        <w:spacing w:before="100"/>
        <w:rPr>
          <w:color w:val="000000"/>
          <w:lang w:val="sv-SE"/>
        </w:rPr>
      </w:pPr>
      <w:r w:rsidRPr="00800D1B">
        <w:rPr>
          <w:color w:val="000000"/>
          <w:lang w:val="sv-SE"/>
        </w:rPr>
        <w:t>ERUF ÖN bedöms komplettera återhämtningsplanen bl.a. kopplat till Klimatklivet och Industriklivet. I den svenska återhämtningsplanen och dess tekniska bilaga anges bl.a. åtgärder för att undvika dubbelfinansiering från RRF och andra unionsprogram. En bedömning kommer att ske på projektnivå för att säkerställa att ingen dubbelfinansiering sker.</w:t>
      </w:r>
    </w:p>
    <w:p w14:paraId="6E8AF3AE" w14:textId="3DF06931" w:rsidR="00FD4482" w:rsidRPr="00800D1B" w:rsidRDefault="00FD4482">
      <w:pPr>
        <w:spacing w:before="100"/>
        <w:rPr>
          <w:color w:val="000000"/>
          <w:lang w:val="sv-SE"/>
        </w:rPr>
      </w:pPr>
      <w:r w:rsidRPr="00800D1B">
        <w:rPr>
          <w:color w:val="000000"/>
          <w:lang w:val="sv-SE"/>
        </w:rPr>
        <w:t xml:space="preserve">Gränsdragningen avseende satsningar på tillgång till bredband av hög överföringskapacitet som planeras att finansieras inom programmet och satsningar inom samma område inkluderade i återhämtningsplanen är viktig. Post- och Telestyrelsen (PTS) är ansvarig myndighet för det nationella stödsystemet för </w:t>
      </w:r>
      <w:r w:rsidR="002F4614" w:rsidRPr="00800D1B">
        <w:rPr>
          <w:color w:val="000000"/>
          <w:lang w:val="sv-SE"/>
        </w:rPr>
        <mc:AlternateContent>
          <mc:Choice Requires="wps">
            <w:drawing>
              <wp:anchor distT="0" distB="0" distL="114300" distR="114300" simplePos="0" relativeHeight="251693056" behindDoc="0" locked="0" layoutInCell="1" allowOverlap="1" wp14:anchorId="0CFA8C63" wp14:editId="22CC03D7">
                <wp:simplePos x="0" y="0"/>
                <wp:positionH relativeFrom="column">
                  <wp:posOffset>-45720</wp:posOffset>
                </wp:positionH>
                <wp:positionV relativeFrom="paragraph">
                  <wp:posOffset>7620</wp:posOffset>
                </wp:positionV>
                <wp:extent cx="6686550" cy="3764280"/>
                <wp:effectExtent l="0" t="0" r="19050" b="26670"/>
                <wp:wrapNone/>
                <wp:docPr id="30" name="Rectangle 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686550" cy="376428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2B0F0E" id="Rectangle 30" o:spid="_x0000_s1026" alt="&quot;&quot;" style="position:absolute;margin-left:-3.6pt;margin-top:.6pt;width:526.5pt;height:296.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" filled="f" strokecolor="black [3213]" strokeweight=".5pt"/>
            </w:pict>
          </mc:Fallback>
        </mc:AlternateContent>
      </w:r>
      <w:r w:rsidRPr="00800D1B">
        <w:rPr>
          <w:color w:val="000000"/>
          <w:lang w:val="sv-SE"/>
        </w:rPr>
        <w:t>bredbandsutbyggnad i enlighet med förordningen (2020:266) om statligt stöd för utbyggnad av bredbandsinfrastruktur. Av förordningen följer att stöd bland annat inte får lämnas för åtgärder som beviljats statligt stöd inom Eruf. Vidare har Tillväxtverket i sitt regleringsbrev för 2022 fått ett uppdrag kopplat till bredbandsprojekt i aktuella regionalfondsprogram programperioden 2021–2027.</w:t>
      </w:r>
    </w:p>
    <w:p w14:paraId="63B33FE3" w14:textId="77777777" w:rsidR="00FD4482" w:rsidRPr="00800D1B" w:rsidRDefault="00FD4482">
      <w:pPr>
        <w:spacing w:before="100"/>
        <w:rPr>
          <w:color w:val="000000"/>
          <w:lang w:val="sv-SE"/>
        </w:rPr>
      </w:pPr>
      <w:r w:rsidRPr="00800D1B">
        <w:rPr>
          <w:color w:val="000000"/>
          <w:lang w:val="sv-SE"/>
        </w:rPr>
        <w:t>Insatser inom forskning och innovation stärker regionens kapacitet och förutsättningar för ökat deltagande i konkurrensutsatta fonder och program, tex Horisont Europa. ÖN ska utforska samverkansmöjligheter med akademin och näringslivet kopplat till Horisont Europas olika Missions t.ex. den som rör rymden.</w:t>
      </w:r>
    </w:p>
    <w:p w14:paraId="6EA6D409" w14:textId="77777777" w:rsidR="00FD4482" w:rsidRPr="00800D1B" w:rsidRDefault="00FD4482">
      <w:pPr>
        <w:spacing w:before="100"/>
        <w:rPr>
          <w:color w:val="000000"/>
          <w:lang w:val="sv-SE"/>
        </w:rPr>
      </w:pPr>
      <w:r w:rsidRPr="00800D1B">
        <w:rPr>
          <w:color w:val="000000"/>
          <w:lang w:val="sv-SE"/>
        </w:rPr>
        <w:t>Samarbeten ska främjas utifrån utmaningar som ligger i linje med EU strategin för Östersjöregionen, främst genom Interreg, EU:s territoriella program. Aktuella program för ÖN är de gränsregionala programmen för Aurora och Östersjön, det interregionala programmet för Östersjöregionen och Nordsjön samt det transnationella programmet för alla regioner oberoende av geografiskt område (Interreg Europa).</w:t>
      </w:r>
    </w:p>
    <w:p w14:paraId="11213EAE" w14:textId="77777777" w:rsidR="00FD4482" w:rsidRPr="00800D1B" w:rsidRDefault="00FD4482" w:rsidP="00EF4905">
      <w:pPr>
        <w:spacing w:before="100" w:after="300"/>
        <w:rPr>
          <w:color w:val="000000"/>
          <w:lang w:val="sv-SE"/>
        </w:rPr>
      </w:pPr>
      <w:r w:rsidRPr="00800D1B">
        <w:rPr>
          <w:color w:val="000000"/>
          <w:lang w:val="sv-SE"/>
        </w:rPr>
        <w:t>Inom European Research Area (ERA) är “ERA-hubs” som kopplar samman stödstrukturer för forskning och innovation av intresse, liksom ERA-initiativet som ska främja universitetsallianser. Kommissionens smarta specialiserings- och innovationsplattformar utgör viktiga samverkansytor som kan bidra till omvärldsbevakning och ökat deltagande i globala värdekedjor. Synergier med instrumentet för interregionala innovationsinvesteringar (I3), kan som en brygga mellan Eruf och Horisont Europa, ge möjligheter att skapa europeiska demonstrations- och testmiljöer. Synergier bör även möjliggöras mellan Eruf ÖN och programmet för ett digitalt Europa i syfte att stärka såväl innovationsspets som breda insatser inom den digitala omställningen.</w:t>
      </w:r>
    </w:p>
    <w:p w14:paraId="2D06553F" w14:textId="77777777" w:rsidR="00A77B3E" w:rsidRPr="00800D1B" w:rsidRDefault="00A77B3E">
      <w:pPr>
        <w:spacing w:before="100"/>
        <w:rPr>
          <w:color w:val="000000"/>
          <w:lang w:val="sv-SE"/>
        </w:rPr>
        <w:sectPr w:rsidR="00A77B3E" w:rsidRPr="00800D1B" w:rsidSect="00F854FB">
          <w:type w:val="continuous"/>
          <w:pgSz w:w="11906" w:h="16838"/>
          <w:pgMar w:top="720" w:right="936" w:bottom="864" w:left="720" w:header="0" w:footer="72" w:gutter="0"/>
          <w:cols w:space="720"/>
          <w:noEndnote/>
          <w:docGrid w:linePitch="360"/>
        </w:sectPr>
      </w:pPr>
    </w:p>
    <w:p w14:paraId="2D065540" w14:textId="77777777" w:rsidR="00A77B3E" w:rsidRPr="00800D1B" w:rsidRDefault="00623E14" w:rsidP="00C6361B">
      <w:pPr>
        <w:spacing w:before="100" w:after="200"/>
        <w:rPr>
          <w:color w:val="000000"/>
          <w:lang w:val="sv-SE"/>
        </w:rPr>
      </w:pPr>
      <w:r w:rsidRPr="00800D1B">
        <w:rPr>
          <w:color w:val="000000"/>
          <w:lang w:val="sv-SE"/>
        </w:rPr>
        <w:t>1. Programstrategi: viktigaste utmaningar och politiska åtgärder</w:t>
      </w:r>
    </w:p>
    <w:p w14:paraId="2D065541" w14:textId="77777777" w:rsidR="00A77B3E" w:rsidRPr="00800D1B" w:rsidRDefault="00A77B3E">
      <w:pPr>
        <w:spacing w:before="100"/>
        <w:rPr>
          <w:color w:val="000000"/>
          <w:sz w:val="0"/>
          <w:lang w:val="sv-SE"/>
        </w:rPr>
      </w:pPr>
    </w:p>
    <w:p w14:paraId="2D065542" w14:textId="131B7441" w:rsidR="00A77B3E" w:rsidRPr="00800D1B" w:rsidRDefault="00623E14" w:rsidP="00C6361B">
      <w:pPr>
        <w:pStyle w:val="Rubrik3"/>
        <w:numPr>
          <w:ilvl w:val="0"/>
          <w:numId w:val="0"/>
        </w:numPr>
        <w:spacing w:after="200"/>
        <w:ind w:left="450" w:hanging="450"/>
        <w:rPr>
          <w:i/>
          <w:lang w:val="sv-SE"/>
        </w:rPr>
      </w:pPr>
      <w:bookmarkStart w:id="1" w:name="_Toc256000242"/>
      <w:r w:rsidRPr="00800D1B">
        <w:rPr>
          <w:lang w:val="sv-SE"/>
        </w:rPr>
        <w:t>Tabell 1</w:t>
      </w:r>
      <w:bookmarkEnd w:id="1"/>
    </w:p>
    <w:tbl>
      <w:tblPr>
        <w:tblStyle w:val="Tabellrutnt"/>
        <w:tblW w:w="5000" w:type="pct"/>
        <w:tblLook w:val="04A0" w:firstRow="1" w:lastRow="0" w:firstColumn="1" w:lastColumn="0" w:noHBand="0" w:noVBand="1"/>
        <w:tblDescription w:val="En tabell som visar &quot;Politiskt mål eller specifikt mål för FRO&quot;, &quot;Specifikt mål eller särskild prioritering&quot; tillsammans med &quot;Motivering (sammanfattning)&quot;."/>
      </w:tblPr>
      <w:tblGrid>
        <w:gridCol w:w="1980"/>
        <w:gridCol w:w="2338"/>
        <w:gridCol w:w="10854"/>
      </w:tblGrid>
      <w:tr w:rsidR="003422DB" w:rsidRPr="00800D1B" w14:paraId="2D065547" w14:textId="77777777" w:rsidTr="00DC534B">
        <w:trPr>
          <w:trHeight w:val="160"/>
          <w:tblHeader/>
        </w:trPr>
        <w:tc>
          <w:tcPr>
            <w:tcW w:w="653" w:type="pct"/>
            <w:vAlign w:val="center"/>
          </w:tcPr>
          <w:p w14:paraId="2D065544" w14:textId="77777777" w:rsidR="00A77B3E" w:rsidRPr="00800D1B" w:rsidRDefault="00623E14" w:rsidP="00DC534B">
            <w:pPr>
              <w:spacing w:before="100" w:after="100"/>
              <w:jc w:val="center"/>
              <w:rPr>
                <w:color w:val="000000"/>
                <w:lang w:val="sv-SE"/>
              </w:rPr>
            </w:pPr>
            <w:r w:rsidRPr="00800D1B">
              <w:rPr>
                <w:color w:val="000000"/>
                <w:lang w:val="sv-SE"/>
              </w:rPr>
              <w:t>Politiskt mål eller specifikt mål för FRO</w:t>
            </w:r>
          </w:p>
        </w:tc>
        <w:tc>
          <w:tcPr>
            <w:tcW w:w="651" w:type="pct"/>
            <w:vAlign w:val="center"/>
          </w:tcPr>
          <w:p w14:paraId="2D065545" w14:textId="0869FD68" w:rsidR="00A77B3E" w:rsidRPr="00800D1B" w:rsidRDefault="00623E14" w:rsidP="00DC534B">
            <w:pPr>
              <w:spacing w:before="100"/>
              <w:jc w:val="center"/>
              <w:rPr>
                <w:color w:val="000000"/>
                <w:lang w:val="sv-SE"/>
              </w:rPr>
            </w:pPr>
            <w:r w:rsidRPr="00800D1B">
              <w:rPr>
                <w:color w:val="000000"/>
                <w:lang w:val="sv-SE"/>
              </w:rPr>
              <w:t>Specifikt mål eller särskild prioritering</w:t>
            </w:r>
            <w:r w:rsidR="00C805D3" w:rsidRPr="00800D1B">
              <w:rPr>
                <w:rStyle w:val="Fotnotsreferens"/>
                <w:color w:val="000000"/>
                <w:lang w:val="sv-SE"/>
              </w:rPr>
              <w:footnoteReference w:customMarkFollows="1" w:id="1"/>
              <w:t>*</w:t>
            </w:r>
          </w:p>
        </w:tc>
        <w:tc>
          <w:tcPr>
            <w:tcW w:w="3697" w:type="pct"/>
            <w:vAlign w:val="center"/>
          </w:tcPr>
          <w:p w14:paraId="2D065546" w14:textId="77777777" w:rsidR="00A77B3E" w:rsidRPr="00800D1B" w:rsidRDefault="00623E14" w:rsidP="00DC534B">
            <w:pPr>
              <w:spacing w:before="100"/>
              <w:jc w:val="center"/>
              <w:rPr>
                <w:color w:val="000000"/>
                <w:lang w:val="sv-SE"/>
              </w:rPr>
            </w:pPr>
            <w:r w:rsidRPr="00800D1B">
              <w:rPr>
                <w:color w:val="000000"/>
                <w:lang w:val="sv-SE"/>
              </w:rPr>
              <w:t>Motivering (sammanfattning)</w:t>
            </w:r>
          </w:p>
        </w:tc>
      </w:tr>
      <w:tr w:rsidR="003422DB" w:rsidRPr="00692105" w14:paraId="2D06554B" w14:textId="77777777" w:rsidTr="00DC534B">
        <w:trPr>
          <w:trHeight w:val="160"/>
        </w:trPr>
        <w:tc>
          <w:tcPr>
            <w:tcW w:w="653" w:type="pct"/>
          </w:tcPr>
          <w:p w14:paraId="2D065548" w14:textId="182D0D31" w:rsidR="00A77B3E" w:rsidRPr="00800D1B" w:rsidRDefault="00623E14">
            <w:pPr>
              <w:pStyle w:val="Liststycke"/>
              <w:numPr>
                <w:ilvl w:val="0"/>
                <w:numId w:val="61"/>
              </w:numPr>
              <w:tabs>
                <w:tab w:val="left" w:pos="150"/>
              </w:tabs>
              <w:spacing w:before="100"/>
              <w:ind w:left="-30" w:firstLine="0"/>
              <w:rPr>
                <w:color w:val="000000"/>
                <w:lang w:val="sv-SE"/>
              </w:rPr>
            </w:pPr>
            <w:r w:rsidRPr="00800D1B">
              <w:rPr>
                <w:color w:val="000000"/>
                <w:lang w:val="sv-SE"/>
              </w:rPr>
              <w:t>Ett konkurrenskraftigare och smartare Europa genom främjande av innovativ och smart ekonomisk omvandling och regional IKT-konnektivitet</w:t>
            </w:r>
          </w:p>
        </w:tc>
        <w:tc>
          <w:tcPr>
            <w:tcW w:w="651" w:type="pct"/>
          </w:tcPr>
          <w:p w14:paraId="2D065549" w14:textId="77777777" w:rsidR="00A77B3E" w:rsidRPr="00800D1B" w:rsidRDefault="00623E14" w:rsidP="00DC534B">
            <w:pPr>
              <w:spacing w:before="100"/>
              <w:ind w:right="-18"/>
              <w:rPr>
                <w:color w:val="000000"/>
                <w:lang w:val="sv-SE"/>
              </w:rPr>
            </w:pPr>
            <w:r w:rsidRPr="00800D1B">
              <w:rPr>
                <w:color w:val="000000"/>
                <w:lang w:val="sv-SE"/>
              </w:rPr>
              <w:t>RSO1.1. Utveckla och förbättra forsknings- och innovationskapaciteten och användningen av avancerad teknik</w:t>
            </w:r>
          </w:p>
        </w:tc>
        <w:tc>
          <w:tcPr>
            <w:tcW w:w="3697" w:type="pct"/>
          </w:tcPr>
          <w:p w14:paraId="2D06554A" w14:textId="77777777" w:rsidR="00A77B3E" w:rsidRPr="00800D1B" w:rsidRDefault="00623E14" w:rsidP="00DC534B">
            <w:pPr>
              <w:spacing w:before="100"/>
              <w:rPr>
                <w:color w:val="000000"/>
                <w:lang w:val="sv-SE"/>
              </w:rPr>
            </w:pPr>
            <w:r w:rsidRPr="00800D1B">
              <w:rPr>
                <w:color w:val="000000"/>
                <w:lang w:val="sv-SE"/>
              </w:rPr>
              <w:t>Insatserna inom detta område ska bland annat fokusera på att bygga kapacitet bland företag, universitet, forskningsinstitut och samhället. ÖN behöver samverka i syfte att få ett mer effektivt och mindre fragmenterat innovationssystem i ÖN. För att förbättra forsknings- och innovationskapaciteten krävs ett smartare nyttjande av avancerad teknik. Det saknas i hög grad insatser som kopplar ihop noder och innovationsmiljöer. FoU-utgifterna och FoU - andelen är lägre än i storstadsregionerna i Sverige. Det är viktigt att stärka utvecklingen kring forsknings och invasionsmiljöerna, men också viktigt att små och medelstora företag investerar mer i FoU. Målgrupperna i programmet ska även omfatta mikroföretagen. Flertalet av utmaningarna beror på och försöker hantera regionens glesa befolkningsstruktur och långa avstånd. En viktig del i att genomföra Norrbottens smarta specialiseringsstrategi och Västerbottens innovationsstrategi. Exempel på insatser som förstärks i programområdet: • Att stimulera en stärkt regional forskningsinfrastruktur med utvecklat nationellt och internationellt samarbete. • Att öka funktionell samverkan och geografiskt oberoende samverkan mellan länder, regioner och aktörer i innovationsekosystemet för att stimulera innovation i glesa regioner. • Att genomföra erfarenhetsutbyte och samverkan med innovationsmiljöer i andra regioner såväl nationellt som internationellt, med syfte att ta nästa kliv i smart specialiserings processen. • Att stimulera företagens möjligheter att öka sin egen forskning och utveckling. • Att stödja pilotverksamheter, tidig produktvalidering, tekniköverföring och kapacitetsuppbyggnad. • Att skapa kapacitet för innovationsutveckling för att minska inomregionala skillnader. Verksamheten kommer att stödjas genom bidrag. Inga finansiella instrument eller andra verktyg som erbjuds i förordningarna planeras. Bidrag är lämpligare med tanke på karaktären på den verksamhet som stöds.</w:t>
            </w:r>
          </w:p>
        </w:tc>
      </w:tr>
      <w:tr w:rsidR="003422DB" w:rsidRPr="00692105" w14:paraId="2D06554F" w14:textId="77777777" w:rsidTr="00DC534B">
        <w:trPr>
          <w:trHeight w:val="160"/>
        </w:trPr>
        <w:tc>
          <w:tcPr>
            <w:tcW w:w="653" w:type="pct"/>
          </w:tcPr>
          <w:p w14:paraId="2D06554C" w14:textId="13D22A02" w:rsidR="00A77B3E" w:rsidRPr="00800D1B" w:rsidRDefault="00623E14">
            <w:pPr>
              <w:pStyle w:val="Liststycke"/>
              <w:numPr>
                <w:ilvl w:val="0"/>
                <w:numId w:val="62"/>
              </w:numPr>
              <w:tabs>
                <w:tab w:val="left" w:pos="240"/>
              </w:tabs>
              <w:spacing w:before="100" w:after="60"/>
              <w:ind w:left="-30" w:right="-108" w:firstLine="0"/>
              <w:rPr>
                <w:color w:val="000000"/>
                <w:lang w:val="sv-SE"/>
              </w:rPr>
            </w:pPr>
            <w:r w:rsidRPr="00800D1B">
              <w:rPr>
                <w:color w:val="000000"/>
                <w:lang w:val="sv-SE"/>
              </w:rPr>
              <w:t>Ett konkurrenskraftigare och smartare Europa genom främjande av innovativ och smart ekonomisk omvandling och regional IKT-konnektivitet</w:t>
            </w:r>
          </w:p>
        </w:tc>
        <w:tc>
          <w:tcPr>
            <w:tcW w:w="651" w:type="pct"/>
          </w:tcPr>
          <w:p w14:paraId="2D06554D" w14:textId="77777777" w:rsidR="00A77B3E" w:rsidRPr="00800D1B" w:rsidRDefault="00623E14" w:rsidP="00DC534B">
            <w:pPr>
              <w:spacing w:before="100"/>
              <w:rPr>
                <w:color w:val="000000"/>
                <w:lang w:val="sv-SE"/>
              </w:rPr>
            </w:pPr>
            <w:r w:rsidRPr="00800D1B">
              <w:rPr>
                <w:color w:val="000000"/>
                <w:lang w:val="sv-SE"/>
              </w:rPr>
              <w:t>RSO1.2. Dra nytta av digitaliseringens fördelar för invånare, företag, forskningsorganisationer och offentliga myndigheter</w:t>
            </w:r>
          </w:p>
        </w:tc>
        <w:tc>
          <w:tcPr>
            <w:tcW w:w="3697" w:type="pct"/>
          </w:tcPr>
          <w:p w14:paraId="2D06554E" w14:textId="0F9CD225" w:rsidR="00A77B3E" w:rsidRPr="00800D1B" w:rsidRDefault="00623E14" w:rsidP="00DC534B">
            <w:pPr>
              <w:spacing w:before="100"/>
              <w:rPr>
                <w:color w:val="000000"/>
                <w:lang w:val="sv-SE"/>
              </w:rPr>
            </w:pPr>
            <w:r w:rsidRPr="00800D1B">
              <w:rPr>
                <w:color w:val="000000"/>
                <w:lang w:val="sv-SE"/>
              </w:rPr>
              <w:t xml:space="preserve">Företag och offentlig sektor nyttjar inte potentialen i digital teknik. Flertalet av utmaningarna beror på och försöker hantera regionens glesa befolkningsstruktur och långa avstånd. Med den förändringskraft som digitaliseringen innebär är det betydelsefullt att näringslivet, offentlig sektor och civilsamhället är med i denna utveckling. I rapporten Digitaliseringen och näringslivet ( </w:t>
            </w:r>
            <w:hyperlink r:id="rId12" w:history="1">
              <w:r w:rsidR="00022F1B" w:rsidRPr="00800D1B">
                <w:rPr>
                  <w:rStyle w:val="Hyperlnk"/>
                  <w:lang w:val="sv-SE"/>
                </w:rPr>
                <w:t>https://www.norrbotten.se/publika/lg/regio/2017/Digitaliseringens_mojligheter/digitaliseringen_och_naringslivet_webb.pdf</w:t>
              </w:r>
            </w:hyperlink>
            <w:r w:rsidRPr="00800D1B">
              <w:rPr>
                <w:color w:val="000000"/>
                <w:lang w:val="sv-SE"/>
              </w:rPr>
              <w:t>) uttrycker 33% av företagen har svårigheter med digitaliseringen. Något förvånande är att hela 11% av företagen anger att det inte finns någon inom verksamheten som kan handskas med datorer och vanliga mjukvaror, här finns det en potential för förbättring inom näringslivet. Exempelvis på insatser som behöver förstärkas i programområdet: • Stimulera utveckling och användning av digital teknik samt en ökad digital delaktighet med potential att leda näringslivets och organisationers strukturomvandling. • Stödja initiativ för att öka förståelsen för digitaliseringens påverkan på verksamhets- och affärsmodeller. Beslutsfattare och ledare är t.ex. en viktig målgrupp för att realisera det förändringsarbete som digitaliseringen medför. • Uppmuntra nya affärs- och organisationsmodeller för att tillgodogöra digitaliseringens potential. • Stödja etablering av European Digital Innovation Hubs (EDIH) för att kunna erbjuda det regionala näringslivet och offentlig sektor större förmåga att ta tillvara digitaliseringens möjligheter. • Insatser som leder till utveckling av digitala varor och tjänster som kan erbjudas på en såväl lokal, nationell som global marknad. • Förbättra den långsiktiga förmågan och kapaciteten för digital transformation i syfte att möta samhällsutmaningar och minska inomregionala skillnader. Verksamheten kommer att stödjas genom bidrag. Inga finansiella instrument eller andra verktyg som erbjuds i förordningarna planeras. Bidrag är lämpligare med tanke på karaktären på den verksamhet som stöds.</w:t>
            </w:r>
          </w:p>
        </w:tc>
      </w:tr>
      <w:tr w:rsidR="003422DB" w:rsidRPr="00692105" w14:paraId="2D065553" w14:textId="77777777" w:rsidTr="00DC534B">
        <w:trPr>
          <w:trHeight w:val="160"/>
        </w:trPr>
        <w:tc>
          <w:tcPr>
            <w:tcW w:w="653" w:type="pct"/>
          </w:tcPr>
          <w:p w14:paraId="2D065550" w14:textId="719D9D59" w:rsidR="00A77B3E" w:rsidRPr="00800D1B" w:rsidRDefault="00623E14">
            <w:pPr>
              <w:pStyle w:val="Liststycke"/>
              <w:numPr>
                <w:ilvl w:val="0"/>
                <w:numId w:val="63"/>
              </w:numPr>
              <w:tabs>
                <w:tab w:val="left" w:pos="210"/>
              </w:tabs>
              <w:spacing w:before="100"/>
              <w:ind w:left="-30" w:firstLine="0"/>
              <w:rPr>
                <w:color w:val="000000"/>
                <w:lang w:val="sv-SE"/>
              </w:rPr>
            </w:pPr>
            <w:r w:rsidRPr="00800D1B">
              <w:rPr>
                <w:color w:val="000000"/>
                <w:lang w:val="sv-SE"/>
              </w:rPr>
              <w:t>Ett konkurrenskraftigare och smartare Europa genom främjande av innovativ och smart ekonomisk omvandling och regional IKT-konnektivitet</w:t>
            </w:r>
          </w:p>
        </w:tc>
        <w:tc>
          <w:tcPr>
            <w:tcW w:w="651" w:type="pct"/>
          </w:tcPr>
          <w:p w14:paraId="2D065551" w14:textId="77777777" w:rsidR="00A77B3E" w:rsidRPr="00800D1B" w:rsidRDefault="00623E14" w:rsidP="00DC534B">
            <w:pPr>
              <w:spacing w:before="100"/>
              <w:rPr>
                <w:color w:val="000000"/>
                <w:lang w:val="sv-SE"/>
              </w:rPr>
            </w:pPr>
            <w:r w:rsidRPr="00800D1B">
              <w:rPr>
                <w:color w:val="000000"/>
                <w:lang w:val="sv-SE"/>
              </w:rPr>
              <w:t>RSO1.3. Förbättra de små och medelstora företagens hållbara tillväxt och konkurrenskraft och skapandet av arbetstillfällen i dessa företag, inbegripet genom produktiva investeringar</w:t>
            </w:r>
          </w:p>
        </w:tc>
        <w:tc>
          <w:tcPr>
            <w:tcW w:w="3697" w:type="pct"/>
          </w:tcPr>
          <w:p w14:paraId="2D065552" w14:textId="77777777" w:rsidR="00A77B3E" w:rsidRPr="00800D1B" w:rsidRDefault="00623E14" w:rsidP="00DC534B">
            <w:pPr>
              <w:spacing w:before="100"/>
              <w:rPr>
                <w:color w:val="000000"/>
                <w:lang w:val="sv-SE"/>
              </w:rPr>
            </w:pPr>
            <w:r w:rsidRPr="00800D1B">
              <w:rPr>
                <w:color w:val="000000"/>
                <w:lang w:val="sv-SE"/>
              </w:rPr>
              <w:t>Företag har olika behov, även när det gäller internationalisering och export. En utmaning är den starkt könssegregerade arbetsmarknaden i ÖN. Kvinnor arbetar i högre grad inom offentlig sektor och män i det privata näringslivet. Tillgång till kapital är en förutsättning för att företag ska kunna starta och växa och för att innovativa idéer ska kunna kommersialiseras och bidra till en hållbar regional utveckling. Ett strukturellt hinder för utveckling, i form av brister i marknadens utbud av kapital i ÖN. Låga andrahandsvärden på fastigheter och brist på tillgångar medför större osäkerheter för långivare. Det samiska området är i behov av en mer diversifierad kompetens- och företagsstruktur. Flertalet av utmaningarna beror på och söker hantera regionens glesa befolkningsstruktur och långa avstånd. Detta är prioriterat i Norrbottens smarta specialiseringsstrategi och Västerbottens innovationsstrategi. Exempel på insatser som behöver förstärkas i programområdet är: • Affärsmodeller och företagskoncept som kombinerar företagande och engagemang för att bidra till att lösa stora samhällsproblem • Insatser som stärker entreprenörskap och företagande utifrån den samiska kulturen och stimulerar näringslivsutveckling i det samiska samhället • Regionala och lokala inkubatorer där behov och förutsättningar finns • Att stärka och utveckla företagande baserat på hållbara, nya och utvecklade produkter från utpekade smarta specialiseringsområden • SMFs, organisationers innovationskraft och möjlighet att kommersialisera utvecklingsidéer • Att stimulera och stärka företags vilja och förmåga att bredda sin verksamhet till nya internationella marknader • Företags förmåga att attrahera riskkapital och riskvilligt kapital, för att överbrygga glapp genom regionala riskkapitalfonder eller andra insatser med offentliga medel. I detta område är avsikten att bidrag och finansieringsinstrument ska användas.</w:t>
            </w:r>
          </w:p>
        </w:tc>
      </w:tr>
      <w:tr w:rsidR="003422DB" w:rsidRPr="00692105" w14:paraId="2D065557" w14:textId="77777777" w:rsidTr="00DC534B">
        <w:trPr>
          <w:trHeight w:val="160"/>
        </w:trPr>
        <w:tc>
          <w:tcPr>
            <w:tcW w:w="653" w:type="pct"/>
          </w:tcPr>
          <w:p w14:paraId="2D065554" w14:textId="73EC954B" w:rsidR="00A77B3E" w:rsidRPr="00800D1B" w:rsidRDefault="00623E14">
            <w:pPr>
              <w:pStyle w:val="Liststycke"/>
              <w:numPr>
                <w:ilvl w:val="0"/>
                <w:numId w:val="64"/>
              </w:numPr>
              <w:tabs>
                <w:tab w:val="left" w:pos="210"/>
              </w:tabs>
              <w:spacing w:before="100" w:after="60"/>
              <w:ind w:left="-30" w:hanging="30"/>
              <w:rPr>
                <w:color w:val="000000"/>
                <w:lang w:val="sv-SE"/>
              </w:rPr>
            </w:pPr>
            <w:r w:rsidRPr="00800D1B">
              <w:rPr>
                <w:color w:val="000000"/>
                <w:lang w:val="sv-SE"/>
              </w:rPr>
              <w:t>Ett konkurrenskraftigare och smartare Europa genom främjande av innovativ och smart ekonomisk omvandling och regional IKT-konnektivitet</w:t>
            </w:r>
          </w:p>
        </w:tc>
        <w:tc>
          <w:tcPr>
            <w:tcW w:w="651" w:type="pct"/>
          </w:tcPr>
          <w:p w14:paraId="2D065555" w14:textId="77777777" w:rsidR="00A77B3E" w:rsidRPr="00800D1B" w:rsidRDefault="00623E14" w:rsidP="00DC534B">
            <w:pPr>
              <w:spacing w:before="100"/>
              <w:rPr>
                <w:color w:val="000000"/>
                <w:lang w:val="sv-SE"/>
              </w:rPr>
            </w:pPr>
            <w:r w:rsidRPr="00800D1B">
              <w:rPr>
                <w:color w:val="000000"/>
                <w:lang w:val="sv-SE"/>
              </w:rPr>
              <w:t>RSO1.4. Utveckla färdigheter för smart specialisering, industriomställning och entreprenörskap</w:t>
            </w:r>
          </w:p>
        </w:tc>
        <w:tc>
          <w:tcPr>
            <w:tcW w:w="3697" w:type="pct"/>
          </w:tcPr>
          <w:p w14:paraId="2D065556" w14:textId="77777777" w:rsidR="00A77B3E" w:rsidRPr="00800D1B" w:rsidRDefault="00623E14" w:rsidP="00DC534B">
            <w:pPr>
              <w:spacing w:before="100"/>
              <w:rPr>
                <w:color w:val="000000"/>
                <w:lang w:val="sv-SE"/>
              </w:rPr>
            </w:pPr>
            <w:r w:rsidRPr="00800D1B">
              <w:rPr>
                <w:color w:val="000000"/>
                <w:lang w:val="sv-SE"/>
              </w:rPr>
              <w:t xml:space="preserve">Regionens rekryteringsbehov är på kort och på lång sikt betydande. Det finns ett stort behov att kunna erbjuda flexibla, behovsanpassade kompetensutvecklingsinsatser inom regionens smart specialiserings- och diversifieringsområden. ÖNs betydande kompetensförsörjningsutmaningar beror bland annat på gles befolkningsstruktur, en åldrande befolkning, starkt könssegregerad arbetsmarknad, låg digitaliseringsgrad, långa avstånd exempelvis till högskolor och universitet samt utflyttning. Flertalet av utmaningarna beror på och söker hantera regionens glesa befolkningsstruktur och långa avstånd. Exempel på insatser som behöver förstärkas i programområdet är: • Främja det livslånga lärandet, kompetensutveckling och karriärväxling genom samverkan och initiativ mellan aktörer och organisationer. • Främja samverkan med Östersjöstrategins kompetensutvecklingsområde bör eftersträvas. • Främja kunskap om jämställdhet, integration och mångfald som konkurrensfördelar och attraktionskraft för stärkt entreprenörskap och företagande. • Främja den samiska befolkningens entreprenörskap och företagande genom kompetenshöjande insatser. • Utveckla nya metoder för utbildning och lärande, exempelvis arbetsintegrerat lärande. • Utveckla fysisk infrastruktur och digitala lösningar för att hitta nya sätt för samverkan och kompetensutveckling samt överbrygga geografiska hinder för att tillgängliggöra relevant utbildning för branscher, sektorer och företag. Stimulera framväxten av fler entreprenörer inom kunskapsintensiva branscher genom kompetenshöjande insatser. • Stimulera funktionell, geografiskt oberoende samverkan och kompetensutbyte mellan utbildningsaktörer, företag och organisationer för stärkt entreprenörskap och företagande. Verksamheten kommer att stödjas genom bidrag. Inga finansiella instrument eller andra verktyg som erbjuds i förordningarna planeras. Bidrag är lämpligare med tanke på karaktären på den verksamhet som stöds. </w:t>
            </w:r>
          </w:p>
        </w:tc>
      </w:tr>
      <w:tr w:rsidR="003422DB" w:rsidRPr="00692105" w14:paraId="2D06555B" w14:textId="77777777" w:rsidTr="00DC534B">
        <w:trPr>
          <w:trHeight w:val="160"/>
        </w:trPr>
        <w:tc>
          <w:tcPr>
            <w:tcW w:w="653" w:type="pct"/>
          </w:tcPr>
          <w:p w14:paraId="2D065558" w14:textId="5B02CBD6" w:rsidR="00A77B3E" w:rsidRPr="00800D1B" w:rsidRDefault="00623E14">
            <w:pPr>
              <w:pStyle w:val="Liststycke"/>
              <w:numPr>
                <w:ilvl w:val="0"/>
                <w:numId w:val="65"/>
              </w:numPr>
              <w:tabs>
                <w:tab w:val="left" w:pos="210"/>
              </w:tabs>
              <w:spacing w:before="100"/>
              <w:ind w:left="-30" w:hanging="30"/>
              <w:rPr>
                <w:color w:val="000000"/>
                <w:lang w:val="sv-SE"/>
              </w:rPr>
            </w:pPr>
            <w:r w:rsidRPr="00800D1B">
              <w:rPr>
                <w:color w:val="000000"/>
                <w:lang w:val="sv-SE"/>
              </w:rPr>
              <w:t>Ett konkurrenskraftigare och smartare Europa genom främjande av innovativ och smart ekonomisk omvandling och regional IKT-konnektivitet</w:t>
            </w:r>
          </w:p>
        </w:tc>
        <w:tc>
          <w:tcPr>
            <w:tcW w:w="651" w:type="pct"/>
          </w:tcPr>
          <w:p w14:paraId="2D065559" w14:textId="77777777" w:rsidR="00A77B3E" w:rsidRPr="00800D1B" w:rsidRDefault="00623E14" w:rsidP="00DC534B">
            <w:pPr>
              <w:spacing w:before="100"/>
              <w:rPr>
                <w:color w:val="000000"/>
                <w:lang w:val="sv-SE"/>
              </w:rPr>
            </w:pPr>
            <w:r w:rsidRPr="00800D1B">
              <w:rPr>
                <w:color w:val="000000"/>
                <w:lang w:val="sv-SE"/>
              </w:rPr>
              <w:t>RSO1.5. Förbättra den digitala konnektiviteten</w:t>
            </w:r>
          </w:p>
        </w:tc>
        <w:tc>
          <w:tcPr>
            <w:tcW w:w="3697" w:type="pct"/>
          </w:tcPr>
          <w:p w14:paraId="2D06555A" w14:textId="77777777" w:rsidR="00A77B3E" w:rsidRPr="00800D1B" w:rsidRDefault="00623E14" w:rsidP="00DC534B">
            <w:pPr>
              <w:spacing w:before="100"/>
              <w:rPr>
                <w:color w:val="000000"/>
                <w:lang w:val="sv-SE"/>
              </w:rPr>
            </w:pPr>
            <w:r w:rsidRPr="00800D1B">
              <w:rPr>
                <w:color w:val="000000"/>
                <w:lang w:val="sv-SE"/>
              </w:rPr>
              <w:t>Tillgången till bredband med hög kapacitet saknas på vissa platser i regionen, exempelvis i områden med gles befolkningsstruktur och mycket långa avstånd. Det gör att aktörer inte satsar i dessa områden då det inte finns någon marknadsmässig förutsättning för utbyggnad av bredband med hög kapacitet. Investeringskostnaderna i dessa områden kommer sannolikt inte att täckas av nyttjandet, ett marknadsmisslyckande där den fria marknaden saknar ekonomiskt underlag för en rimlig affär/investering. Post- och telestyrelsens bredbandskartläggning för 2020 visar att tillgången till fast bredband i Norrbotten och Västerbotten behöver utvecklas där folk bor och arbetar. Endast 80% av hushållen och 77% av arbetsplatserna i Norrbotten har fiber. I Västerbotten har 88% av hushållen och 87% av arbetsplatserna fiber. Exempel på insatser som behöver förstärkas i programområdet är: • Insatser som ökar tillgången till bredband med hög överföringskapacitet. • Insatser som höjer överföringskapacitet och kvaliteten på redan existerande IT-infrastruktur i regionen. Verksamheten kommer att stödjas genom bidrag. Inga finansiella instrument eller andra verktyg som erbjuds i förordningarna planeras. Bidrag är lämpligare med tanke på karaktären på den verksamhet som stöds.</w:t>
            </w:r>
          </w:p>
        </w:tc>
      </w:tr>
      <w:tr w:rsidR="003422DB" w:rsidRPr="00692105" w14:paraId="2D06555F" w14:textId="77777777" w:rsidTr="00DC534B">
        <w:trPr>
          <w:trHeight w:val="160"/>
        </w:trPr>
        <w:tc>
          <w:tcPr>
            <w:tcW w:w="653" w:type="pct"/>
          </w:tcPr>
          <w:p w14:paraId="2D06555C" w14:textId="13F41F95" w:rsidR="00A77B3E" w:rsidRPr="00800D1B" w:rsidRDefault="00623E14">
            <w:pPr>
              <w:pStyle w:val="Liststycke"/>
              <w:numPr>
                <w:ilvl w:val="0"/>
                <w:numId w:val="65"/>
              </w:numPr>
              <w:tabs>
                <w:tab w:val="left" w:pos="210"/>
              </w:tabs>
              <w:spacing w:before="100" w:after="60"/>
              <w:ind w:left="-30" w:right="-198" w:hanging="30"/>
              <w:rPr>
                <w:color w:val="000000"/>
                <w:lang w:val="sv-SE"/>
              </w:rPr>
            </w:pPr>
            <w:r w:rsidRPr="00800D1B">
              <w:rPr>
                <w:color w:val="000000"/>
                <w:lang w:val="sv-SE"/>
              </w:rPr>
              <w:t>En grönare och koldioxidsnål övergång till en ekonomi med noll nettoutsläpp och ett motståndskraftigare Europa genom ren och rättvis energiomställning, gröna och blå investeringar, den cirkulära ekonomin, begränsning av klimatförändringar, klimatanpassning, riskförebyggande, riskhantering och hållbar mobilitet i städer</w:t>
            </w:r>
          </w:p>
        </w:tc>
        <w:tc>
          <w:tcPr>
            <w:tcW w:w="651" w:type="pct"/>
          </w:tcPr>
          <w:p w14:paraId="2D06555D" w14:textId="77777777" w:rsidR="00A77B3E" w:rsidRPr="00800D1B" w:rsidRDefault="00623E14" w:rsidP="00DC534B">
            <w:pPr>
              <w:spacing w:before="100"/>
              <w:rPr>
                <w:color w:val="000000"/>
                <w:lang w:val="sv-SE"/>
              </w:rPr>
            </w:pPr>
            <w:r w:rsidRPr="00800D1B">
              <w:rPr>
                <w:color w:val="000000"/>
                <w:lang w:val="sv-SE"/>
              </w:rPr>
              <w:t>RSO2.2. Främja förnybar energi i enlighet med direktiv (EU) 2018/2001[1] om förnybar energi, inbegripet de hållbarhetskriterier som anges där</w:t>
            </w:r>
          </w:p>
        </w:tc>
        <w:tc>
          <w:tcPr>
            <w:tcW w:w="3697" w:type="pct"/>
          </w:tcPr>
          <w:p w14:paraId="2D06555E" w14:textId="77777777" w:rsidR="00A77B3E" w:rsidRPr="00800D1B" w:rsidRDefault="00623E14" w:rsidP="00DC534B">
            <w:pPr>
              <w:spacing w:before="100"/>
              <w:rPr>
                <w:color w:val="000000"/>
                <w:lang w:val="sv-SE"/>
              </w:rPr>
            </w:pPr>
            <w:r w:rsidRPr="00800D1B">
              <w:rPr>
                <w:color w:val="000000"/>
                <w:lang w:val="sv-SE"/>
              </w:rPr>
              <w:t xml:space="preserve">Fossilberoendet i transportsektorn och behovet av förnybar energi är en stor utmaning. Därför är etappmålet för utsläpp från inrikes transporter ett av fyra huvudsakliga mål (NECP) ÖN har stor potential att utveckla och producera mer hållbar, förnybar, och biobaserad energi. Regeringen har i klimathandlingsplanen konstaterat att för att nå nettonollmålet 2045 behöver växthusgasutsläppen från transporter vara i princip noll samma år. Flertalet av utmaningarna beror på regionens glesa befolkningsstruktur och långa avstånd. Programområdet har goda förutsättningar att bidra till att andelen förnybar och biobaserad energi ökar både genom produktion, energieffektivisering och FoU men förutsättningarna för att göra detta på kommersiella grunder är svaga då hållbar förnybara drivmedel generellt är dyrare att producera än fossilbaserade drivmedel. Insatser inom området kommer att behöva förstärkas och kopplas ihop med insatser inom området ”Utveckla smarta energisystem, smarta nät och smart lagring utanför det transeuropeiska energinätet (TEN-E)” Exempel på insatser som behöver förstärkas i programområdet är: • Utveckla metoder för att producera förnybara (biobaserade) drivmedel av sidoströmmar och restenergier • Uppmuntra nya affärs- och organisationsmodeller för att öka mängden förnybara drivmedel på marknaden • Stimulera uppbyggnaden av nätverk och kompetenskluster kring olika energiformer • Genomföra kartläggningar av hållbar och tillgänglig energiråvara • Främja investeringar i lokala och regionala lösningar för produktion av förnybara drivmedel • Stimulera lösningar som bidrar till att energi på ett effektivt sätt kan tas till vara i cirkulära flöden eller processer. • Insatser för beteendeförändring. Inom det specifika målet stöds investeringarna genom bidrag. </w:t>
            </w:r>
          </w:p>
        </w:tc>
      </w:tr>
      <w:tr w:rsidR="003422DB" w:rsidRPr="00800D1B" w14:paraId="2D065563" w14:textId="77777777" w:rsidTr="00DC534B">
        <w:trPr>
          <w:trHeight w:val="160"/>
        </w:trPr>
        <w:tc>
          <w:tcPr>
            <w:tcW w:w="653" w:type="pct"/>
          </w:tcPr>
          <w:p w14:paraId="2D065560" w14:textId="1FAF96F5" w:rsidR="00A77B3E" w:rsidRPr="00800D1B" w:rsidRDefault="00623E14">
            <w:pPr>
              <w:pStyle w:val="Liststycke"/>
              <w:numPr>
                <w:ilvl w:val="0"/>
                <w:numId w:val="66"/>
              </w:numPr>
              <w:tabs>
                <w:tab w:val="left" w:pos="210"/>
              </w:tabs>
              <w:spacing w:before="100" w:after="60"/>
              <w:ind w:left="-30" w:right="-198" w:firstLine="0"/>
              <w:rPr>
                <w:color w:val="000000"/>
                <w:lang w:val="sv-SE"/>
              </w:rPr>
            </w:pPr>
            <w:r w:rsidRPr="00800D1B">
              <w:rPr>
                <w:color w:val="000000"/>
                <w:lang w:val="sv-SE"/>
              </w:rPr>
              <w:t xml:space="preserve"> En grönare och koldioxidsnål övergång till en ekonomi med noll nettoutsläpp och ett motståndskraftigare Europa genom ren och rättvis energiomställning, gröna och blå investeringar, den cirkulära ekonomin, begränsning av klimatförändringar, klimatanpassning, riskförebyggande, riskhantering och hållbar mobilitet i städer</w:t>
            </w:r>
          </w:p>
        </w:tc>
        <w:tc>
          <w:tcPr>
            <w:tcW w:w="651" w:type="pct"/>
          </w:tcPr>
          <w:p w14:paraId="2D065561" w14:textId="77777777" w:rsidR="00A77B3E" w:rsidRPr="00800D1B" w:rsidRDefault="00623E14" w:rsidP="00DC534B">
            <w:pPr>
              <w:spacing w:before="100"/>
              <w:rPr>
                <w:color w:val="000000"/>
                <w:lang w:val="sv-SE"/>
              </w:rPr>
            </w:pPr>
            <w:r w:rsidRPr="00800D1B">
              <w:rPr>
                <w:color w:val="000000"/>
                <w:lang w:val="sv-SE"/>
              </w:rPr>
              <w:t>RSO2.3. Utveckla smarta energisystem, smarta nät och smart lagring utanför TEN-E</w:t>
            </w:r>
          </w:p>
        </w:tc>
        <w:tc>
          <w:tcPr>
            <w:tcW w:w="3697" w:type="pct"/>
          </w:tcPr>
          <w:p w14:paraId="2D065562" w14:textId="77777777" w:rsidR="00A77B3E" w:rsidRPr="00800D1B" w:rsidRDefault="00623E14" w:rsidP="00DC534B">
            <w:pPr>
              <w:spacing w:before="100"/>
              <w:rPr>
                <w:color w:val="000000"/>
                <w:lang w:val="sv-SE"/>
              </w:rPr>
            </w:pPr>
            <w:r w:rsidRPr="00800D1B">
              <w:rPr>
                <w:color w:val="000000"/>
                <w:lang w:val="sv-SE"/>
              </w:rPr>
              <w:t xml:space="preserve">En ökad andel sol- samt landbaserad vindel i systemet ställer krav på styrning av och lagring i energisystemet. Ju större andel förnybar el desto högre kommer dessutom kraven att bli Detta är en relativt ny företeelse i ÖN och därmed krävs också insatser som bidrar till att öka kompetensen kring olika metoder för styrning och lagring av förnybar energi. Energisystemet är komplext och det finns inte en aktör som har kontroll över helheten utan det är ett system som består av många aktörer. Därför behöver utvecklingen av smarta resurseffektiva system stöttas. Exempel på insatser som behöver förstärkas i programområdet är: • Öka kompetensen kring olika metoder för lagring av förnybar energi. • Främja utvecklingen av styrsystem för distribution och lagring av förnybar energi. • Stimulera uppbyggnaden av nätverk och kluster av företag som tillsammans kan erbjuda lösningar för energilagring. • Genomföra inventeringar och kartläggningar som bidrar till en ökad förståelse för vilka behov energisystemet behöver fylla. • Främja utveckling, testning samt investeringar i lokala, flexibla och agila energilagringslösningar för förnybar och fossilfri energi. • Investera i miljöer för utveckling av styrsystem för en ökad förutsägbarhet och ett optimerat energi- och effektnyttjande, lokalt och regionalt. • Främja utvecklingen av nyttiggörandet av överskottsenergi i en verksamhet som primärenergi i en annan verksamhet. Att utveckla smarta energisystem är såväl en samhällsfråga som en möjlighet för företag att utveckla nya affärsmodeller och produkter. Inom det specifika målet stöds investeringarna genom bidrag. </w:t>
            </w:r>
          </w:p>
        </w:tc>
      </w:tr>
      <w:tr w:rsidR="003422DB" w:rsidRPr="00692105" w14:paraId="2D065567" w14:textId="77777777" w:rsidTr="00DC534B">
        <w:trPr>
          <w:trHeight w:val="160"/>
        </w:trPr>
        <w:tc>
          <w:tcPr>
            <w:tcW w:w="653" w:type="pct"/>
          </w:tcPr>
          <w:p w14:paraId="2D065564" w14:textId="6B148C1A" w:rsidR="00A77B3E" w:rsidRPr="00800D1B" w:rsidRDefault="00623E14">
            <w:pPr>
              <w:pStyle w:val="Liststycke"/>
              <w:numPr>
                <w:ilvl w:val="0"/>
                <w:numId w:val="67"/>
              </w:numPr>
              <w:tabs>
                <w:tab w:val="left" w:pos="210"/>
              </w:tabs>
              <w:spacing w:before="100" w:after="60"/>
              <w:ind w:left="-30" w:right="-198" w:firstLine="0"/>
              <w:rPr>
                <w:color w:val="000000"/>
                <w:lang w:val="sv-SE"/>
              </w:rPr>
            </w:pPr>
            <w:r w:rsidRPr="00800D1B">
              <w:rPr>
                <w:color w:val="000000"/>
                <w:lang w:val="sv-SE"/>
              </w:rPr>
              <w:t>En grönare och koldioxidsnål övergång till en ekonomi med noll nettoutsläpp och ett motståndskraftigare Europa genom ren och rättvis energiomställning, gröna och blå investeringar, den cirkulära ekonomin, begränsning av klimatförändringar, klimatanpassning, riskförebyggande, riskhantering och hållbar mobilitet i städer</w:t>
            </w:r>
          </w:p>
        </w:tc>
        <w:tc>
          <w:tcPr>
            <w:tcW w:w="651" w:type="pct"/>
          </w:tcPr>
          <w:p w14:paraId="2D065565" w14:textId="77777777" w:rsidR="00A77B3E" w:rsidRPr="00800D1B" w:rsidRDefault="00623E14" w:rsidP="00DC534B">
            <w:pPr>
              <w:spacing w:before="100"/>
              <w:rPr>
                <w:color w:val="000000"/>
                <w:lang w:val="sv-SE"/>
              </w:rPr>
            </w:pPr>
            <w:r w:rsidRPr="00800D1B">
              <w:rPr>
                <w:color w:val="000000"/>
                <w:lang w:val="sv-SE"/>
              </w:rPr>
              <w:t>RSO2.4. Främja klimatanpassning, förebyggande av katastrofrisker och motståndskraft, med beaktande av ekosystembaserade tillvägagångssätt</w:t>
            </w:r>
          </w:p>
        </w:tc>
        <w:tc>
          <w:tcPr>
            <w:tcW w:w="3697" w:type="pct"/>
          </w:tcPr>
          <w:p w14:paraId="2D065566" w14:textId="77777777" w:rsidR="00A77B3E" w:rsidRPr="00800D1B" w:rsidRDefault="00623E14" w:rsidP="00DC534B">
            <w:pPr>
              <w:spacing w:before="100" w:after="60"/>
              <w:rPr>
                <w:color w:val="000000"/>
                <w:lang w:val="sv-SE"/>
              </w:rPr>
            </w:pPr>
            <w:r w:rsidRPr="00800D1B">
              <w:rPr>
                <w:color w:val="000000"/>
                <w:lang w:val="sv-SE"/>
              </w:rPr>
              <w:t xml:space="preserve">Samhället och olika verksamheter behöver rustas för att klara de utmaningar som ett föränderligt klimat ger. Anpassning till de nya förhållandena gör att sårbarheten för klimatrelaterade händelser så som bränder och översvämningar samt tekniska olyckor minskas, men också att förutsättningar för att ta vara på de positiva effekter som förändringen ger skapas. Flertalet av utmaningarna beror på och söker hantera regionens glesa befolkningsstruktur och långa avstånd. Exempel på insatser som behöver förstärkas i programområdet är: • Utveckla kunskapen om klimateffekter på skogsbruket i norra Sverige likväl som kunskapen om vilka anpassningsåtgärder som är lämpliga. • Utarbeta klimat- och sårbarhetsanalyser samt handlingsplaner. • Utarbeta metoder för insamling, bearbetning och analys av statistik rörande nyttjande av ekosystemtjänster. • Utforma klimatanpassningsvägledningar för hela kedjan av aktörer. • Klarlägg risker avseende klimateffekter och upprätta klimatanpassningsstrategier för riskminimering av miljöfarlig verksamhet och förorenade områden. • Utbilda och stödja kommuner i långsiktig planering av dricksvattenförsörjning för att säkerställa skyddet av vattenresurser i ett flergenerationsperspektiv. • Utveckla metoder för klimat- och sårbarhetsanalyser. • Genomföra insatser för återställande av vattendrag och våtmarker Klimatanpassning är en samhällsfråga och det finns idag ingen fungerande marknad för de insatser som programmet avser finansiera därför kommer bidrag att användas. </w:t>
            </w:r>
          </w:p>
        </w:tc>
      </w:tr>
      <w:tr w:rsidR="003422DB" w:rsidRPr="00800D1B" w14:paraId="2D06556B" w14:textId="77777777" w:rsidTr="00DC534B">
        <w:trPr>
          <w:trHeight w:val="160"/>
        </w:trPr>
        <w:tc>
          <w:tcPr>
            <w:tcW w:w="653" w:type="pct"/>
          </w:tcPr>
          <w:p w14:paraId="2D065568" w14:textId="247910CB" w:rsidR="00A77B3E" w:rsidRPr="00800D1B" w:rsidRDefault="00623E14">
            <w:pPr>
              <w:pStyle w:val="Liststycke"/>
              <w:numPr>
                <w:ilvl w:val="0"/>
                <w:numId w:val="68"/>
              </w:numPr>
              <w:tabs>
                <w:tab w:val="left" w:pos="300"/>
              </w:tabs>
              <w:spacing w:before="100" w:after="60"/>
              <w:ind w:left="-30" w:right="-198" w:firstLine="30"/>
              <w:rPr>
                <w:color w:val="000000"/>
                <w:lang w:val="sv-SE"/>
              </w:rPr>
            </w:pPr>
            <w:r w:rsidRPr="00800D1B">
              <w:rPr>
                <w:color w:val="000000"/>
                <w:lang w:val="sv-SE"/>
              </w:rPr>
              <w:t>En grönare och koldioxidsnål övergång till en ekonomi med noll nettoutsläpp och ett motståndskraftigare Europa genom ren och rättvis energiomställning, gröna och blå investeringar, den cirkulära ekonomin, begränsning av klimatförändringar, klimatanpassning, riskförebyggande, riskhantering och hållbar mobilitet i städer</w:t>
            </w:r>
          </w:p>
        </w:tc>
        <w:tc>
          <w:tcPr>
            <w:tcW w:w="651" w:type="pct"/>
          </w:tcPr>
          <w:p w14:paraId="2D065569" w14:textId="77777777" w:rsidR="00A77B3E" w:rsidRPr="00800D1B" w:rsidRDefault="00623E14" w:rsidP="00DC534B">
            <w:pPr>
              <w:spacing w:before="100"/>
              <w:rPr>
                <w:color w:val="000000"/>
                <w:lang w:val="sv-SE"/>
              </w:rPr>
            </w:pPr>
            <w:r w:rsidRPr="00800D1B">
              <w:rPr>
                <w:color w:val="000000"/>
                <w:lang w:val="sv-SE"/>
              </w:rPr>
              <w:t>RSO2.6. Främja övergången till en cirkulär och resurseffektiv ekonomi</w:t>
            </w:r>
          </w:p>
        </w:tc>
        <w:tc>
          <w:tcPr>
            <w:tcW w:w="3697" w:type="pct"/>
          </w:tcPr>
          <w:p w14:paraId="2D06556A" w14:textId="77777777" w:rsidR="00A77B3E" w:rsidRPr="00800D1B" w:rsidRDefault="00623E14" w:rsidP="00DC534B">
            <w:pPr>
              <w:spacing w:before="100"/>
              <w:rPr>
                <w:color w:val="000000"/>
                <w:lang w:val="sv-SE"/>
              </w:rPr>
            </w:pPr>
            <w:r w:rsidRPr="00800D1B">
              <w:rPr>
                <w:color w:val="000000"/>
                <w:lang w:val="sv-SE"/>
              </w:rPr>
              <w:t>Aktörer i programområdet har goda förutsättningar att skapa och testa metoder och verktyg för att öka cirkulariteten i olika materialflöden. Omställningen till en cirkulär ekonomi innebär en omvandling av samhället och är nödvändig för att ÖN ska uppnå sina klimatmål och bibehålla näringslivets globala konkurrenskraft. Flertalet av utmaningarna beror på och söker hantera regionens glesa befolkningsstruktur och långa avstånd. Exempel på insatser som behöver förstärkas i programområdet är: • Informera och öka kunskapen om hur produkter utformas för en lång livslängd, exempelvis genom att underlätta reparation och öka återanvändningen, och på ett sätt som möjliggör materialåtervinning vid livslängdens slut. • Främja ökad användning av återvunna material och resurser i nya produkter och processer. • Skapa förutsättningar för ett större utbud och efterfrågan av tjänster för återanvändning, reparation och delningstjänster. • Utveckla metoder och modeller för att effektivisera tillståndsprövningen, med bibehållet miljöskydd, för att påskynda utvecklingen och etableringen av hållbar produktion genom nya cirkulära innovationer och spjutspetstekniker. • Stärka innovations- och näringslivsklimatet så att fler företag med cirkulära affärsmodeller kan växa och erbjuda sina produkter för såväl hemmamarknad som export. • Skapa förutsättningar för civilsamhällets organisationer att främja en cirkulär ekonomi. • Cirkulär omställning som en metod för samhällsutveckling. Cirkulär ekonomi är ett relativt nytt område för regionens aktörer och det saknas en fungerande marknad för de typer av insatser programmet avser finansiera. Inom det specifika målet utgörs investeringarna av bidrag.</w:t>
            </w:r>
          </w:p>
        </w:tc>
      </w:tr>
      <w:tr w:rsidR="003422DB" w:rsidRPr="00692105" w14:paraId="2D06556F" w14:textId="77777777" w:rsidTr="00DC534B">
        <w:trPr>
          <w:trHeight w:val="160"/>
        </w:trPr>
        <w:tc>
          <w:tcPr>
            <w:tcW w:w="653" w:type="pct"/>
          </w:tcPr>
          <w:p w14:paraId="2D06556C" w14:textId="256FBF2B" w:rsidR="00A77B3E" w:rsidRPr="00800D1B" w:rsidRDefault="00623E14">
            <w:pPr>
              <w:pStyle w:val="Liststycke"/>
              <w:numPr>
                <w:ilvl w:val="0"/>
                <w:numId w:val="68"/>
              </w:numPr>
              <w:tabs>
                <w:tab w:val="left" w:pos="150"/>
              </w:tabs>
              <w:spacing w:before="100"/>
              <w:ind w:left="-30" w:firstLine="0"/>
              <w:rPr>
                <w:color w:val="000000"/>
                <w:lang w:val="sv-SE"/>
              </w:rPr>
            </w:pPr>
            <w:r w:rsidRPr="00800D1B">
              <w:rPr>
                <w:color w:val="000000"/>
                <w:lang w:val="sv-SE"/>
              </w:rPr>
              <w:t>Ett mer sammanlänkat Europa genom förbättrad mobilitet.</w:t>
            </w:r>
          </w:p>
        </w:tc>
        <w:tc>
          <w:tcPr>
            <w:tcW w:w="651" w:type="pct"/>
          </w:tcPr>
          <w:p w14:paraId="2D06556D" w14:textId="77777777" w:rsidR="00A77B3E" w:rsidRPr="00800D1B" w:rsidRDefault="00623E14" w:rsidP="00DC534B">
            <w:pPr>
              <w:spacing w:before="100"/>
              <w:rPr>
                <w:color w:val="000000"/>
                <w:lang w:val="sv-SE"/>
              </w:rPr>
            </w:pPr>
            <w:r w:rsidRPr="00800D1B">
              <w:rPr>
                <w:color w:val="000000"/>
                <w:lang w:val="sv-SE"/>
              </w:rPr>
              <w:t>RSO3.1. Utveckla ett hållbart, klimattåligt, intelligent, säkert, hållbart och intermodalt TEN-T</w:t>
            </w:r>
          </w:p>
        </w:tc>
        <w:tc>
          <w:tcPr>
            <w:tcW w:w="3697" w:type="pct"/>
          </w:tcPr>
          <w:p w14:paraId="2D06556E" w14:textId="77777777" w:rsidR="00A77B3E" w:rsidRPr="00800D1B" w:rsidRDefault="00623E14" w:rsidP="00DC534B">
            <w:pPr>
              <w:spacing w:before="100" w:after="60"/>
              <w:rPr>
                <w:color w:val="000000"/>
                <w:lang w:val="sv-SE"/>
              </w:rPr>
            </w:pPr>
            <w:r w:rsidRPr="00800D1B">
              <w:rPr>
                <w:color w:val="000000"/>
                <w:lang w:val="sv-SE"/>
              </w:rPr>
              <w:t>ÖN genomförs i sådana nordliga glesbefolkade områden som avses i artikel 174 FEUF. ÖN (Norrbottens och Västerbottens län) med nära 40% av Sveriges yta är en av de mest glesbefolkade i EU med ungefär 4% av Sveriges befolkning. Med drygt en halv miljon invånare ger det en befolkningstäthet på cirka tre personer per kvadratkilometer i stora geografiska administrativa enheter med långa avstånd. Flertalet av utmaningarna beror på och söker hantera regionens glesa befolkningsstruktur och långa avstånd. Regionen har följande utmaningar som behöver adresseras: • Brister/flaskhalsar i järnvägssystemen. • brister/flaskhalsar i övergången mellan såväl olika som samma trafikslag samt även mellan olika transportsätt. • Hög belastning på regionens vägar. • Svårigheter att ställa om till nya miljökrav. • Brister i flyget. Exempel på insatser som behöver förstärkas i programområdet är: • Utveckling av klimatsmarta transporter genom att stimulera överflyttning av transport från väg till järnväg och sjöfart. • Förstudier, framtagande av underlag för nödvändiga plan- och miljöbeslut samt kunskapsuppbyggande projekt. • Större investeringar bör kunna ha längre projekttid än 36 månader och kan eventuellt villkoras via halvtidsavstämning. • Underlag och analyser för utbyggnad och förbättring av transportinfrastrukturen. • Förbättringar av den fysiska infrastrukturen, metodutveckling samt riskavlastning i syfte att utveckla och främja multimodala transporter. • Utveckla samverkan med Östersjöstrategins policyområde transporter Därför är etappmålet för utsläpp från inrikes transporter ett av fyra huvudsakliga mål (NECP). I insatserna kommer bidrag att användas Verksamheten kommer att stödjas genom bidrag. Inga finansiella instrument eller andra verktyg som erbjuds i förordningarna planeras. Bidrag är lämpligare med tanke på karaktären på den verksamhet som stöds.</w:t>
            </w:r>
          </w:p>
        </w:tc>
      </w:tr>
      <w:tr w:rsidR="003422DB" w:rsidRPr="00692105" w14:paraId="2D065573" w14:textId="77777777" w:rsidTr="00DC534B">
        <w:trPr>
          <w:trHeight w:val="160"/>
        </w:trPr>
        <w:tc>
          <w:tcPr>
            <w:tcW w:w="653" w:type="pct"/>
          </w:tcPr>
          <w:p w14:paraId="2D065570" w14:textId="2D508758" w:rsidR="00A77B3E" w:rsidRPr="00800D1B" w:rsidRDefault="00623E14">
            <w:pPr>
              <w:pStyle w:val="Liststycke"/>
              <w:numPr>
                <w:ilvl w:val="0"/>
                <w:numId w:val="69"/>
              </w:numPr>
              <w:tabs>
                <w:tab w:val="left" w:pos="150"/>
              </w:tabs>
              <w:spacing w:before="100"/>
              <w:ind w:left="-30" w:firstLine="0"/>
              <w:rPr>
                <w:color w:val="000000"/>
                <w:lang w:val="sv-SE"/>
              </w:rPr>
            </w:pPr>
            <w:r w:rsidRPr="00800D1B">
              <w:rPr>
                <w:color w:val="000000"/>
                <w:lang w:val="sv-SE"/>
              </w:rPr>
              <w:t>Ett mer sammanlänkat Europa genom förbättrad mobilitet.</w:t>
            </w:r>
          </w:p>
        </w:tc>
        <w:tc>
          <w:tcPr>
            <w:tcW w:w="651" w:type="pct"/>
          </w:tcPr>
          <w:p w14:paraId="2D065571" w14:textId="77777777" w:rsidR="00A77B3E" w:rsidRPr="00800D1B" w:rsidRDefault="00623E14" w:rsidP="00DC534B">
            <w:pPr>
              <w:spacing w:before="100"/>
              <w:rPr>
                <w:color w:val="000000"/>
                <w:lang w:val="sv-SE"/>
              </w:rPr>
            </w:pPr>
            <w:r w:rsidRPr="00800D1B">
              <w:rPr>
                <w:color w:val="000000"/>
                <w:lang w:val="sv-SE"/>
              </w:rPr>
              <w:t>RSO3.2. Utveckla och förbättra hållbar, klimatresilient, smart och intermodal mobilitet på nationell, regional och lokal nivå, inbegripet förbättrad tillgång till TEN-T och mobilitet över gränserna</w:t>
            </w:r>
          </w:p>
        </w:tc>
        <w:tc>
          <w:tcPr>
            <w:tcW w:w="3697" w:type="pct"/>
          </w:tcPr>
          <w:p w14:paraId="2D065572" w14:textId="77777777" w:rsidR="00A77B3E" w:rsidRPr="00800D1B" w:rsidRDefault="00623E14" w:rsidP="00DC534B">
            <w:pPr>
              <w:spacing w:before="100" w:after="60"/>
              <w:rPr>
                <w:color w:val="000000"/>
                <w:lang w:val="sv-SE"/>
              </w:rPr>
            </w:pPr>
            <w:r w:rsidRPr="00800D1B">
              <w:rPr>
                <w:color w:val="000000"/>
                <w:lang w:val="sv-SE"/>
              </w:rPr>
              <w:t>ÖN består av sådana nordliga glesbefolkade områden som avses i artikel 174 FEUF. ÖN (Norrbottens och Västerbottens län) med nära 40% av Sveriges yta är en av de mest glesbefolkade i EU med ungefär 4% av Sveriges befolkning. Med drygt en halv miljon invånare ger det en befolkningstäthet på cirka tre personer per kvadratkilometer i stora geografiska administrativa enheter med långa avstånd. Flertalet av utmaningarna beror på och söker hantera regionens glesa befolkningsstruktur och långa avstånd. Regionen har följande utmaningar som behöver adresseras: • Flaskhalsar i järnvägssystemen. • Flaskhalsar i övergången mellan såväl olika som samma trafikslag samt även mellan olika transportsätt. • Bristande kapacitet vid regionens hamnar. • Svårigheter att ställa om till nya miljökrav. • Brister i flyget. Exempel på insatser som behöver förstärkas i programområdet är: • Förstudier, framtagande av underlag för nödvändiga plan och miljöbeslut samt kunskapsuppbyggande projekt. • Större investeringar bör kunna ha längre projekttid än 36 månader och kan eventuellt villkoras via halvtidsavstämning. • Åtgärder som ökar tillgänglighet och ökad intermodalitet eller multimodalitet (så som terminaler och resecentrum). • Underlag och analyser för utbyggnad och förbättring av transportinfrastrukturen. • Förbättringar av den fysiska infrastrukturen, metodutveckling samt riskavlastning i syfte att utveckla och främja multimodala transporter. • Insatser som motverkar flaskhalsar i transportsystemet. • Elektrifiering av persontransporter och godstransporter i programmet Därför är etappmålet för utsläpp från inrikes transporter ett av fyra huvudsakliga mål (NECP). I insatserna kommer bidrag att användas. Verksamheten kommer att stödjas genom bidrag. Inga finansiella instrument eller andra verktyg som erbjuds i förordningarna planeras. Bidrag är lämpligare med tanke på karaktären på den verksamhet som stöds.</w:t>
            </w:r>
          </w:p>
        </w:tc>
      </w:tr>
    </w:tbl>
    <w:p w14:paraId="450FCDEB" w14:textId="77777777" w:rsidR="00A77B3E" w:rsidRPr="00800D1B" w:rsidRDefault="00A77B3E">
      <w:pPr>
        <w:spacing w:before="100"/>
        <w:rPr>
          <w:color w:val="000000"/>
          <w:lang w:val="sv-SE"/>
        </w:rPr>
      </w:pPr>
    </w:p>
    <w:p w14:paraId="2D065574" w14:textId="24329F23" w:rsidR="00980D35" w:rsidRPr="00800D1B" w:rsidRDefault="00980D35">
      <w:pPr>
        <w:spacing w:before="100"/>
        <w:rPr>
          <w:color w:val="000000"/>
          <w:lang w:val="sv-SE"/>
        </w:rPr>
        <w:sectPr w:rsidR="00980D35" w:rsidRPr="00800D1B" w:rsidSect="0065165D">
          <w:headerReference w:type="even" r:id="rId13"/>
          <w:headerReference w:type="default" r:id="rId14"/>
          <w:footerReference w:type="even" r:id="rId15"/>
          <w:footerReference w:type="default" r:id="rId16"/>
          <w:headerReference w:type="first" r:id="rId17"/>
          <w:footerReference w:type="first" r:id="rId18"/>
          <w:footnotePr>
            <w:numFmt w:val="chicago"/>
          </w:footnotePr>
          <w:pgSz w:w="16838" w:h="11906" w:orient="landscape"/>
          <w:pgMar w:top="720" w:right="720" w:bottom="864" w:left="936" w:header="288" w:footer="72" w:gutter="0"/>
          <w:cols w:space="720"/>
          <w:noEndnote/>
          <w:docGrid w:linePitch="360"/>
        </w:sectPr>
      </w:pPr>
    </w:p>
    <w:p w14:paraId="2D065575" w14:textId="64FCFB9F" w:rsidR="00A77B3E" w:rsidRPr="00800D1B" w:rsidRDefault="00623E14" w:rsidP="00E84F81">
      <w:pPr>
        <w:pStyle w:val="Rubrik2"/>
        <w:spacing w:before="160" w:after="240"/>
        <w:ind w:left="180" w:hanging="180"/>
        <w:rPr>
          <w:lang w:val="sv-SE"/>
        </w:rPr>
      </w:pPr>
      <w:bookmarkStart w:id="2" w:name="_Toc256000243"/>
      <w:r w:rsidRPr="00800D1B">
        <w:rPr>
          <w:lang w:val="sv-SE"/>
        </w:rPr>
        <w:t>Prioriteringar</w:t>
      </w:r>
      <w:bookmarkEnd w:id="2"/>
    </w:p>
    <w:p w14:paraId="2D065577" w14:textId="77777777" w:rsidR="00A77B3E" w:rsidRPr="00800D1B" w:rsidRDefault="00623E14">
      <w:pPr>
        <w:spacing w:before="100"/>
        <w:rPr>
          <w:color w:val="000000"/>
          <w:sz w:val="0"/>
          <w:lang w:val="sv-SE"/>
        </w:rPr>
      </w:pPr>
      <w:r w:rsidRPr="00800D1B">
        <w:rPr>
          <w:color w:val="000000"/>
          <w:lang w:val="sv-SE"/>
        </w:rPr>
        <w:t>Referens: artikel 22.2 och 22.3 c i förordningen om gemensamma bestämmelser</w:t>
      </w:r>
    </w:p>
    <w:p w14:paraId="2D065578" w14:textId="1BB493CB" w:rsidR="00A77B3E" w:rsidRPr="00800D1B" w:rsidRDefault="00623E14">
      <w:pPr>
        <w:pStyle w:val="Rubrik3"/>
        <w:numPr>
          <w:ilvl w:val="1"/>
          <w:numId w:val="3"/>
        </w:numPr>
        <w:spacing w:before="200"/>
        <w:ind w:left="360"/>
        <w:rPr>
          <w:lang w:val="sv-SE"/>
        </w:rPr>
      </w:pPr>
      <w:bookmarkStart w:id="3" w:name="_Toc256000244"/>
      <w:r w:rsidRPr="00800D1B">
        <w:rPr>
          <w:lang w:val="sv-SE"/>
        </w:rPr>
        <w:t>Andra prioriteringar än tekniskt bistånd</w:t>
      </w:r>
      <w:bookmarkEnd w:id="3"/>
    </w:p>
    <w:p w14:paraId="2D06557A" w14:textId="7AA827AD" w:rsidR="00A77B3E" w:rsidRPr="00800D1B" w:rsidRDefault="00623E14" w:rsidP="00E04517">
      <w:pPr>
        <w:pStyle w:val="Rubrik4"/>
        <w:numPr>
          <w:ilvl w:val="2"/>
          <w:numId w:val="53"/>
        </w:numPr>
        <w:tabs>
          <w:tab w:val="clear" w:pos="720"/>
          <w:tab w:val="left" w:pos="540"/>
        </w:tabs>
        <w:spacing w:before="200"/>
        <w:ind w:left="0" w:firstLine="0"/>
      </w:pPr>
      <w:bookmarkStart w:id="4" w:name="_Toc256000245"/>
      <w:r w:rsidRPr="00800D1B">
        <w:t>Prioritering: 1. Smart specialisering inom forskning och innovation och användningen av avancerad teknik</w:t>
      </w:r>
      <w:bookmarkEnd w:id="4"/>
    </w:p>
    <w:p w14:paraId="2D06557C" w14:textId="69B7C79B" w:rsidR="00A77B3E" w:rsidRPr="00800D1B" w:rsidRDefault="00623E14">
      <w:pPr>
        <w:pStyle w:val="Rubrik5"/>
        <w:numPr>
          <w:ilvl w:val="3"/>
          <w:numId w:val="2"/>
        </w:numPr>
        <w:spacing w:before="200"/>
        <w:ind w:left="360"/>
      </w:pPr>
      <w:bookmarkStart w:id="5" w:name="_Toc256000246"/>
      <w:r w:rsidRPr="00800D1B">
        <w:t>Specifikt mål: RSO1.1. Utveckla och förbättra forsknings- och innovationskapaciteten och användningen av avancerad teknik (Eruf)</w:t>
      </w:r>
      <w:bookmarkEnd w:id="5"/>
    </w:p>
    <w:p w14:paraId="2D06557E" w14:textId="0F28ACD8" w:rsidR="00A77B3E" w:rsidRPr="00800D1B" w:rsidRDefault="00623E14">
      <w:pPr>
        <w:pStyle w:val="Rubrik6"/>
        <w:numPr>
          <w:ilvl w:val="4"/>
          <w:numId w:val="6"/>
        </w:numPr>
        <w:spacing w:before="200"/>
        <w:ind w:left="360"/>
      </w:pPr>
      <w:bookmarkStart w:id="6" w:name="_Toc256000247"/>
      <w:r w:rsidRPr="00800D1B">
        <w:t>Interventioner inom ramen för fonderna</w:t>
      </w:r>
      <w:bookmarkEnd w:id="6"/>
    </w:p>
    <w:p w14:paraId="2D06557F" w14:textId="77777777" w:rsidR="00A77B3E" w:rsidRPr="00800D1B" w:rsidRDefault="00A77B3E">
      <w:pPr>
        <w:spacing w:before="100"/>
        <w:rPr>
          <w:color w:val="000000"/>
          <w:sz w:val="0"/>
          <w:lang w:val="sv-SE"/>
        </w:rPr>
      </w:pPr>
    </w:p>
    <w:p w14:paraId="2D065580" w14:textId="77777777" w:rsidR="00A77B3E" w:rsidRPr="00800D1B" w:rsidRDefault="00623E14">
      <w:pPr>
        <w:spacing w:before="100"/>
        <w:rPr>
          <w:color w:val="000000"/>
          <w:sz w:val="0"/>
          <w:lang w:val="sv-SE"/>
        </w:rPr>
      </w:pPr>
      <w:r w:rsidRPr="00800D1B">
        <w:rPr>
          <w:color w:val="000000"/>
          <w:lang w:val="sv-SE"/>
        </w:rPr>
        <w:t>Referens: artikel 22.3 d i, iii, iv, v, vi och vii i förordningen om gemensamma bestämmelser</w:t>
      </w:r>
    </w:p>
    <w:p w14:paraId="2FADAADA" w14:textId="509B0183" w:rsidR="006B68C8" w:rsidRPr="00800D1B" w:rsidRDefault="00623E14" w:rsidP="001130F2">
      <w:pPr>
        <w:spacing w:before="100"/>
        <w:rPr>
          <w:lang w:val="sv-SE"/>
        </w:rPr>
      </w:pPr>
      <w:bookmarkStart w:id="7" w:name="_Toc256000248"/>
      <w:r w:rsidRPr="00800D1B">
        <w:rPr>
          <w:lang w:val="sv-SE"/>
        </w:rPr>
        <w:t>Relaterade typer av åtgärder – artikel 22.3 d i i förordningen om gemensamma bestämmelser och artikel 6 i ESF+-förordningen</w:t>
      </w:r>
      <w:bookmarkEnd w:id="7"/>
    </w:p>
    <w:p w14:paraId="2A235E32" w14:textId="77777777" w:rsidR="006B68C8" w:rsidRPr="00800D1B" w:rsidRDefault="006B68C8" w:rsidP="005A203F">
      <w:pPr>
        <w:pBdr>
          <w:top w:val="single" w:sz="4" w:space="10" w:color="auto"/>
          <w:left w:val="single" w:sz="4" w:space="4" w:color="auto"/>
          <w:right w:val="single" w:sz="4" w:space="4" w:color="auto"/>
        </w:pBdr>
        <w:spacing w:before="100"/>
        <w:rPr>
          <w:color w:val="000000"/>
          <w:lang w:val="sv-SE"/>
        </w:rPr>
      </w:pPr>
      <w:r w:rsidRPr="00800D1B">
        <w:rPr>
          <w:color w:val="000000"/>
          <w:lang w:val="sv-SE"/>
        </w:rPr>
        <w:t xml:space="preserve">Arbetet med Smart specialisering i Övre Norrland utgår från Norrbottens och Västerbottens innovationsstrategier och bygger på identifierade styrkeområden, så kallade smarta specialiseringar, utifrån tillgängliga resurser i regionen. Det finns god potential för ökad innovations- och konkurrenskraft genom samverkan inom kluster och innovationsfrämjande system uppbyggda kring regionens smarta specialisering. </w:t>
      </w:r>
    </w:p>
    <w:p w14:paraId="29E168CD" w14:textId="77777777" w:rsidR="006B68C8" w:rsidRPr="00800D1B" w:rsidRDefault="006B68C8" w:rsidP="005A203F">
      <w:pPr>
        <w:pBdr>
          <w:top w:val="single" w:sz="4" w:space="10" w:color="auto"/>
          <w:left w:val="single" w:sz="4" w:space="4" w:color="auto"/>
          <w:right w:val="single" w:sz="4" w:space="4" w:color="auto"/>
        </w:pBdr>
        <w:spacing w:before="100"/>
        <w:rPr>
          <w:color w:val="000000"/>
          <w:lang w:val="sv-SE"/>
        </w:rPr>
      </w:pPr>
      <w:r w:rsidRPr="00800D1B">
        <w:rPr>
          <w:color w:val="000000"/>
          <w:lang w:val="sv-SE"/>
        </w:rPr>
        <w:t>En stärkt forskningsinfrastruktur och en funktionell, geografiskt oberoende samverkan, regionalt likväl som nationellt och internationellt, bidrar till att minska ojämlikheten mellan olika delar av regionen och mellan grupper och individer, därmed ökar förutsättningarna för att vårt samhälle utvecklas hållbart. Genom att utveckla ett tillgängligt innovationssystem och stärka företagens möjlighet att bedriva hållbart innovations- och forskningsarbete bidrar programmet till hållbar utveckling. Det finns god potential för ökad innovations- och konkurrenskraft tack vare samverkan inom de kluster och innovationsfrämjande system som utvecklats inom regionens prioriterade områden för smart specialisering.</w:t>
      </w:r>
    </w:p>
    <w:p w14:paraId="477E42A2" w14:textId="77777777" w:rsidR="006B68C8" w:rsidRPr="00800D1B" w:rsidRDefault="006B68C8" w:rsidP="005A203F">
      <w:pPr>
        <w:pBdr>
          <w:top w:val="single" w:sz="4" w:space="10" w:color="auto"/>
          <w:left w:val="single" w:sz="4" w:space="4" w:color="auto"/>
          <w:right w:val="single" w:sz="4" w:space="4" w:color="auto"/>
        </w:pBdr>
        <w:spacing w:before="100"/>
        <w:rPr>
          <w:color w:val="000000"/>
          <w:lang w:val="sv-SE"/>
        </w:rPr>
      </w:pPr>
      <w:r w:rsidRPr="00800D1B">
        <w:rPr>
          <w:color w:val="000000"/>
          <w:lang w:val="sv-SE"/>
        </w:rPr>
        <w:t>I regionen finns ett antal små forskningsmiljöer som saknar institutionell kapacitet som kräver investeringar i ändamålsenlig teknik i linje med smarta specialiseringsstrategierna. Programmet stödjer ett fortsatt arbete för att utveckla och tillvarata potentialer med inkludering av nya perspektiv inom traditionella näringar men även att främja social innovation. Det finns behov av insatser för stöd till övergripande systematiskt arbete och till samverkan och kapacitetsuppbyggnad för att stimulera till breddad innovation för att nå en ökad regional innovationshöjd.</w:t>
      </w:r>
    </w:p>
    <w:p w14:paraId="51CF299A" w14:textId="77777777" w:rsidR="006B68C8" w:rsidRPr="00800D1B" w:rsidRDefault="006B68C8" w:rsidP="005A203F">
      <w:pPr>
        <w:pBdr>
          <w:top w:val="single" w:sz="4" w:space="10" w:color="auto"/>
          <w:left w:val="single" w:sz="4" w:space="4" w:color="auto"/>
          <w:right w:val="single" w:sz="4" w:space="4" w:color="auto"/>
        </w:pBdr>
        <w:spacing w:before="100"/>
        <w:rPr>
          <w:color w:val="000000"/>
          <w:lang w:val="sv-SE"/>
        </w:rPr>
      </w:pPr>
      <w:r w:rsidRPr="00800D1B">
        <w:rPr>
          <w:color w:val="000000"/>
          <w:lang w:val="sv-SE"/>
        </w:rPr>
        <w:t>För att stärka företagens konkurrenskraft och förmåga till förnyelse behöver förutsättningarna för tvärsektoriell samverkan, utveckling och regionala innovativa miljöer stödjas. Vidare behöver företagens förmåga att tillgodogöra sig kunskap och nya resurser, samt stimulera företagens möjligheter att öka sin egen forskning och innovation, samt deras förmåga att kommersialisera innovationer stärkas. Små och medelstora företag behöver öka sin samverkan med universitet, högskolor och forskningsinstitut som har betydande forskning och innovationskapacitet. Det finns god potential för ökad innovations- och konkurrenskraft tack vare samverkan inom de kluster och innovationsfrämjande system som utvecklats inom regionens prioriterade områden för smart specialisering.</w:t>
      </w:r>
    </w:p>
    <w:p w14:paraId="137BD03D" w14:textId="77777777" w:rsidR="006B68C8" w:rsidRPr="00800D1B" w:rsidRDefault="006B68C8" w:rsidP="005A203F">
      <w:pPr>
        <w:pBdr>
          <w:left w:val="single" w:sz="4" w:space="4" w:color="auto"/>
          <w:bottom w:val="single" w:sz="4" w:space="1" w:color="auto"/>
          <w:right w:val="single" w:sz="4" w:space="4" w:color="auto"/>
        </w:pBdr>
        <w:spacing w:before="100"/>
        <w:rPr>
          <w:color w:val="000000"/>
          <w:lang w:val="sv-SE"/>
        </w:rPr>
      </w:pPr>
      <w:r w:rsidRPr="00800D1B">
        <w:rPr>
          <w:color w:val="000000"/>
          <w:lang w:val="sv-SE"/>
        </w:rPr>
        <w:t>I ÖN finns täta och kunskapsintensiva miljöer främst i orter med närhet till regionens universitet och forskningsinstitut. För att hela regionen ska kunna dra nytta av dessa behöver nya former av flexibla innovationsmiljöer utvecklas. Dessa miljöer bör utvecklas och formas inom de områden som pekas ut i regionens strategier för smart specialisering och diversifiering.</w:t>
      </w:r>
    </w:p>
    <w:p w14:paraId="0FF07F17" w14:textId="77777777" w:rsidR="006B68C8" w:rsidRPr="00800D1B" w:rsidRDefault="006B68C8" w:rsidP="005A203F">
      <w:pPr>
        <w:pBdr>
          <w:top w:val="single" w:sz="4" w:space="10" w:color="auto"/>
          <w:left w:val="single" w:sz="4" w:space="4" w:color="auto"/>
          <w:right w:val="single" w:sz="4" w:space="4" w:color="auto"/>
        </w:pBdr>
        <w:spacing w:before="100"/>
        <w:rPr>
          <w:color w:val="000000"/>
          <w:lang w:val="sv-SE"/>
        </w:rPr>
      </w:pPr>
      <w:r w:rsidRPr="00800D1B">
        <w:rPr>
          <w:color w:val="000000"/>
          <w:lang w:val="sv-SE"/>
        </w:rPr>
        <w:t>Regionen måste se och lära av vad som pågår inom andra områden och på andra platser. Näringslivet, universitetet, forskningsinstituten, civilsamhälle och den offentliga sektorn kan tillsammans stärka regional utveckling och verka för att utveckla innovationsmiljöer i regionen. Samspelet med omvärlden ger tillgång till en större kritisk massa med fler aktörer och mer kompetens. Detta kan bidra till bättre förutsättningar för hållbar utveckling både ur ett regionalt, nationellt och globalt perspektiv. Det bidrar till en kapacitetsuppbyggnad av universitetens, forskningsaktörerna och näringslivets förmåga att medverka i EU:s innovations- och forskningsprogram, exempelvis Horisont Europa. Programmet ska bidra till visionen i det europeiska forskningsområdet (ERA) och samverkan med Östersjöstrategins policyområde forskning och innovation bör eftersträvas. ERUF ÖNs program bör fungera som en plattform och ett första steg mot internationella forskningsprogram som t.ex. Horisont Europa.</w:t>
      </w:r>
    </w:p>
    <w:p w14:paraId="18486169" w14:textId="77777777" w:rsidR="006B68C8" w:rsidRPr="00800D1B" w:rsidRDefault="006B68C8" w:rsidP="005A203F">
      <w:pPr>
        <w:pBdr>
          <w:top w:val="single" w:sz="4" w:space="10" w:color="auto"/>
          <w:left w:val="single" w:sz="4" w:space="4" w:color="auto"/>
          <w:right w:val="single" w:sz="4" w:space="4" w:color="auto"/>
        </w:pBdr>
        <w:spacing w:before="100"/>
        <w:rPr>
          <w:color w:val="000000"/>
          <w:lang w:val="sv-SE"/>
        </w:rPr>
      </w:pPr>
      <w:r w:rsidRPr="00800D1B">
        <w:rPr>
          <w:color w:val="000000"/>
          <w:lang w:val="sv-SE"/>
        </w:rPr>
        <w:t>Forskningsaktörer, företag, civilsamhällesaktörer och offentliga aktörer kan i samverkan utveckla välfärdsteknik och arrangemang i fysisk och digital form. Här kan offentlig sektor vara en värdefull innovationsmiljö, till exempel som testmiljö samt för att skapa lärande och kapacitet, Det är därför viktigt att insatser strävar efter samverkan över sektorsgränser och inkludering av civilsamhällets aktörer. Social innovation kan skapa förutsättningar för att insatser når underrepresenterade grupper och organisationer. När fler perspektiv, behov och idéer inkluderas ökar sannolikheten för att nå en högre innovationshöjd. </w:t>
      </w:r>
    </w:p>
    <w:p w14:paraId="2BCDBAA2" w14:textId="77777777" w:rsidR="006B68C8" w:rsidRPr="00800D1B" w:rsidRDefault="006B68C8" w:rsidP="005A203F">
      <w:pPr>
        <w:pBdr>
          <w:top w:val="single" w:sz="4" w:space="10" w:color="auto"/>
          <w:left w:val="single" w:sz="4" w:space="4" w:color="auto"/>
          <w:right w:val="single" w:sz="4" w:space="4" w:color="auto"/>
        </w:pBdr>
        <w:spacing w:before="100"/>
        <w:rPr>
          <w:color w:val="000000"/>
          <w:lang w:val="sv-SE"/>
        </w:rPr>
      </w:pPr>
      <w:r w:rsidRPr="00800D1B">
        <w:rPr>
          <w:color w:val="000000"/>
          <w:lang w:val="sv-SE"/>
        </w:rPr>
        <w:t>För att utveckla attraktiva samhällen behöver regionen satsa på platsinnovation. Platsinnovation tar avstamp i platsens specifika identitet och väver samman de komponenter, processer och intressenter som är centrala för att en plats ska upplevas som attraktiv.</w:t>
      </w:r>
    </w:p>
    <w:p w14:paraId="0E7DA941" w14:textId="77777777" w:rsidR="006B68C8" w:rsidRPr="00800D1B" w:rsidRDefault="006B68C8" w:rsidP="005A203F">
      <w:pPr>
        <w:pBdr>
          <w:top w:val="single" w:sz="4" w:space="10" w:color="auto"/>
          <w:left w:val="single" w:sz="4" w:space="4" w:color="auto"/>
          <w:right w:val="single" w:sz="4" w:space="4" w:color="auto"/>
        </w:pBdr>
        <w:spacing w:before="100"/>
        <w:rPr>
          <w:color w:val="000000"/>
          <w:lang w:val="sv-SE"/>
        </w:rPr>
      </w:pPr>
      <w:r w:rsidRPr="00800D1B">
        <w:rPr>
          <w:color w:val="000000"/>
          <w:lang w:val="sv-SE"/>
        </w:rPr>
        <w:t>I ÖNs smarta specialiseringsstrategier är det centralt att använda sig av metoden skärningspunkter. Det finns därmed en potential för framtida innovationer genom främjande av möten inom och mellan branscher och olika typer av företag, organisationer och kompetensområden. I skärningspunkter mellan kompetensområden förbättras möjligheterna för nya innovativa företag och även för en mer innovativ offentlig sektor.</w:t>
      </w:r>
    </w:p>
    <w:p w14:paraId="05D2D246" w14:textId="77777777" w:rsidR="006B68C8" w:rsidRPr="00800D1B" w:rsidRDefault="006B68C8" w:rsidP="005A203F">
      <w:pPr>
        <w:pBdr>
          <w:top w:val="single" w:sz="4" w:space="10" w:color="auto"/>
          <w:left w:val="single" w:sz="4" w:space="4" w:color="auto"/>
          <w:right w:val="single" w:sz="4" w:space="4" w:color="auto"/>
        </w:pBdr>
        <w:spacing w:before="100"/>
        <w:rPr>
          <w:color w:val="000000"/>
          <w:lang w:val="sv-SE"/>
        </w:rPr>
      </w:pPr>
      <w:r w:rsidRPr="00800D1B">
        <w:rPr>
          <w:color w:val="000000"/>
          <w:lang w:val="sv-SE"/>
        </w:rPr>
        <w:t>För att fortsätta utveckla forsknings- och innovationskapaciteten i regionen behöver befintliga miljöer stärkas och nya byggas. Investeringar som ligger i linje med regionernas smarta specialisering strategier bidrar till att bygga denna kapacitet. Att kunna konkurrera på en internationell marknad kräver kunskap och att denna kunskap omvandlas till nya produkter. Detta kräver, utöver hög kompetens, en stark forskningsmiljö med olika nivåer av test- och labbmiljöer. </w:t>
      </w:r>
    </w:p>
    <w:p w14:paraId="03D968A0" w14:textId="77777777" w:rsidR="006B68C8" w:rsidRPr="00800D1B" w:rsidRDefault="006B68C8" w:rsidP="005A203F">
      <w:pPr>
        <w:pBdr>
          <w:top w:val="single" w:sz="4" w:space="10" w:color="auto"/>
          <w:left w:val="single" w:sz="4" w:space="4" w:color="auto"/>
          <w:right w:val="single" w:sz="4" w:space="4" w:color="auto"/>
        </w:pBdr>
        <w:spacing w:before="100"/>
        <w:rPr>
          <w:color w:val="000000"/>
          <w:lang w:val="sv-SE"/>
        </w:rPr>
      </w:pPr>
      <w:r w:rsidRPr="00800D1B">
        <w:rPr>
          <w:color w:val="000000"/>
          <w:lang w:val="sv-SE"/>
        </w:rPr>
        <w:t>Infrastrukturen för platsoberoende innovationssystem behöver utvecklas för att lyckas nå ut med insatser för att främja entreprenörskap till regionens glesa miljöer. Uppbyggnad och utveckling av miljöer och infrastruktur kräver investeringar i ändamålsenlig teknik. För att adressera dagens globala utmaningar behövs helt nya lösningar som innovationssystemen förhoppningsvis kan generera. Uppbyggnad och utveckling av miljöer och infrastruktur kräver investeringar i ändamålsenlig teknik i linje med smarta specialiseringsstrategierna.</w:t>
      </w:r>
    </w:p>
    <w:p w14:paraId="468F8782" w14:textId="77777777" w:rsidR="006B68C8" w:rsidRPr="00800D1B" w:rsidRDefault="006B68C8" w:rsidP="005A203F">
      <w:pPr>
        <w:pBdr>
          <w:top w:val="single" w:sz="4" w:space="10" w:color="auto"/>
          <w:left w:val="single" w:sz="4" w:space="4" w:color="auto"/>
          <w:right w:val="single" w:sz="4" w:space="4" w:color="auto"/>
        </w:pBdr>
        <w:spacing w:before="100"/>
        <w:rPr>
          <w:color w:val="000000"/>
          <w:lang w:val="sv-SE"/>
        </w:rPr>
      </w:pPr>
      <w:r w:rsidRPr="00800D1B">
        <w:rPr>
          <w:color w:val="000000"/>
          <w:lang w:val="sv-SE"/>
        </w:rPr>
        <w:t>Fler små och medelstora företag behöver medverka i forsknings- och innovationsinsatser som kan bidra till både utveckling och till nya lösningar på regionala utmaningar. Det är viktigt att fortsätta utvecklingen av regionens, nationella och globala innovationssystem genom samarbeten och stärkt innovationsförmåga för att öka tillväxten och konkurrenskraften i små och medelstora innovationsföretag samt säkerställa den långsiktiga attraktionskraften på investeringar och talanger till ÖN. Alla insatser ska vara i linje med smarta specialiseringsstrategierna som bygger på en entrepreneurial discovery process</w:t>
      </w:r>
    </w:p>
    <w:p w14:paraId="0B4E67B6" w14:textId="77777777" w:rsidR="006B68C8" w:rsidRPr="00800D1B" w:rsidRDefault="006B68C8" w:rsidP="005A203F">
      <w:pPr>
        <w:pBdr>
          <w:top w:val="single" w:sz="4" w:space="10" w:color="auto"/>
          <w:left w:val="single" w:sz="4" w:space="4" w:color="auto"/>
          <w:right w:val="single" w:sz="4" w:space="4" w:color="auto"/>
        </w:pBdr>
        <w:spacing w:before="100"/>
        <w:rPr>
          <w:color w:val="000000"/>
          <w:lang w:val="sv-SE"/>
        </w:rPr>
      </w:pPr>
      <w:r w:rsidRPr="00800D1B">
        <w:rPr>
          <w:color w:val="000000"/>
          <w:lang w:val="sv-SE"/>
        </w:rPr>
        <w:t>I insatserna kommer bidrag att användas eftersom det är kostnadseffektivast för denna typ av insats samt att insatsen kommer att fokusera på att ge icke-finansiellt stöd till små och medelstora företag och inte direkt generera intäkter eller leda till kostnadsbesparingar.</w:t>
      </w:r>
    </w:p>
    <w:p w14:paraId="59ED70A8" w14:textId="77777777" w:rsidR="006B68C8" w:rsidRPr="00800D1B" w:rsidRDefault="006B68C8" w:rsidP="005A203F">
      <w:pPr>
        <w:pBdr>
          <w:top w:val="single" w:sz="4" w:space="10" w:color="auto"/>
          <w:left w:val="single" w:sz="4" w:space="4" w:color="auto"/>
          <w:right w:val="single" w:sz="4" w:space="4" w:color="auto"/>
        </w:pBdr>
        <w:spacing w:before="100"/>
        <w:rPr>
          <w:color w:val="000000"/>
          <w:lang w:val="sv-SE"/>
        </w:rPr>
      </w:pPr>
      <w:r w:rsidRPr="00800D1B">
        <w:rPr>
          <w:color w:val="000000"/>
          <w:lang w:val="sv-SE"/>
        </w:rPr>
        <w:t xml:space="preserve">Exempel på konkreta åtgärder: </w:t>
      </w:r>
    </w:p>
    <w:p w14:paraId="0507B813" w14:textId="77777777" w:rsidR="006B68C8" w:rsidRPr="00800D1B" w:rsidRDefault="006B68C8" w:rsidP="007C463C">
      <w:pPr>
        <w:pStyle w:val="Listparagraph1"/>
      </w:pPr>
      <w:r w:rsidRPr="00800D1B">
        <w:t>Förstudier</w:t>
      </w:r>
    </w:p>
    <w:p w14:paraId="142D589E" w14:textId="77777777" w:rsidR="006B68C8" w:rsidRPr="00800D1B" w:rsidRDefault="006B68C8">
      <w:pPr>
        <w:pStyle w:val="Liststycke"/>
        <w:numPr>
          <w:ilvl w:val="0"/>
          <w:numId w:val="10"/>
        </w:numPr>
        <w:pBdr>
          <w:left w:val="single" w:sz="4" w:space="4" w:color="auto"/>
          <w:bottom w:val="single" w:sz="4" w:space="1" w:color="auto"/>
          <w:right w:val="single" w:sz="4" w:space="4" w:color="auto"/>
        </w:pBdr>
        <w:spacing w:before="40"/>
        <w:ind w:left="187" w:hanging="187"/>
        <w:contextualSpacing w:val="0"/>
        <w:rPr>
          <w:color w:val="000000"/>
          <w:lang w:val="sv-SE"/>
        </w:rPr>
      </w:pPr>
      <w:r w:rsidRPr="00800D1B">
        <w:rPr>
          <w:color w:val="000000"/>
          <w:lang w:val="sv-SE"/>
        </w:rPr>
        <w:t xml:space="preserve">Att öka förutsättningarna för forskning- och behovsdriven innovation, etablering av nya innovationsbaserade företag och hållbar tillväxtförmåga i små och medelstora företag inom politiska områden. </w:t>
      </w:r>
    </w:p>
    <w:p w14:paraId="2AAD6337" w14:textId="77777777" w:rsidR="006B68C8" w:rsidRPr="00800D1B" w:rsidRDefault="006B68C8">
      <w:pPr>
        <w:pStyle w:val="Liststycke"/>
        <w:numPr>
          <w:ilvl w:val="0"/>
          <w:numId w:val="10"/>
        </w:numPr>
        <w:pBdr>
          <w:top w:val="single" w:sz="4" w:space="10" w:color="auto"/>
          <w:left w:val="single" w:sz="4" w:space="4" w:color="auto"/>
          <w:bottom w:val="single" w:sz="4" w:space="20" w:color="auto"/>
          <w:right w:val="single" w:sz="4" w:space="4" w:color="auto"/>
        </w:pBdr>
        <w:spacing w:before="100"/>
        <w:ind w:left="288" w:hanging="187"/>
        <w:contextualSpacing w:val="0"/>
        <w:rPr>
          <w:color w:val="000000"/>
          <w:lang w:val="sv-SE"/>
        </w:rPr>
      </w:pPr>
      <w:r w:rsidRPr="00800D1B">
        <w:rPr>
          <w:color w:val="000000"/>
          <w:lang w:val="sv-SE"/>
        </w:rPr>
        <w:t xml:space="preserve">Att stimulera en stärkt regional forskningsinfrastruktur (inom Övre Norrlands smarta specialiseringsområden) med utvecklat nationellt och internationellt samarbete. </w:t>
      </w:r>
    </w:p>
    <w:p w14:paraId="58C40933" w14:textId="77777777" w:rsidR="006B68C8" w:rsidRPr="00800D1B" w:rsidRDefault="006B68C8">
      <w:pPr>
        <w:pStyle w:val="Liststycke"/>
        <w:numPr>
          <w:ilvl w:val="0"/>
          <w:numId w:val="10"/>
        </w:numPr>
        <w:pBdr>
          <w:top w:val="single" w:sz="4" w:space="10" w:color="auto"/>
          <w:left w:val="single" w:sz="4" w:space="4" w:color="auto"/>
          <w:bottom w:val="single" w:sz="4" w:space="20" w:color="auto"/>
          <w:right w:val="single" w:sz="4" w:space="4" w:color="auto"/>
        </w:pBdr>
        <w:spacing w:before="100"/>
        <w:ind w:left="288" w:hanging="187"/>
        <w:contextualSpacing w:val="0"/>
        <w:rPr>
          <w:color w:val="000000"/>
          <w:lang w:val="sv-SE"/>
        </w:rPr>
      </w:pPr>
      <w:r w:rsidRPr="00800D1B">
        <w:rPr>
          <w:color w:val="000000"/>
          <w:lang w:val="sv-SE"/>
        </w:rPr>
        <w:t xml:space="preserve">Att stimulera företagens möjligheter att öka sin egen forskning och utveckling. </w:t>
      </w:r>
    </w:p>
    <w:p w14:paraId="73A1C9A8" w14:textId="77777777" w:rsidR="006B68C8" w:rsidRPr="00800D1B" w:rsidRDefault="006B68C8" w:rsidP="005F0D42">
      <w:pPr>
        <w:pBdr>
          <w:top w:val="single" w:sz="4" w:space="10" w:color="auto"/>
          <w:left w:val="single" w:sz="4" w:space="4" w:color="auto"/>
          <w:bottom w:val="single" w:sz="4" w:space="20" w:color="auto"/>
          <w:right w:val="single" w:sz="4" w:space="4" w:color="auto"/>
        </w:pBdr>
        <w:spacing w:before="100"/>
        <w:ind w:left="101"/>
        <w:rPr>
          <w:color w:val="000000"/>
          <w:lang w:val="sv-SE"/>
        </w:rPr>
      </w:pPr>
      <w:r w:rsidRPr="00800D1B">
        <w:rPr>
          <w:color w:val="000000"/>
          <w:u w:val="single"/>
          <w:lang w:val="sv-SE"/>
        </w:rPr>
        <w:t>Förenlighet med principen om att inte orsaka betydande skada (art. 9.4 i förordningen om gemensamma bestämmelser</w:t>
      </w:r>
      <w:r w:rsidRPr="00800D1B">
        <w:rPr>
          <w:color w:val="000000"/>
          <w:lang w:val="sv-SE"/>
        </w:rPr>
        <w:t>)</w:t>
      </w:r>
    </w:p>
    <w:p w14:paraId="20C233F6" w14:textId="77777777" w:rsidR="006B68C8" w:rsidRPr="00800D1B" w:rsidRDefault="006B68C8" w:rsidP="005F0D42">
      <w:pPr>
        <w:pBdr>
          <w:top w:val="single" w:sz="4" w:space="10" w:color="auto"/>
          <w:left w:val="single" w:sz="4" w:space="4" w:color="auto"/>
          <w:bottom w:val="single" w:sz="4" w:space="20" w:color="auto"/>
          <w:right w:val="single" w:sz="4" w:space="4" w:color="auto"/>
        </w:pBdr>
        <w:spacing w:before="100" w:after="300"/>
        <w:ind w:left="101"/>
        <w:rPr>
          <w:color w:val="000000"/>
          <w:lang w:val="sv-SE"/>
        </w:rPr>
      </w:pPr>
      <w:r w:rsidRPr="00800D1B">
        <w:rPr>
          <w:color w:val="000000"/>
          <w:lang w:val="sv-SE"/>
        </w:rPr>
        <w:t>Insatserna har bedömts vara förenliga med principen om att inte orsaka betydande skada eftersom de har bedömts i enlighet med kommissionens tekniska vägledning om tillämpningen av principen om att inte orsaka betydande skada inom ramen för förordningen om faciliteten för återhämtning och resiliens.</w:t>
      </w:r>
    </w:p>
    <w:p w14:paraId="2D06559B" w14:textId="4048771A" w:rsidR="00A77B3E" w:rsidRPr="00800D1B" w:rsidRDefault="00623E14" w:rsidP="001130F2">
      <w:pPr>
        <w:spacing w:before="360"/>
        <w:rPr>
          <w:lang w:val="sv-SE"/>
        </w:rPr>
      </w:pPr>
      <w:bookmarkStart w:id="8" w:name="_Toc256000249"/>
      <w:r w:rsidRPr="00800D1B">
        <w:rPr>
          <w:lang w:val="sv-SE"/>
        </w:rPr>
        <w:t>Huvudsakliga målgrupper – artikel 22.3 d iii i förordningen om gemensamma bestämmelser</w:t>
      </w:r>
      <w:bookmarkEnd w:id="8"/>
    </w:p>
    <w:p w14:paraId="2D06559C" w14:textId="77777777" w:rsidR="00A77B3E" w:rsidRPr="00800D1B" w:rsidRDefault="00A77B3E">
      <w:pPr>
        <w:spacing w:before="100"/>
        <w:rPr>
          <w:color w:val="000000"/>
          <w:sz w:val="0"/>
          <w:lang w:val="sv-SE"/>
        </w:rPr>
      </w:pPr>
    </w:p>
    <w:p w14:paraId="5535A02C" w14:textId="77777777" w:rsidR="005A203F" w:rsidRPr="00800D1B" w:rsidRDefault="005A203F" w:rsidP="00390E0F">
      <w:pPr>
        <w:pBdr>
          <w:top w:val="single" w:sz="4" w:space="1" w:color="auto"/>
          <w:left w:val="single" w:sz="4" w:space="4" w:color="auto"/>
          <w:bottom w:val="single" w:sz="4" w:space="20" w:color="auto"/>
          <w:right w:val="single" w:sz="4" w:space="4" w:color="auto"/>
        </w:pBdr>
        <w:spacing w:before="100"/>
        <w:ind w:left="101"/>
        <w:rPr>
          <w:color w:val="000000"/>
          <w:sz w:val="0"/>
          <w:lang w:val="sv-SE"/>
        </w:rPr>
      </w:pPr>
    </w:p>
    <w:p w14:paraId="054EACE0" w14:textId="77777777" w:rsidR="005A203F" w:rsidRPr="00800D1B" w:rsidRDefault="005A203F" w:rsidP="00390E0F">
      <w:pPr>
        <w:pBdr>
          <w:top w:val="single" w:sz="4" w:space="1" w:color="auto"/>
          <w:left w:val="single" w:sz="4" w:space="4" w:color="auto"/>
          <w:bottom w:val="single" w:sz="4" w:space="20" w:color="auto"/>
          <w:right w:val="single" w:sz="4" w:space="4" w:color="auto"/>
        </w:pBdr>
        <w:spacing w:before="100"/>
        <w:ind w:left="101"/>
        <w:rPr>
          <w:color w:val="000000"/>
          <w:lang w:val="sv-SE"/>
        </w:rPr>
      </w:pPr>
      <w:r w:rsidRPr="00800D1B">
        <w:rPr>
          <w:color w:val="000000"/>
          <w:lang w:val="sv-SE"/>
        </w:rPr>
        <w:t>Målgruppen är primärt befintliga och väl fungerande noder, innovationsmiljöer och kluster inom områden som är prioriterade i regionala strategier för smart specialisering.</w:t>
      </w:r>
    </w:p>
    <w:p w14:paraId="364ACEA3" w14:textId="77777777" w:rsidR="005A203F" w:rsidRPr="00800D1B" w:rsidRDefault="005A203F" w:rsidP="00390E0F">
      <w:pPr>
        <w:pBdr>
          <w:top w:val="single" w:sz="4" w:space="1" w:color="auto"/>
          <w:left w:val="single" w:sz="4" w:space="4" w:color="auto"/>
          <w:bottom w:val="single" w:sz="4" w:space="20" w:color="auto"/>
          <w:right w:val="single" w:sz="4" w:space="4" w:color="auto"/>
        </w:pBdr>
        <w:spacing w:before="100"/>
        <w:ind w:left="101"/>
        <w:rPr>
          <w:color w:val="000000"/>
          <w:lang w:val="sv-SE"/>
        </w:rPr>
      </w:pPr>
      <w:r w:rsidRPr="00800D1B">
        <w:rPr>
          <w:color w:val="000000"/>
          <w:lang w:val="sv-SE"/>
        </w:rPr>
        <w:t xml:space="preserve">Målgruppen för detta specifika mål är offentliga aktörer, universitet och högskolor, forskningsinstitut och övriga forsknings- och utbildningsaktörer, små och medelstora företag, ekonomiska föreningar och civilsamhället. Särskilt fokus bör läggas på att säkerställa att insatserna bidrar till att inkludera underrepresenterade grupper i innovationssystemet samt att nå en bredd av organisationer och företag. </w:t>
      </w:r>
    </w:p>
    <w:p w14:paraId="6EE62512" w14:textId="77777777" w:rsidR="005A203F" w:rsidRPr="00800D1B" w:rsidRDefault="005A203F" w:rsidP="00390E0F">
      <w:pPr>
        <w:pBdr>
          <w:top w:val="single" w:sz="4" w:space="1" w:color="auto"/>
          <w:left w:val="single" w:sz="4" w:space="4" w:color="auto"/>
          <w:bottom w:val="single" w:sz="4" w:space="20" w:color="auto"/>
          <w:right w:val="single" w:sz="4" w:space="4" w:color="auto"/>
        </w:pBdr>
        <w:spacing w:before="100"/>
        <w:ind w:left="101"/>
        <w:rPr>
          <w:color w:val="000000"/>
          <w:lang w:val="sv-SE"/>
        </w:rPr>
      </w:pPr>
      <w:r w:rsidRPr="00800D1B">
        <w:rPr>
          <w:color w:val="000000"/>
          <w:lang w:val="sv-SE"/>
        </w:rPr>
        <w:t>Vid utformandet av insatser är det viktigt att använda ett jämställdhets- och mångfaldsperspektiv.</w:t>
      </w:r>
    </w:p>
    <w:p w14:paraId="2D0655A4" w14:textId="028AD129" w:rsidR="00A77B3E" w:rsidRPr="00800D1B" w:rsidRDefault="00623E14" w:rsidP="001130F2">
      <w:pPr>
        <w:spacing w:before="440"/>
        <w:rPr>
          <w:lang w:val="sv-SE"/>
        </w:rPr>
      </w:pPr>
      <w:bookmarkStart w:id="9" w:name="_Toc256000250"/>
      <w:r w:rsidRPr="00800D1B">
        <w:rPr>
          <w:lang w:val="sv-SE"/>
        </w:rPr>
        <w:t>Åtgärder för säkerställande av jämställdhet, inkludering och icke-diskriminering – artikel 22.3 d iv i förordningen om gemensamma bestämmelser och artikel 6 i ESF+-förordningen</w:t>
      </w:r>
      <w:bookmarkEnd w:id="9"/>
    </w:p>
    <w:p w14:paraId="2D0655A5" w14:textId="77777777" w:rsidR="00A77B3E" w:rsidRPr="00800D1B" w:rsidRDefault="00A77B3E">
      <w:pPr>
        <w:spacing w:before="100"/>
        <w:rPr>
          <w:color w:val="000000"/>
          <w:sz w:val="0"/>
          <w:lang w:val="sv-SE"/>
        </w:rPr>
      </w:pPr>
    </w:p>
    <w:p w14:paraId="2879C057" w14:textId="29C0CBED" w:rsidR="00390E0F" w:rsidRPr="00800D1B" w:rsidRDefault="00390E0F" w:rsidP="00F7590D">
      <w:pPr>
        <w:pBdr>
          <w:top w:val="single" w:sz="4" w:space="10" w:color="auto"/>
          <w:left w:val="single" w:sz="4" w:space="4" w:color="auto"/>
          <w:right w:val="single" w:sz="4" w:space="4" w:color="auto"/>
        </w:pBdr>
        <w:spacing w:before="360" w:after="300"/>
        <w:ind w:left="101"/>
        <w:rPr>
          <w:color w:val="000000"/>
          <w:lang w:val="sv-SE"/>
        </w:rPr>
      </w:pPr>
      <w:r w:rsidRPr="00800D1B">
        <w:rPr>
          <w:color w:val="000000"/>
          <w:lang w:val="sv-SE"/>
        </w:rPr>
        <w:t>Jämställdhet, icke- diskriminering och tillgänglighet ska genomsyra insatserna i programmet, det vill säga, jämställdhetsintegrering är ett krav. Ingen får diskrimineras på grund av kön, könsöverskridande identitet eller uttryck, etnisk tillhörighet, religion eller annan trosuppfattning, funktionsnedsättning, sexuell läggning eller ålder. Projekten ska innehålla särskilda insatser för jämställdhet även om huvudsyftet är ett annat. Det ska tydligt beskrivas förväntade resultat kopplat till jämställdhet. Vid ansökningsförfarandet genomförs en jämställdhetsanalys som synkroniseras med övriga hållbarhetsaspekter att ta hänsyn till. Analysen ska visa hur framtagandet av insatser påverkar jämställdheten och det ska finnas minst ett mål som adresserar detsamma. Detta betyder att samtliga insatser i detta särskilda mål minst möter kraven för kod 02 i tabell 8.</w:t>
      </w:r>
    </w:p>
    <w:p w14:paraId="6C6918EA" w14:textId="77777777" w:rsidR="00F15D04" w:rsidRPr="00800D1B" w:rsidRDefault="00F7590D" w:rsidP="00F7590D">
      <w:pPr>
        <w:pBdr>
          <w:left w:val="single" w:sz="4" w:space="4" w:color="auto"/>
          <w:bottom w:val="single" w:sz="4" w:space="10" w:color="auto"/>
          <w:right w:val="single" w:sz="4" w:space="4" w:color="auto"/>
        </w:pBdr>
        <w:ind w:left="101"/>
        <w:rPr>
          <w:color w:val="000000"/>
          <w:lang w:val="sv-SE"/>
        </w:rPr>
        <w:sectPr w:rsidR="00F15D04" w:rsidRPr="00800D1B" w:rsidSect="0065165D">
          <w:headerReference w:type="even" r:id="rId19"/>
          <w:headerReference w:type="default" r:id="rId20"/>
          <w:footerReference w:type="even" r:id="rId21"/>
          <w:footerReference w:type="default" r:id="rId22"/>
          <w:headerReference w:type="first" r:id="rId23"/>
          <w:footerReference w:type="first" r:id="rId24"/>
          <w:pgSz w:w="16838" w:h="11906" w:orient="landscape" w:code="9"/>
          <w:pgMar w:top="720" w:right="720" w:bottom="864" w:left="936" w:header="288" w:footer="72" w:gutter="0"/>
          <w:cols w:space="720"/>
          <w:noEndnote/>
          <w:docGrid w:linePitch="360"/>
        </w:sectPr>
      </w:pPr>
      <w:r w:rsidRPr="00800D1B">
        <w:rPr>
          <w:color w:val="000000"/>
          <w:lang w:val="sv-SE"/>
        </w:rPr>
        <w:t xml:space="preserve">Förutom att alla insatser inom detta särskilda mål ska möta kod 02 ser vi även att flera projekt ska innehålla särskilda insatser för jämställdhet. Särskilda insatser innebär att projektets huvudsakliga mål är att förbättra jämställdhet mellan kvinnor och män. Analysen ska därmed visa hur utmaningar och problem </w:t>
      </w:r>
    </w:p>
    <w:p w14:paraId="43CFE060" w14:textId="51970411" w:rsidR="00F7590D" w:rsidRPr="00800D1B" w:rsidRDefault="00F7590D" w:rsidP="00956807">
      <w:pPr>
        <w:pBdr>
          <w:top w:val="single" w:sz="4" w:space="1" w:color="auto"/>
          <w:left w:val="single" w:sz="4" w:space="4" w:color="auto"/>
          <w:bottom w:val="single" w:sz="4" w:space="20" w:color="auto"/>
          <w:right w:val="single" w:sz="4" w:space="4" w:color="auto"/>
        </w:pBdr>
        <w:ind w:left="101"/>
        <w:rPr>
          <w:color w:val="000000"/>
          <w:lang w:val="sv-SE"/>
        </w:rPr>
      </w:pPr>
      <w:r w:rsidRPr="00800D1B">
        <w:rPr>
          <w:color w:val="000000"/>
          <w:lang w:val="sv-SE"/>
        </w:rPr>
        <w:t>inom jämställdhetsområdet ligger till grund varför projektet behövs och målen tar tydligt fasta på en förflyttning mot ökad jämställdhet. Projekten bidrar därmed direkt till det globala målet 5.</w:t>
      </w:r>
    </w:p>
    <w:p w14:paraId="2983E688" w14:textId="5C993364" w:rsidR="00F7590D" w:rsidRPr="00800D1B" w:rsidRDefault="00F7590D" w:rsidP="00956807">
      <w:pPr>
        <w:pBdr>
          <w:top w:val="single" w:sz="4" w:space="1" w:color="auto"/>
          <w:left w:val="single" w:sz="4" w:space="4" w:color="auto"/>
          <w:bottom w:val="single" w:sz="4" w:space="20" w:color="auto"/>
          <w:right w:val="single" w:sz="4" w:space="4" w:color="auto"/>
        </w:pBdr>
        <w:spacing w:before="300" w:after="200"/>
        <w:ind w:left="101"/>
        <w:rPr>
          <w:color w:val="000000"/>
          <w:lang w:val="sv-SE"/>
        </w:rPr>
      </w:pPr>
      <w:r w:rsidRPr="00800D1B">
        <w:rPr>
          <w:color w:val="000000"/>
          <w:lang w:val="sv-SE"/>
        </w:rPr>
        <w:t>Samtliga projekt ska vid rapportering påvisa hur resultatet bidragit till att framsteg gjorts gentemot en ökad jämställdhet.</w:t>
      </w:r>
    </w:p>
    <w:p w14:paraId="2D0655AF" w14:textId="616C5FA1" w:rsidR="00A77B3E" w:rsidRPr="00800D1B" w:rsidRDefault="00623E14" w:rsidP="00956807">
      <w:pPr>
        <w:spacing w:before="480"/>
        <w:rPr>
          <w:lang w:val="sv-SE"/>
        </w:rPr>
      </w:pPr>
      <w:bookmarkStart w:id="10" w:name="_Toc256000251"/>
      <w:r w:rsidRPr="00800D1B">
        <w:rPr>
          <w:lang w:val="sv-SE"/>
        </w:rPr>
        <w:t>Angivande av de specifika målterritorierna, inbegripet planerad användning av territoriella verktyg – artikel 22.3 d v i förordningen om gemensamma bestämmelser</w:t>
      </w:r>
      <w:bookmarkEnd w:id="10"/>
    </w:p>
    <w:p w14:paraId="2D0655B0" w14:textId="77777777" w:rsidR="00A77B3E" w:rsidRPr="00800D1B" w:rsidRDefault="00A77B3E">
      <w:pPr>
        <w:spacing w:before="100"/>
        <w:rPr>
          <w:color w:val="000000"/>
          <w:sz w:val="0"/>
          <w:lang w:val="sv-SE"/>
        </w:rPr>
      </w:pPr>
    </w:p>
    <w:p w14:paraId="330A2E2E" w14:textId="77777777" w:rsidR="00390E0F" w:rsidRPr="00800D1B" w:rsidRDefault="00390E0F" w:rsidP="001C4055">
      <w:pPr>
        <w:pBdr>
          <w:top w:val="single" w:sz="4" w:space="10" w:color="auto"/>
          <w:left w:val="single" w:sz="4" w:space="4" w:color="auto"/>
          <w:bottom w:val="single" w:sz="4" w:space="20" w:color="auto"/>
          <w:right w:val="single" w:sz="4" w:space="4" w:color="auto"/>
        </w:pBdr>
        <w:ind w:left="101"/>
        <w:rPr>
          <w:color w:val="000000"/>
          <w:lang w:val="sv-SE"/>
        </w:rPr>
      </w:pPr>
      <w:r w:rsidRPr="00800D1B">
        <w:rPr>
          <w:color w:val="000000"/>
          <w:lang w:val="sv-SE"/>
        </w:rPr>
        <w:t>Nej</w:t>
      </w:r>
    </w:p>
    <w:p w14:paraId="2D0655B6" w14:textId="6F8B2CF8" w:rsidR="00A77B3E" w:rsidRPr="00800D1B" w:rsidRDefault="00623E14" w:rsidP="001130F2">
      <w:pPr>
        <w:spacing w:before="440" w:after="200"/>
        <w:rPr>
          <w:lang w:val="sv-SE"/>
        </w:rPr>
      </w:pPr>
      <w:bookmarkStart w:id="11" w:name="_Toc256000252"/>
      <w:r w:rsidRPr="00800D1B">
        <w:rPr>
          <w:lang w:val="sv-SE"/>
        </w:rPr>
        <w:t>Interregionala, gränsregionala och transnationella åtgärder – artikel 22.3 d vi i förordningen om gemensamma bestämmelser</w:t>
      </w:r>
      <w:bookmarkEnd w:id="11"/>
    </w:p>
    <w:p w14:paraId="2D0655B7" w14:textId="77777777" w:rsidR="00A77B3E" w:rsidRPr="00800D1B" w:rsidRDefault="00A77B3E">
      <w:pPr>
        <w:spacing w:before="100"/>
        <w:rPr>
          <w:color w:val="000000"/>
          <w:sz w:val="0"/>
          <w:lang w:val="sv-SE"/>
        </w:rPr>
      </w:pPr>
    </w:p>
    <w:p w14:paraId="30E7E45E" w14:textId="77777777" w:rsidR="005F0D42" w:rsidRPr="00800D1B" w:rsidRDefault="005F0D42" w:rsidP="005F0D42">
      <w:pPr>
        <w:pBdr>
          <w:top w:val="single" w:sz="4" w:space="1" w:color="auto"/>
          <w:left w:val="single" w:sz="4" w:space="4" w:color="auto"/>
          <w:bottom w:val="single" w:sz="4" w:space="20" w:color="auto"/>
          <w:right w:val="single" w:sz="4" w:space="4" w:color="auto"/>
        </w:pBdr>
        <w:spacing w:before="100"/>
        <w:ind w:left="101" w:right="115"/>
        <w:rPr>
          <w:color w:val="000000"/>
          <w:sz w:val="0"/>
          <w:lang w:val="sv-SE"/>
        </w:rPr>
      </w:pPr>
    </w:p>
    <w:p w14:paraId="4B30B2E7" w14:textId="77777777" w:rsidR="005F0D42" w:rsidRPr="00800D1B" w:rsidRDefault="005F0D42" w:rsidP="005F0D42">
      <w:pPr>
        <w:pBdr>
          <w:top w:val="single" w:sz="4" w:space="1" w:color="auto"/>
          <w:left w:val="single" w:sz="4" w:space="4" w:color="auto"/>
          <w:bottom w:val="single" w:sz="4" w:space="20" w:color="auto"/>
          <w:right w:val="single" w:sz="4" w:space="4" w:color="auto"/>
        </w:pBdr>
        <w:spacing w:before="100"/>
        <w:ind w:left="101" w:right="115"/>
        <w:rPr>
          <w:color w:val="000000"/>
          <w:lang w:val="sv-SE"/>
        </w:rPr>
      </w:pPr>
      <w:r w:rsidRPr="00800D1B">
        <w:rPr>
          <w:color w:val="000000"/>
          <w:lang w:val="sv-SE"/>
        </w:rPr>
        <w:t xml:space="preserve">En intervention får helt eller delvis genomföras i annat land, även utanför EU, under förutsättning att insatsen bidrar till det särskilda målet. Samarbete med aktörer i ett eller flera andra länder kan vara integrerat i ett projekt för att stärka arbetet mot projektmålet. För att stärka arbetet mot projektmålet kan samarbete med aktörer i ett eller flera andra länder också läggas till ett redan pågående projekt i form av ett påbyggnadsprojekt. </w:t>
      </w:r>
    </w:p>
    <w:p w14:paraId="264C3012" w14:textId="77777777" w:rsidR="005F0D42" w:rsidRPr="00800D1B" w:rsidRDefault="005F0D42" w:rsidP="005F0D42">
      <w:pPr>
        <w:pBdr>
          <w:top w:val="single" w:sz="4" w:space="1" w:color="auto"/>
          <w:left w:val="single" w:sz="4" w:space="4" w:color="auto"/>
          <w:bottom w:val="single" w:sz="4" w:space="20" w:color="auto"/>
          <w:right w:val="single" w:sz="4" w:space="4" w:color="auto"/>
        </w:pBdr>
        <w:spacing w:before="100"/>
        <w:ind w:left="101" w:right="115"/>
        <w:rPr>
          <w:color w:val="000000"/>
          <w:lang w:val="sv-SE"/>
        </w:rPr>
      </w:pPr>
      <w:r w:rsidRPr="00800D1B">
        <w:rPr>
          <w:color w:val="000000"/>
          <w:lang w:val="sv-SE"/>
        </w:rPr>
        <w:t xml:space="preserve">Båda alternativen kan användas för insatser i linje med exempelvis smart specialiseringsstrategier, Agenda 2030 eller EU:s strategi för Östersjöregionen. </w:t>
      </w:r>
    </w:p>
    <w:p w14:paraId="53DCE872" w14:textId="77777777" w:rsidR="005F0D42" w:rsidRPr="00800D1B" w:rsidRDefault="005F0D42" w:rsidP="005F0D42">
      <w:pPr>
        <w:pBdr>
          <w:top w:val="single" w:sz="4" w:space="1" w:color="auto"/>
          <w:left w:val="single" w:sz="4" w:space="4" w:color="auto"/>
          <w:bottom w:val="single" w:sz="4" w:space="20" w:color="auto"/>
          <w:right w:val="single" w:sz="4" w:space="4" w:color="auto"/>
        </w:pBdr>
        <w:spacing w:before="100"/>
        <w:ind w:left="101" w:right="115"/>
        <w:rPr>
          <w:color w:val="000000"/>
          <w:lang w:val="sv-SE"/>
        </w:rPr>
      </w:pPr>
      <w:r w:rsidRPr="00800D1B">
        <w:rPr>
          <w:color w:val="000000"/>
          <w:lang w:val="sv-SE"/>
        </w:rPr>
        <w:t xml:space="preserve">Åtgärder som särskilt kan komma i fråga är utbyte av goda exempel och samverkan mellan strategisk viktiga regioner inom smart specialisering och plattformar. Samarbeten via nationella Eruf-programmet och samverkan med andra Eruf-program i Sverige med liknande inriktning i strategierna för smart specialisering. Möjligheter till samarbeten inom I3, Östersjöstrategin och Interreg. </w:t>
      </w:r>
    </w:p>
    <w:p w14:paraId="5CCE494F" w14:textId="77777777" w:rsidR="005F0D42" w:rsidRPr="00800D1B" w:rsidRDefault="005F0D42" w:rsidP="005F0D42">
      <w:pPr>
        <w:pBdr>
          <w:top w:val="single" w:sz="4" w:space="1" w:color="auto"/>
          <w:left w:val="single" w:sz="4" w:space="4" w:color="auto"/>
          <w:bottom w:val="single" w:sz="4" w:space="20" w:color="auto"/>
          <w:right w:val="single" w:sz="4" w:space="4" w:color="auto"/>
        </w:pBdr>
        <w:spacing w:before="100"/>
        <w:ind w:left="101" w:right="115"/>
        <w:rPr>
          <w:color w:val="000000"/>
          <w:lang w:val="sv-SE"/>
        </w:rPr>
      </w:pPr>
      <w:r w:rsidRPr="00800D1B">
        <w:rPr>
          <w:color w:val="000000"/>
          <w:lang w:val="sv-SE"/>
        </w:rPr>
        <w:t>Under de senaste åren har ÖN samarbetat med aktörer från hela Europa, ett exempel är Arctic Five samarbetet som är ett partnerskap mellan Universiteten i Tromsö, Luleå, Umeå, Rovaniemi och Uleåborg. Tillsammans bildar de fem universiteten en allians som delar kunskap, utbildning och innovationer för utveckling av regionen. ÖN ska vidareutveckla redan etablerade kontaktytor med regioner inom EU-kommissionens innovations- och S3-plattformar där digitalisering ofta kommer in som en horisontell beståndsdel i insatser och projekt.</w:t>
      </w:r>
    </w:p>
    <w:p w14:paraId="70DF4B1D" w14:textId="77777777" w:rsidR="005F0D42" w:rsidRPr="00800D1B" w:rsidRDefault="005F0D42" w:rsidP="005F0D42">
      <w:pPr>
        <w:pBdr>
          <w:top w:val="single" w:sz="4" w:space="1" w:color="auto"/>
          <w:left w:val="single" w:sz="4" w:space="4" w:color="auto"/>
          <w:bottom w:val="single" w:sz="4" w:space="20" w:color="auto"/>
          <w:right w:val="single" w:sz="4" w:space="4" w:color="auto"/>
        </w:pBdr>
        <w:spacing w:before="100"/>
        <w:ind w:left="101" w:right="115"/>
        <w:rPr>
          <w:color w:val="000000"/>
          <w:lang w:val="sv-SE"/>
        </w:rPr>
      </w:pPr>
      <w:r w:rsidRPr="00800D1B">
        <w:rPr>
          <w:color w:val="000000"/>
          <w:lang w:val="sv-SE"/>
        </w:rPr>
        <w:t>Under kommande år avser regionen att vidmakthålla samma höga ambition att följa och även påverka forsknings och innovationsutvecklingen i ÖN samt även att upprätthålla den europeiska politiska dimensionen avseende framtida smart specialisering såväl regionalt som för Sverige och Europa som helhet.</w:t>
      </w:r>
    </w:p>
    <w:p w14:paraId="2D0655C1" w14:textId="3C698FC4" w:rsidR="00A77B3E" w:rsidRPr="00800D1B" w:rsidRDefault="00623E14" w:rsidP="001C4055">
      <w:pPr>
        <w:spacing w:before="600"/>
        <w:rPr>
          <w:lang w:val="sv-SE"/>
        </w:rPr>
      </w:pPr>
      <w:bookmarkStart w:id="12" w:name="_Toc256000253"/>
      <w:r w:rsidRPr="00800D1B">
        <w:rPr>
          <w:lang w:val="sv-SE"/>
        </w:rPr>
        <w:t>Planerad användning av finansieringsinstrument – artikel 22.3 d vii i förordningen om gemensamma bestämmelser</w:t>
      </w:r>
      <w:bookmarkEnd w:id="12"/>
    </w:p>
    <w:p w14:paraId="2D0655C2" w14:textId="77777777" w:rsidR="00A77B3E" w:rsidRPr="00800D1B" w:rsidRDefault="00A77B3E">
      <w:pPr>
        <w:spacing w:before="100"/>
        <w:rPr>
          <w:color w:val="000000"/>
          <w:sz w:val="0"/>
          <w:lang w:val="sv-SE"/>
        </w:rPr>
      </w:pPr>
    </w:p>
    <w:p w14:paraId="397631D3" w14:textId="77777777" w:rsidR="005F0D42" w:rsidRPr="00800D1B" w:rsidRDefault="005F0D42" w:rsidP="001C4055">
      <w:pPr>
        <w:pBdr>
          <w:top w:val="single" w:sz="4" w:space="10" w:color="auto"/>
          <w:left w:val="single" w:sz="4" w:space="4" w:color="auto"/>
          <w:bottom w:val="single" w:sz="4" w:space="20" w:color="auto"/>
          <w:right w:val="single" w:sz="4" w:space="4" w:color="auto"/>
        </w:pBdr>
        <w:spacing w:after="300"/>
        <w:ind w:left="90"/>
        <w:rPr>
          <w:color w:val="000000"/>
          <w:lang w:val="sv-SE"/>
        </w:rPr>
      </w:pPr>
      <w:r w:rsidRPr="00800D1B">
        <w:rPr>
          <w:color w:val="000000"/>
          <w:lang w:val="sv-SE"/>
        </w:rPr>
        <w:t>Nej</w:t>
      </w:r>
    </w:p>
    <w:p w14:paraId="2D0655C8" w14:textId="56CDC501" w:rsidR="00A77B3E" w:rsidRPr="00800D1B" w:rsidRDefault="00623E14" w:rsidP="006909A3">
      <w:pPr>
        <w:pStyle w:val="Rubrik6"/>
        <w:numPr>
          <w:ilvl w:val="4"/>
          <w:numId w:val="5"/>
        </w:numPr>
        <w:spacing w:after="300"/>
        <w:ind w:left="360"/>
      </w:pPr>
      <w:bookmarkStart w:id="13" w:name="_Toc256000254"/>
      <w:r w:rsidRPr="00800D1B">
        <w:t>Indikatorer</w:t>
      </w:r>
      <w:bookmarkEnd w:id="13"/>
    </w:p>
    <w:p w14:paraId="2D0655CA" w14:textId="77777777" w:rsidR="00A77B3E" w:rsidRPr="00800D1B" w:rsidRDefault="00623E14">
      <w:pPr>
        <w:spacing w:before="100"/>
        <w:rPr>
          <w:color w:val="000000"/>
          <w:sz w:val="0"/>
          <w:lang w:val="sv-SE"/>
        </w:rPr>
      </w:pPr>
      <w:r w:rsidRPr="00800D1B">
        <w:rPr>
          <w:color w:val="000000"/>
          <w:lang w:val="sv-SE"/>
        </w:rPr>
        <w:t>Referens: Artikel 22.3 d ii i förordningen om gemensamma bestämmelser och artikel 8 i Eruf-förordningen och förordningen om Sammanhållningsfonden</w:t>
      </w:r>
    </w:p>
    <w:p w14:paraId="2D0655CB" w14:textId="23B8F173" w:rsidR="00A77B3E" w:rsidRPr="00800D1B" w:rsidRDefault="00623E14" w:rsidP="001130F2">
      <w:pPr>
        <w:spacing w:before="100"/>
        <w:rPr>
          <w:lang w:val="sv-SE"/>
        </w:rPr>
      </w:pPr>
      <w:bookmarkStart w:id="14" w:name="_Toc256000255"/>
      <w:r w:rsidRPr="00800D1B">
        <w:rPr>
          <w:lang w:val="sv-SE"/>
        </w:rPr>
        <w:t>Tabell 2: Utfallsindikatorer</w:t>
      </w:r>
      <w:bookmarkEnd w:id="14"/>
    </w:p>
    <w:p w14:paraId="2D0655CC" w14:textId="77777777" w:rsidR="00A77B3E" w:rsidRPr="00800D1B" w:rsidRDefault="00A77B3E">
      <w:pPr>
        <w:spacing w:before="100"/>
        <w:rPr>
          <w:color w:val="000000"/>
          <w:sz w:val="0"/>
          <w:lang w:val="sv-SE"/>
        </w:rPr>
      </w:pPr>
    </w:p>
    <w:tbl>
      <w:tblPr>
        <w:tblStyle w:val="Tabellrutnt"/>
        <w:tblW w:w="5000" w:type="pct"/>
        <w:tblLook w:val="04A0" w:firstRow="1" w:lastRow="0" w:firstColumn="1" w:lastColumn="0" w:noHBand="0" w:noVBand="1"/>
        <w:tblDescription w:val="En tabell med nio kolumner: Prioritering; Specifikt mål; Fond; Regionkategori; ID; Indikator; Mätenhet; Delmål (2024); Mål (2029). Tabellen visar information om Utfallsindikatorer."/>
      </w:tblPr>
      <w:tblGrid>
        <w:gridCol w:w="1139"/>
        <w:gridCol w:w="1060"/>
        <w:gridCol w:w="628"/>
        <w:gridCol w:w="2908"/>
        <w:gridCol w:w="861"/>
        <w:gridCol w:w="3986"/>
        <w:gridCol w:w="1916"/>
        <w:gridCol w:w="1308"/>
        <w:gridCol w:w="1366"/>
      </w:tblGrid>
      <w:tr w:rsidR="003422DB" w:rsidRPr="00800D1B" w14:paraId="2D0655D6" w14:textId="77777777" w:rsidTr="000E2E27">
        <w:tc>
          <w:tcPr>
            <w:tcW w:w="0" w:type="auto"/>
          </w:tcPr>
          <w:p w14:paraId="2D0655CD" w14:textId="77777777" w:rsidR="00A77B3E" w:rsidRPr="00800D1B" w:rsidRDefault="00623E14">
            <w:pPr>
              <w:spacing w:before="100"/>
              <w:jc w:val="center"/>
              <w:rPr>
                <w:color w:val="000000"/>
                <w:sz w:val="20"/>
                <w:lang w:val="sv-SE"/>
              </w:rPr>
            </w:pPr>
            <w:r w:rsidRPr="00800D1B">
              <w:rPr>
                <w:color w:val="000000"/>
                <w:sz w:val="20"/>
                <w:lang w:val="sv-SE"/>
              </w:rPr>
              <w:t>Prioritering</w:t>
            </w:r>
          </w:p>
        </w:tc>
        <w:tc>
          <w:tcPr>
            <w:tcW w:w="0" w:type="auto"/>
          </w:tcPr>
          <w:p w14:paraId="2D0655CE" w14:textId="77777777" w:rsidR="00A77B3E" w:rsidRPr="00800D1B" w:rsidRDefault="00623E14">
            <w:pPr>
              <w:spacing w:before="100"/>
              <w:jc w:val="center"/>
              <w:rPr>
                <w:color w:val="000000"/>
                <w:sz w:val="20"/>
                <w:lang w:val="sv-SE"/>
              </w:rPr>
            </w:pPr>
            <w:r w:rsidRPr="00800D1B">
              <w:rPr>
                <w:color w:val="000000"/>
                <w:sz w:val="20"/>
                <w:lang w:val="sv-SE"/>
              </w:rPr>
              <w:t>Specifikt mål</w:t>
            </w:r>
          </w:p>
        </w:tc>
        <w:tc>
          <w:tcPr>
            <w:tcW w:w="0" w:type="auto"/>
          </w:tcPr>
          <w:p w14:paraId="2D0655CF" w14:textId="77777777" w:rsidR="00A77B3E" w:rsidRPr="00800D1B" w:rsidRDefault="00623E14">
            <w:pPr>
              <w:spacing w:before="100"/>
              <w:jc w:val="center"/>
              <w:rPr>
                <w:color w:val="000000"/>
                <w:sz w:val="20"/>
                <w:lang w:val="sv-SE"/>
              </w:rPr>
            </w:pPr>
            <w:r w:rsidRPr="00800D1B">
              <w:rPr>
                <w:color w:val="000000"/>
                <w:sz w:val="20"/>
                <w:lang w:val="sv-SE"/>
              </w:rPr>
              <w:t>Fond</w:t>
            </w:r>
          </w:p>
        </w:tc>
        <w:tc>
          <w:tcPr>
            <w:tcW w:w="0" w:type="auto"/>
          </w:tcPr>
          <w:p w14:paraId="2D0655D0" w14:textId="77777777" w:rsidR="00A77B3E" w:rsidRPr="00800D1B" w:rsidRDefault="00623E14">
            <w:pPr>
              <w:spacing w:before="100"/>
              <w:jc w:val="center"/>
              <w:rPr>
                <w:color w:val="000000"/>
                <w:sz w:val="20"/>
                <w:lang w:val="sv-SE"/>
              </w:rPr>
            </w:pPr>
            <w:r w:rsidRPr="00800D1B">
              <w:rPr>
                <w:color w:val="000000"/>
                <w:sz w:val="20"/>
                <w:lang w:val="sv-SE"/>
              </w:rPr>
              <w:t>Regionkategori</w:t>
            </w:r>
          </w:p>
        </w:tc>
        <w:tc>
          <w:tcPr>
            <w:tcW w:w="0" w:type="auto"/>
          </w:tcPr>
          <w:p w14:paraId="2D0655D1" w14:textId="77777777" w:rsidR="00A77B3E" w:rsidRPr="00800D1B" w:rsidRDefault="00623E14">
            <w:pPr>
              <w:spacing w:before="100"/>
              <w:jc w:val="center"/>
              <w:rPr>
                <w:color w:val="000000"/>
                <w:sz w:val="20"/>
                <w:lang w:val="sv-SE"/>
              </w:rPr>
            </w:pPr>
            <w:r w:rsidRPr="00800D1B">
              <w:rPr>
                <w:color w:val="000000"/>
                <w:sz w:val="20"/>
                <w:lang w:val="sv-SE"/>
              </w:rPr>
              <w:t>ID</w:t>
            </w:r>
          </w:p>
        </w:tc>
        <w:tc>
          <w:tcPr>
            <w:tcW w:w="0" w:type="auto"/>
          </w:tcPr>
          <w:p w14:paraId="2D0655D2" w14:textId="77777777" w:rsidR="00A77B3E" w:rsidRPr="00800D1B" w:rsidRDefault="00623E14">
            <w:pPr>
              <w:spacing w:before="100"/>
              <w:jc w:val="center"/>
              <w:rPr>
                <w:color w:val="000000"/>
                <w:sz w:val="20"/>
                <w:lang w:val="sv-SE"/>
              </w:rPr>
            </w:pPr>
            <w:r w:rsidRPr="00800D1B">
              <w:rPr>
                <w:color w:val="000000"/>
                <w:sz w:val="20"/>
                <w:lang w:val="sv-SE"/>
              </w:rPr>
              <w:t>Indikator</w:t>
            </w:r>
          </w:p>
        </w:tc>
        <w:tc>
          <w:tcPr>
            <w:tcW w:w="0" w:type="auto"/>
          </w:tcPr>
          <w:p w14:paraId="2D0655D3" w14:textId="77777777" w:rsidR="00A77B3E" w:rsidRPr="00800D1B" w:rsidRDefault="00623E14">
            <w:pPr>
              <w:spacing w:before="100"/>
              <w:jc w:val="center"/>
              <w:rPr>
                <w:color w:val="000000"/>
                <w:sz w:val="20"/>
                <w:lang w:val="sv-SE"/>
              </w:rPr>
            </w:pPr>
            <w:r w:rsidRPr="00800D1B">
              <w:rPr>
                <w:color w:val="000000"/>
                <w:sz w:val="20"/>
                <w:lang w:val="sv-SE"/>
              </w:rPr>
              <w:t>Mätenhet</w:t>
            </w:r>
          </w:p>
        </w:tc>
        <w:tc>
          <w:tcPr>
            <w:tcW w:w="0" w:type="auto"/>
          </w:tcPr>
          <w:p w14:paraId="2D0655D4" w14:textId="77777777" w:rsidR="00A77B3E" w:rsidRPr="00800D1B" w:rsidRDefault="00623E14">
            <w:pPr>
              <w:spacing w:before="100"/>
              <w:jc w:val="center"/>
              <w:rPr>
                <w:color w:val="000000"/>
                <w:sz w:val="20"/>
                <w:lang w:val="sv-SE"/>
              </w:rPr>
            </w:pPr>
            <w:r w:rsidRPr="00800D1B">
              <w:rPr>
                <w:color w:val="000000"/>
                <w:sz w:val="20"/>
                <w:lang w:val="sv-SE"/>
              </w:rPr>
              <w:t>Delmål (2024)</w:t>
            </w:r>
          </w:p>
        </w:tc>
        <w:tc>
          <w:tcPr>
            <w:tcW w:w="0" w:type="auto"/>
          </w:tcPr>
          <w:p w14:paraId="2D0655D5" w14:textId="77777777" w:rsidR="00A77B3E" w:rsidRPr="00800D1B" w:rsidRDefault="00623E14">
            <w:pPr>
              <w:spacing w:before="100"/>
              <w:jc w:val="center"/>
              <w:rPr>
                <w:color w:val="000000"/>
                <w:sz w:val="20"/>
                <w:lang w:val="sv-SE"/>
              </w:rPr>
            </w:pPr>
            <w:r w:rsidRPr="00800D1B">
              <w:rPr>
                <w:color w:val="000000"/>
                <w:sz w:val="20"/>
                <w:lang w:val="sv-SE"/>
              </w:rPr>
              <w:t>Mål (2029)</w:t>
            </w:r>
          </w:p>
        </w:tc>
      </w:tr>
      <w:tr w:rsidR="003422DB" w:rsidRPr="00800D1B" w14:paraId="2D0655E0" w14:textId="77777777" w:rsidTr="000E2E27">
        <w:tc>
          <w:tcPr>
            <w:tcW w:w="0" w:type="auto"/>
          </w:tcPr>
          <w:p w14:paraId="2D0655D7" w14:textId="77777777" w:rsidR="00A77B3E" w:rsidRPr="00800D1B" w:rsidRDefault="00623E14">
            <w:pPr>
              <w:spacing w:before="100"/>
              <w:rPr>
                <w:color w:val="000000"/>
                <w:sz w:val="20"/>
                <w:lang w:val="sv-SE"/>
              </w:rPr>
            </w:pPr>
            <w:r w:rsidRPr="00800D1B">
              <w:rPr>
                <w:color w:val="000000"/>
                <w:sz w:val="20"/>
                <w:lang w:val="sv-SE"/>
              </w:rPr>
              <w:t>1</w:t>
            </w:r>
          </w:p>
        </w:tc>
        <w:tc>
          <w:tcPr>
            <w:tcW w:w="0" w:type="auto"/>
          </w:tcPr>
          <w:p w14:paraId="2D0655D8" w14:textId="77777777" w:rsidR="00A77B3E" w:rsidRPr="00800D1B" w:rsidRDefault="00623E14">
            <w:pPr>
              <w:spacing w:before="100"/>
              <w:rPr>
                <w:color w:val="000000"/>
                <w:sz w:val="20"/>
                <w:lang w:val="sv-SE"/>
              </w:rPr>
            </w:pPr>
            <w:r w:rsidRPr="00800D1B">
              <w:rPr>
                <w:color w:val="000000"/>
                <w:sz w:val="20"/>
                <w:lang w:val="sv-SE"/>
              </w:rPr>
              <w:t>RSO1.1</w:t>
            </w:r>
          </w:p>
        </w:tc>
        <w:tc>
          <w:tcPr>
            <w:tcW w:w="0" w:type="auto"/>
          </w:tcPr>
          <w:p w14:paraId="2D0655D9" w14:textId="77777777" w:rsidR="00A77B3E" w:rsidRPr="00800D1B" w:rsidRDefault="00623E14">
            <w:pPr>
              <w:spacing w:before="100"/>
              <w:rPr>
                <w:color w:val="000000"/>
                <w:sz w:val="20"/>
                <w:lang w:val="sv-SE"/>
              </w:rPr>
            </w:pPr>
            <w:r w:rsidRPr="00800D1B">
              <w:rPr>
                <w:color w:val="000000"/>
                <w:sz w:val="20"/>
                <w:lang w:val="sv-SE"/>
              </w:rPr>
              <w:t>Eruf</w:t>
            </w:r>
          </w:p>
        </w:tc>
        <w:tc>
          <w:tcPr>
            <w:tcW w:w="0" w:type="auto"/>
          </w:tcPr>
          <w:p w14:paraId="2D0655DA" w14:textId="77777777" w:rsidR="00A77B3E" w:rsidRPr="00800D1B" w:rsidRDefault="00623E14">
            <w:pPr>
              <w:spacing w:before="100"/>
              <w:rPr>
                <w:color w:val="000000"/>
                <w:sz w:val="20"/>
                <w:lang w:val="sv-SE"/>
              </w:rPr>
            </w:pPr>
            <w:r w:rsidRPr="00800D1B">
              <w:rPr>
                <w:color w:val="000000"/>
                <w:sz w:val="20"/>
                <w:lang w:val="sv-SE"/>
              </w:rPr>
              <w:t>Mer utvecklade regioner</w:t>
            </w:r>
          </w:p>
        </w:tc>
        <w:tc>
          <w:tcPr>
            <w:tcW w:w="0" w:type="auto"/>
          </w:tcPr>
          <w:p w14:paraId="2D0655DB" w14:textId="77777777" w:rsidR="00A77B3E" w:rsidRPr="00800D1B" w:rsidRDefault="00623E14">
            <w:pPr>
              <w:spacing w:before="100"/>
              <w:rPr>
                <w:color w:val="000000"/>
                <w:sz w:val="20"/>
                <w:lang w:val="sv-SE"/>
              </w:rPr>
            </w:pPr>
            <w:r w:rsidRPr="00800D1B">
              <w:rPr>
                <w:color w:val="000000"/>
                <w:sz w:val="20"/>
                <w:lang w:val="sv-SE"/>
              </w:rPr>
              <w:t>RCO01</w:t>
            </w:r>
          </w:p>
        </w:tc>
        <w:tc>
          <w:tcPr>
            <w:tcW w:w="0" w:type="auto"/>
          </w:tcPr>
          <w:p w14:paraId="2D0655DC" w14:textId="77777777" w:rsidR="00A77B3E" w:rsidRPr="00800D1B" w:rsidRDefault="00623E14" w:rsidP="00754A28">
            <w:pPr>
              <w:spacing w:before="100" w:after="100"/>
              <w:rPr>
                <w:color w:val="000000"/>
                <w:sz w:val="20"/>
                <w:lang w:val="sv-SE"/>
              </w:rPr>
            </w:pPr>
            <w:r w:rsidRPr="00800D1B">
              <w:rPr>
                <w:color w:val="000000"/>
                <w:sz w:val="20"/>
                <w:lang w:val="sv-SE"/>
              </w:rPr>
              <w:t>Företag som får stöd (varav mikroföretag, små företag, medelstora företag, stora företag)</w:t>
            </w:r>
          </w:p>
        </w:tc>
        <w:tc>
          <w:tcPr>
            <w:tcW w:w="0" w:type="auto"/>
          </w:tcPr>
          <w:p w14:paraId="2D0655DD" w14:textId="77777777" w:rsidR="00A77B3E" w:rsidRPr="00800D1B" w:rsidRDefault="00623E14">
            <w:pPr>
              <w:spacing w:before="100"/>
              <w:rPr>
                <w:color w:val="000000"/>
                <w:sz w:val="20"/>
                <w:lang w:val="sv-SE"/>
              </w:rPr>
            </w:pPr>
            <w:r w:rsidRPr="00800D1B">
              <w:rPr>
                <w:color w:val="000000"/>
                <w:sz w:val="20"/>
                <w:lang w:val="sv-SE"/>
              </w:rPr>
              <w:t>företag</w:t>
            </w:r>
          </w:p>
        </w:tc>
        <w:tc>
          <w:tcPr>
            <w:tcW w:w="0" w:type="auto"/>
          </w:tcPr>
          <w:p w14:paraId="2D0655DE" w14:textId="77777777" w:rsidR="00A77B3E" w:rsidRPr="00800D1B" w:rsidRDefault="00623E14">
            <w:pPr>
              <w:spacing w:before="100"/>
              <w:jc w:val="right"/>
              <w:rPr>
                <w:color w:val="000000"/>
                <w:sz w:val="20"/>
                <w:lang w:val="sv-SE"/>
              </w:rPr>
            </w:pPr>
            <w:r w:rsidRPr="00800D1B">
              <w:rPr>
                <w:color w:val="000000"/>
                <w:sz w:val="20"/>
                <w:lang w:val="sv-SE"/>
              </w:rPr>
              <w:t>23,00</w:t>
            </w:r>
          </w:p>
        </w:tc>
        <w:tc>
          <w:tcPr>
            <w:tcW w:w="0" w:type="auto"/>
          </w:tcPr>
          <w:p w14:paraId="2D0655DF" w14:textId="77777777" w:rsidR="00A77B3E" w:rsidRPr="00800D1B" w:rsidRDefault="00623E14">
            <w:pPr>
              <w:spacing w:before="100"/>
              <w:jc w:val="right"/>
              <w:rPr>
                <w:color w:val="000000"/>
                <w:sz w:val="20"/>
                <w:lang w:val="sv-SE"/>
              </w:rPr>
            </w:pPr>
            <w:r w:rsidRPr="00800D1B">
              <w:rPr>
                <w:color w:val="000000"/>
                <w:sz w:val="20"/>
                <w:lang w:val="sv-SE"/>
              </w:rPr>
              <w:t>233,00</w:t>
            </w:r>
          </w:p>
        </w:tc>
      </w:tr>
      <w:tr w:rsidR="003422DB" w:rsidRPr="00800D1B" w14:paraId="2D0655EA" w14:textId="77777777" w:rsidTr="000E2E27">
        <w:tc>
          <w:tcPr>
            <w:tcW w:w="0" w:type="auto"/>
          </w:tcPr>
          <w:p w14:paraId="2D0655E1" w14:textId="77777777" w:rsidR="00A77B3E" w:rsidRPr="00800D1B" w:rsidRDefault="00623E14">
            <w:pPr>
              <w:spacing w:before="100"/>
              <w:rPr>
                <w:color w:val="000000"/>
                <w:sz w:val="20"/>
                <w:lang w:val="sv-SE"/>
              </w:rPr>
            </w:pPr>
            <w:r w:rsidRPr="00800D1B">
              <w:rPr>
                <w:color w:val="000000"/>
                <w:sz w:val="20"/>
                <w:lang w:val="sv-SE"/>
              </w:rPr>
              <w:t>1</w:t>
            </w:r>
          </w:p>
        </w:tc>
        <w:tc>
          <w:tcPr>
            <w:tcW w:w="0" w:type="auto"/>
          </w:tcPr>
          <w:p w14:paraId="2D0655E2" w14:textId="77777777" w:rsidR="00A77B3E" w:rsidRPr="00800D1B" w:rsidRDefault="00623E14">
            <w:pPr>
              <w:spacing w:before="100"/>
              <w:rPr>
                <w:color w:val="000000"/>
                <w:sz w:val="20"/>
                <w:lang w:val="sv-SE"/>
              </w:rPr>
            </w:pPr>
            <w:r w:rsidRPr="00800D1B">
              <w:rPr>
                <w:color w:val="000000"/>
                <w:sz w:val="20"/>
                <w:lang w:val="sv-SE"/>
              </w:rPr>
              <w:t>RSO1.1</w:t>
            </w:r>
          </w:p>
        </w:tc>
        <w:tc>
          <w:tcPr>
            <w:tcW w:w="0" w:type="auto"/>
          </w:tcPr>
          <w:p w14:paraId="2D0655E3" w14:textId="77777777" w:rsidR="00A77B3E" w:rsidRPr="00800D1B" w:rsidRDefault="00623E14">
            <w:pPr>
              <w:spacing w:before="100"/>
              <w:rPr>
                <w:color w:val="000000"/>
                <w:sz w:val="20"/>
                <w:lang w:val="sv-SE"/>
              </w:rPr>
            </w:pPr>
            <w:r w:rsidRPr="00800D1B">
              <w:rPr>
                <w:color w:val="000000"/>
                <w:sz w:val="20"/>
                <w:lang w:val="sv-SE"/>
              </w:rPr>
              <w:t>Eruf</w:t>
            </w:r>
          </w:p>
        </w:tc>
        <w:tc>
          <w:tcPr>
            <w:tcW w:w="0" w:type="auto"/>
          </w:tcPr>
          <w:p w14:paraId="2D0655E4" w14:textId="77777777" w:rsidR="00A77B3E" w:rsidRPr="00800D1B" w:rsidRDefault="00623E14">
            <w:pPr>
              <w:spacing w:before="100"/>
              <w:rPr>
                <w:color w:val="000000"/>
                <w:sz w:val="20"/>
                <w:lang w:val="sv-SE"/>
              </w:rPr>
            </w:pPr>
            <w:r w:rsidRPr="00800D1B">
              <w:rPr>
                <w:color w:val="000000"/>
                <w:sz w:val="20"/>
                <w:lang w:val="sv-SE"/>
              </w:rPr>
              <w:t>Mer utvecklade regioner</w:t>
            </w:r>
          </w:p>
        </w:tc>
        <w:tc>
          <w:tcPr>
            <w:tcW w:w="0" w:type="auto"/>
          </w:tcPr>
          <w:p w14:paraId="2D0655E5" w14:textId="77777777" w:rsidR="00A77B3E" w:rsidRPr="00800D1B" w:rsidRDefault="00623E14">
            <w:pPr>
              <w:spacing w:before="100"/>
              <w:rPr>
                <w:color w:val="000000"/>
                <w:sz w:val="20"/>
                <w:lang w:val="sv-SE"/>
              </w:rPr>
            </w:pPr>
            <w:r w:rsidRPr="00800D1B">
              <w:rPr>
                <w:color w:val="000000"/>
                <w:sz w:val="20"/>
                <w:lang w:val="sv-SE"/>
              </w:rPr>
              <w:t>RCO04</w:t>
            </w:r>
          </w:p>
        </w:tc>
        <w:tc>
          <w:tcPr>
            <w:tcW w:w="0" w:type="auto"/>
          </w:tcPr>
          <w:p w14:paraId="2D0655E6" w14:textId="77777777" w:rsidR="00A77B3E" w:rsidRPr="00800D1B" w:rsidRDefault="00623E14" w:rsidP="00754A28">
            <w:pPr>
              <w:spacing w:before="100" w:after="100"/>
              <w:rPr>
                <w:color w:val="000000"/>
                <w:sz w:val="20"/>
                <w:lang w:val="sv-SE"/>
              </w:rPr>
            </w:pPr>
            <w:r w:rsidRPr="00800D1B">
              <w:rPr>
                <w:color w:val="000000"/>
                <w:sz w:val="20"/>
                <w:lang w:val="sv-SE"/>
              </w:rPr>
              <w:t>Företag som får icke-finansiellt stöd</w:t>
            </w:r>
          </w:p>
        </w:tc>
        <w:tc>
          <w:tcPr>
            <w:tcW w:w="0" w:type="auto"/>
          </w:tcPr>
          <w:p w14:paraId="2D0655E7" w14:textId="77777777" w:rsidR="00A77B3E" w:rsidRPr="00800D1B" w:rsidRDefault="00623E14">
            <w:pPr>
              <w:spacing w:before="100"/>
              <w:rPr>
                <w:color w:val="000000"/>
                <w:sz w:val="20"/>
                <w:lang w:val="sv-SE"/>
              </w:rPr>
            </w:pPr>
            <w:r w:rsidRPr="00800D1B">
              <w:rPr>
                <w:color w:val="000000"/>
                <w:sz w:val="20"/>
                <w:lang w:val="sv-SE"/>
              </w:rPr>
              <w:t>företag</w:t>
            </w:r>
          </w:p>
        </w:tc>
        <w:tc>
          <w:tcPr>
            <w:tcW w:w="0" w:type="auto"/>
          </w:tcPr>
          <w:p w14:paraId="2D0655E8" w14:textId="77777777" w:rsidR="00A77B3E" w:rsidRPr="00800D1B" w:rsidRDefault="00623E14">
            <w:pPr>
              <w:spacing w:before="100"/>
              <w:jc w:val="right"/>
              <w:rPr>
                <w:color w:val="000000"/>
                <w:sz w:val="20"/>
                <w:lang w:val="sv-SE"/>
              </w:rPr>
            </w:pPr>
            <w:r w:rsidRPr="00800D1B">
              <w:rPr>
                <w:color w:val="000000"/>
                <w:sz w:val="20"/>
                <w:lang w:val="sv-SE"/>
              </w:rPr>
              <w:t>23,00</w:t>
            </w:r>
          </w:p>
        </w:tc>
        <w:tc>
          <w:tcPr>
            <w:tcW w:w="0" w:type="auto"/>
          </w:tcPr>
          <w:p w14:paraId="2D0655E9" w14:textId="77777777" w:rsidR="00A77B3E" w:rsidRPr="00800D1B" w:rsidRDefault="00623E14">
            <w:pPr>
              <w:spacing w:before="100"/>
              <w:jc w:val="right"/>
              <w:rPr>
                <w:color w:val="000000"/>
                <w:sz w:val="20"/>
                <w:lang w:val="sv-SE"/>
              </w:rPr>
            </w:pPr>
            <w:r w:rsidRPr="00800D1B">
              <w:rPr>
                <w:color w:val="000000"/>
                <w:sz w:val="20"/>
                <w:lang w:val="sv-SE"/>
              </w:rPr>
              <w:t>233,00</w:t>
            </w:r>
          </w:p>
        </w:tc>
      </w:tr>
      <w:tr w:rsidR="003422DB" w:rsidRPr="00800D1B" w14:paraId="2D0655F4" w14:textId="77777777" w:rsidTr="000E2E27">
        <w:tc>
          <w:tcPr>
            <w:tcW w:w="0" w:type="auto"/>
          </w:tcPr>
          <w:p w14:paraId="2D0655EB" w14:textId="77777777" w:rsidR="00A77B3E" w:rsidRPr="00800D1B" w:rsidRDefault="00623E14">
            <w:pPr>
              <w:spacing w:before="100"/>
              <w:rPr>
                <w:color w:val="000000"/>
                <w:sz w:val="20"/>
                <w:lang w:val="sv-SE"/>
              </w:rPr>
            </w:pPr>
            <w:r w:rsidRPr="00800D1B">
              <w:rPr>
                <w:color w:val="000000"/>
                <w:sz w:val="20"/>
                <w:lang w:val="sv-SE"/>
              </w:rPr>
              <w:t>1</w:t>
            </w:r>
          </w:p>
        </w:tc>
        <w:tc>
          <w:tcPr>
            <w:tcW w:w="0" w:type="auto"/>
          </w:tcPr>
          <w:p w14:paraId="2D0655EC" w14:textId="77777777" w:rsidR="00A77B3E" w:rsidRPr="00800D1B" w:rsidRDefault="00623E14">
            <w:pPr>
              <w:spacing w:before="100"/>
              <w:rPr>
                <w:color w:val="000000"/>
                <w:sz w:val="20"/>
                <w:lang w:val="sv-SE"/>
              </w:rPr>
            </w:pPr>
            <w:r w:rsidRPr="00800D1B">
              <w:rPr>
                <w:color w:val="000000"/>
                <w:sz w:val="20"/>
                <w:lang w:val="sv-SE"/>
              </w:rPr>
              <w:t>RSO1.1</w:t>
            </w:r>
          </w:p>
        </w:tc>
        <w:tc>
          <w:tcPr>
            <w:tcW w:w="0" w:type="auto"/>
          </w:tcPr>
          <w:p w14:paraId="2D0655ED" w14:textId="77777777" w:rsidR="00A77B3E" w:rsidRPr="00800D1B" w:rsidRDefault="00623E14">
            <w:pPr>
              <w:spacing w:before="100"/>
              <w:rPr>
                <w:color w:val="000000"/>
                <w:sz w:val="20"/>
                <w:lang w:val="sv-SE"/>
              </w:rPr>
            </w:pPr>
            <w:r w:rsidRPr="00800D1B">
              <w:rPr>
                <w:color w:val="000000"/>
                <w:sz w:val="20"/>
                <w:lang w:val="sv-SE"/>
              </w:rPr>
              <w:t>Eruf</w:t>
            </w:r>
          </w:p>
        </w:tc>
        <w:tc>
          <w:tcPr>
            <w:tcW w:w="0" w:type="auto"/>
          </w:tcPr>
          <w:p w14:paraId="2D0655EE" w14:textId="77777777" w:rsidR="00A77B3E" w:rsidRPr="00800D1B" w:rsidRDefault="00623E14">
            <w:pPr>
              <w:spacing w:before="100"/>
              <w:rPr>
                <w:color w:val="000000"/>
                <w:sz w:val="20"/>
                <w:lang w:val="sv-SE"/>
              </w:rPr>
            </w:pPr>
            <w:r w:rsidRPr="00800D1B">
              <w:rPr>
                <w:color w:val="000000"/>
                <w:sz w:val="20"/>
                <w:lang w:val="sv-SE"/>
              </w:rPr>
              <w:t>Mer utvecklade regioner</w:t>
            </w:r>
          </w:p>
        </w:tc>
        <w:tc>
          <w:tcPr>
            <w:tcW w:w="0" w:type="auto"/>
          </w:tcPr>
          <w:p w14:paraId="2D0655EF" w14:textId="77777777" w:rsidR="00A77B3E" w:rsidRPr="00800D1B" w:rsidRDefault="00623E14">
            <w:pPr>
              <w:spacing w:before="100"/>
              <w:rPr>
                <w:color w:val="000000"/>
                <w:sz w:val="20"/>
                <w:lang w:val="sv-SE"/>
              </w:rPr>
            </w:pPr>
            <w:r w:rsidRPr="00800D1B">
              <w:rPr>
                <w:color w:val="000000"/>
                <w:sz w:val="20"/>
                <w:lang w:val="sv-SE"/>
              </w:rPr>
              <w:t>RCO06</w:t>
            </w:r>
          </w:p>
        </w:tc>
        <w:tc>
          <w:tcPr>
            <w:tcW w:w="0" w:type="auto"/>
          </w:tcPr>
          <w:p w14:paraId="2D0655F0" w14:textId="77777777" w:rsidR="00A77B3E" w:rsidRPr="00800D1B" w:rsidRDefault="00623E14" w:rsidP="00754A28">
            <w:pPr>
              <w:spacing w:before="100" w:after="100"/>
              <w:rPr>
                <w:color w:val="000000"/>
                <w:sz w:val="20"/>
                <w:lang w:val="sv-SE"/>
              </w:rPr>
            </w:pPr>
            <w:r w:rsidRPr="00800D1B">
              <w:rPr>
                <w:color w:val="000000"/>
                <w:sz w:val="20"/>
                <w:lang w:val="sv-SE"/>
              </w:rPr>
              <w:t>Forskare som arbetar vid forskningsanläggningar som får stöd</w:t>
            </w:r>
          </w:p>
        </w:tc>
        <w:tc>
          <w:tcPr>
            <w:tcW w:w="0" w:type="auto"/>
          </w:tcPr>
          <w:p w14:paraId="2D0655F1" w14:textId="77777777" w:rsidR="00A77B3E" w:rsidRPr="00800D1B" w:rsidRDefault="00623E14">
            <w:pPr>
              <w:spacing w:before="100"/>
              <w:rPr>
                <w:color w:val="000000"/>
                <w:sz w:val="20"/>
                <w:lang w:val="sv-SE"/>
              </w:rPr>
            </w:pPr>
            <w:r w:rsidRPr="00800D1B">
              <w:rPr>
                <w:color w:val="000000"/>
                <w:sz w:val="20"/>
                <w:lang w:val="sv-SE"/>
              </w:rPr>
              <w:t>heltidsekvivalenter per år</w:t>
            </w:r>
          </w:p>
        </w:tc>
        <w:tc>
          <w:tcPr>
            <w:tcW w:w="0" w:type="auto"/>
          </w:tcPr>
          <w:p w14:paraId="2D0655F2" w14:textId="77777777" w:rsidR="00A77B3E" w:rsidRPr="00800D1B" w:rsidRDefault="00623E14">
            <w:pPr>
              <w:spacing w:before="100"/>
              <w:jc w:val="right"/>
              <w:rPr>
                <w:color w:val="000000"/>
                <w:sz w:val="20"/>
                <w:lang w:val="sv-SE"/>
              </w:rPr>
            </w:pPr>
            <w:r w:rsidRPr="00800D1B">
              <w:rPr>
                <w:color w:val="000000"/>
                <w:sz w:val="20"/>
                <w:lang w:val="sv-SE"/>
              </w:rPr>
              <w:t>2,00</w:t>
            </w:r>
          </w:p>
        </w:tc>
        <w:tc>
          <w:tcPr>
            <w:tcW w:w="0" w:type="auto"/>
          </w:tcPr>
          <w:p w14:paraId="2D0655F3" w14:textId="77777777" w:rsidR="00A77B3E" w:rsidRPr="00800D1B" w:rsidRDefault="00623E14">
            <w:pPr>
              <w:spacing w:before="100"/>
              <w:jc w:val="right"/>
              <w:rPr>
                <w:color w:val="000000"/>
                <w:sz w:val="20"/>
                <w:lang w:val="sv-SE"/>
              </w:rPr>
            </w:pPr>
            <w:r w:rsidRPr="00800D1B">
              <w:rPr>
                <w:color w:val="000000"/>
                <w:sz w:val="20"/>
                <w:lang w:val="sv-SE"/>
              </w:rPr>
              <w:t>20,00</w:t>
            </w:r>
          </w:p>
        </w:tc>
      </w:tr>
      <w:tr w:rsidR="003422DB" w:rsidRPr="00800D1B" w14:paraId="2D0655FE" w14:textId="77777777" w:rsidTr="000E2E27">
        <w:tc>
          <w:tcPr>
            <w:tcW w:w="0" w:type="auto"/>
          </w:tcPr>
          <w:p w14:paraId="2D0655F5" w14:textId="77777777" w:rsidR="00A77B3E" w:rsidRPr="00800D1B" w:rsidRDefault="00623E14">
            <w:pPr>
              <w:spacing w:before="100"/>
              <w:rPr>
                <w:color w:val="000000"/>
                <w:sz w:val="20"/>
                <w:lang w:val="sv-SE"/>
              </w:rPr>
            </w:pPr>
            <w:r w:rsidRPr="00800D1B">
              <w:rPr>
                <w:color w:val="000000"/>
                <w:sz w:val="20"/>
                <w:lang w:val="sv-SE"/>
              </w:rPr>
              <w:t>1</w:t>
            </w:r>
          </w:p>
        </w:tc>
        <w:tc>
          <w:tcPr>
            <w:tcW w:w="0" w:type="auto"/>
          </w:tcPr>
          <w:p w14:paraId="2D0655F6" w14:textId="77777777" w:rsidR="00A77B3E" w:rsidRPr="00800D1B" w:rsidRDefault="00623E14">
            <w:pPr>
              <w:spacing w:before="100"/>
              <w:rPr>
                <w:color w:val="000000"/>
                <w:sz w:val="20"/>
                <w:lang w:val="sv-SE"/>
              </w:rPr>
            </w:pPr>
            <w:r w:rsidRPr="00800D1B">
              <w:rPr>
                <w:color w:val="000000"/>
                <w:sz w:val="20"/>
                <w:lang w:val="sv-SE"/>
              </w:rPr>
              <w:t>RSO1.1</w:t>
            </w:r>
          </w:p>
        </w:tc>
        <w:tc>
          <w:tcPr>
            <w:tcW w:w="0" w:type="auto"/>
          </w:tcPr>
          <w:p w14:paraId="2D0655F7" w14:textId="77777777" w:rsidR="00A77B3E" w:rsidRPr="00800D1B" w:rsidRDefault="00623E14">
            <w:pPr>
              <w:spacing w:before="100"/>
              <w:rPr>
                <w:color w:val="000000"/>
                <w:sz w:val="20"/>
                <w:lang w:val="sv-SE"/>
              </w:rPr>
            </w:pPr>
            <w:r w:rsidRPr="00800D1B">
              <w:rPr>
                <w:color w:val="000000"/>
                <w:sz w:val="20"/>
                <w:lang w:val="sv-SE"/>
              </w:rPr>
              <w:t>Eruf</w:t>
            </w:r>
          </w:p>
        </w:tc>
        <w:tc>
          <w:tcPr>
            <w:tcW w:w="0" w:type="auto"/>
          </w:tcPr>
          <w:p w14:paraId="2D0655F8" w14:textId="77777777" w:rsidR="00A77B3E" w:rsidRPr="00800D1B" w:rsidRDefault="00623E14">
            <w:pPr>
              <w:spacing w:before="100"/>
              <w:rPr>
                <w:color w:val="000000"/>
                <w:sz w:val="20"/>
                <w:lang w:val="sv-SE"/>
              </w:rPr>
            </w:pPr>
            <w:r w:rsidRPr="00800D1B">
              <w:rPr>
                <w:color w:val="000000"/>
                <w:sz w:val="20"/>
                <w:lang w:val="sv-SE"/>
              </w:rPr>
              <w:t>Mer utvecklade regioner</w:t>
            </w:r>
          </w:p>
        </w:tc>
        <w:tc>
          <w:tcPr>
            <w:tcW w:w="0" w:type="auto"/>
          </w:tcPr>
          <w:p w14:paraId="2D0655F9" w14:textId="77777777" w:rsidR="00A77B3E" w:rsidRPr="00800D1B" w:rsidRDefault="00623E14">
            <w:pPr>
              <w:spacing w:before="100"/>
              <w:rPr>
                <w:color w:val="000000"/>
                <w:sz w:val="20"/>
                <w:lang w:val="sv-SE"/>
              </w:rPr>
            </w:pPr>
            <w:r w:rsidRPr="00800D1B">
              <w:rPr>
                <w:color w:val="000000"/>
                <w:sz w:val="20"/>
                <w:lang w:val="sv-SE"/>
              </w:rPr>
              <w:t>RCO08</w:t>
            </w:r>
          </w:p>
        </w:tc>
        <w:tc>
          <w:tcPr>
            <w:tcW w:w="0" w:type="auto"/>
          </w:tcPr>
          <w:p w14:paraId="2D0655FA" w14:textId="77777777" w:rsidR="00A77B3E" w:rsidRPr="00800D1B" w:rsidRDefault="00623E14" w:rsidP="00754A28">
            <w:pPr>
              <w:spacing w:before="100" w:after="100"/>
              <w:rPr>
                <w:color w:val="000000"/>
                <w:sz w:val="20"/>
                <w:lang w:val="sv-SE"/>
              </w:rPr>
            </w:pPr>
            <w:r w:rsidRPr="00800D1B">
              <w:rPr>
                <w:color w:val="000000"/>
                <w:sz w:val="20"/>
                <w:lang w:val="sv-SE"/>
              </w:rPr>
              <w:t>Nominellt värde på forsknings- och innovationsutrustningen</w:t>
            </w:r>
          </w:p>
        </w:tc>
        <w:tc>
          <w:tcPr>
            <w:tcW w:w="0" w:type="auto"/>
          </w:tcPr>
          <w:p w14:paraId="2D0655FB" w14:textId="77777777" w:rsidR="00A77B3E" w:rsidRPr="00800D1B" w:rsidRDefault="00623E14">
            <w:pPr>
              <w:spacing w:before="100"/>
              <w:rPr>
                <w:color w:val="000000"/>
                <w:sz w:val="20"/>
                <w:lang w:val="sv-SE"/>
              </w:rPr>
            </w:pPr>
            <w:r w:rsidRPr="00800D1B">
              <w:rPr>
                <w:color w:val="000000"/>
                <w:sz w:val="20"/>
                <w:lang w:val="sv-SE"/>
              </w:rPr>
              <w:t>euro</w:t>
            </w:r>
          </w:p>
        </w:tc>
        <w:tc>
          <w:tcPr>
            <w:tcW w:w="0" w:type="auto"/>
          </w:tcPr>
          <w:p w14:paraId="2D0655FC" w14:textId="77777777" w:rsidR="00A77B3E" w:rsidRPr="00800D1B" w:rsidRDefault="00623E14">
            <w:pPr>
              <w:spacing w:before="100"/>
              <w:jc w:val="right"/>
              <w:rPr>
                <w:color w:val="000000"/>
                <w:sz w:val="20"/>
                <w:lang w:val="sv-SE"/>
              </w:rPr>
            </w:pPr>
            <w:r w:rsidRPr="00800D1B">
              <w:rPr>
                <w:color w:val="000000"/>
                <w:sz w:val="20"/>
                <w:lang w:val="sv-SE"/>
              </w:rPr>
              <w:t>1 737 165,30</w:t>
            </w:r>
          </w:p>
        </w:tc>
        <w:tc>
          <w:tcPr>
            <w:tcW w:w="0" w:type="auto"/>
          </w:tcPr>
          <w:p w14:paraId="2D0655FD" w14:textId="77777777" w:rsidR="00A77B3E" w:rsidRPr="00800D1B" w:rsidRDefault="00623E14">
            <w:pPr>
              <w:spacing w:before="100"/>
              <w:jc w:val="right"/>
              <w:rPr>
                <w:color w:val="000000"/>
                <w:sz w:val="20"/>
                <w:lang w:val="sv-SE"/>
              </w:rPr>
            </w:pPr>
            <w:r w:rsidRPr="00800D1B">
              <w:rPr>
                <w:color w:val="000000"/>
                <w:sz w:val="20"/>
                <w:lang w:val="sv-SE"/>
              </w:rPr>
              <w:t>17 371 625,50</w:t>
            </w:r>
          </w:p>
        </w:tc>
      </w:tr>
      <w:tr w:rsidR="003422DB" w:rsidRPr="00800D1B" w14:paraId="2D065608" w14:textId="77777777" w:rsidTr="000E2E27">
        <w:tc>
          <w:tcPr>
            <w:tcW w:w="0" w:type="auto"/>
          </w:tcPr>
          <w:p w14:paraId="2D0655FF" w14:textId="77777777" w:rsidR="00A77B3E" w:rsidRPr="00800D1B" w:rsidRDefault="00623E14">
            <w:pPr>
              <w:spacing w:before="100"/>
              <w:rPr>
                <w:color w:val="000000"/>
                <w:sz w:val="20"/>
                <w:lang w:val="sv-SE"/>
              </w:rPr>
            </w:pPr>
            <w:r w:rsidRPr="00800D1B">
              <w:rPr>
                <w:color w:val="000000"/>
                <w:sz w:val="20"/>
                <w:lang w:val="sv-SE"/>
              </w:rPr>
              <w:t>1</w:t>
            </w:r>
          </w:p>
        </w:tc>
        <w:tc>
          <w:tcPr>
            <w:tcW w:w="0" w:type="auto"/>
          </w:tcPr>
          <w:p w14:paraId="2D065600" w14:textId="77777777" w:rsidR="00A77B3E" w:rsidRPr="00800D1B" w:rsidRDefault="00623E14">
            <w:pPr>
              <w:spacing w:before="100"/>
              <w:rPr>
                <w:color w:val="000000"/>
                <w:sz w:val="20"/>
                <w:lang w:val="sv-SE"/>
              </w:rPr>
            </w:pPr>
            <w:r w:rsidRPr="00800D1B">
              <w:rPr>
                <w:color w:val="000000"/>
                <w:sz w:val="20"/>
                <w:lang w:val="sv-SE"/>
              </w:rPr>
              <w:t>RSO1.1</w:t>
            </w:r>
          </w:p>
        </w:tc>
        <w:tc>
          <w:tcPr>
            <w:tcW w:w="0" w:type="auto"/>
          </w:tcPr>
          <w:p w14:paraId="2D065601" w14:textId="77777777" w:rsidR="00A77B3E" w:rsidRPr="00800D1B" w:rsidRDefault="00623E14">
            <w:pPr>
              <w:spacing w:before="100"/>
              <w:rPr>
                <w:color w:val="000000"/>
                <w:sz w:val="20"/>
                <w:lang w:val="sv-SE"/>
              </w:rPr>
            </w:pPr>
            <w:r w:rsidRPr="00800D1B">
              <w:rPr>
                <w:color w:val="000000"/>
                <w:sz w:val="20"/>
                <w:lang w:val="sv-SE"/>
              </w:rPr>
              <w:t>Eruf</w:t>
            </w:r>
          </w:p>
        </w:tc>
        <w:tc>
          <w:tcPr>
            <w:tcW w:w="0" w:type="auto"/>
          </w:tcPr>
          <w:p w14:paraId="2D065602" w14:textId="77777777" w:rsidR="00A77B3E" w:rsidRPr="00800D1B" w:rsidRDefault="00623E14">
            <w:pPr>
              <w:spacing w:before="100"/>
              <w:rPr>
                <w:color w:val="000000"/>
                <w:sz w:val="20"/>
                <w:lang w:val="sv-SE"/>
              </w:rPr>
            </w:pPr>
            <w:r w:rsidRPr="00800D1B">
              <w:rPr>
                <w:color w:val="000000"/>
                <w:sz w:val="20"/>
                <w:lang w:val="sv-SE"/>
              </w:rPr>
              <w:t>Mer utvecklade regioner</w:t>
            </w:r>
          </w:p>
        </w:tc>
        <w:tc>
          <w:tcPr>
            <w:tcW w:w="0" w:type="auto"/>
          </w:tcPr>
          <w:p w14:paraId="2D065603" w14:textId="77777777" w:rsidR="00A77B3E" w:rsidRPr="00800D1B" w:rsidRDefault="00623E14">
            <w:pPr>
              <w:spacing w:before="100"/>
              <w:rPr>
                <w:color w:val="000000"/>
                <w:sz w:val="20"/>
                <w:lang w:val="sv-SE"/>
              </w:rPr>
            </w:pPr>
            <w:r w:rsidRPr="00800D1B">
              <w:rPr>
                <w:color w:val="000000"/>
                <w:sz w:val="20"/>
                <w:lang w:val="sv-SE"/>
              </w:rPr>
              <w:t>RCO10</w:t>
            </w:r>
          </w:p>
        </w:tc>
        <w:tc>
          <w:tcPr>
            <w:tcW w:w="0" w:type="auto"/>
          </w:tcPr>
          <w:p w14:paraId="2D065604" w14:textId="77777777" w:rsidR="00A77B3E" w:rsidRPr="00800D1B" w:rsidRDefault="00623E14" w:rsidP="00754A28">
            <w:pPr>
              <w:spacing w:before="100" w:after="100"/>
              <w:rPr>
                <w:color w:val="000000"/>
                <w:sz w:val="20"/>
                <w:lang w:val="sv-SE"/>
              </w:rPr>
            </w:pPr>
            <w:r w:rsidRPr="00800D1B">
              <w:rPr>
                <w:color w:val="000000"/>
                <w:sz w:val="20"/>
                <w:lang w:val="sv-SE"/>
              </w:rPr>
              <w:t>Företag som samarbetar med forskningsorganisationer</w:t>
            </w:r>
          </w:p>
        </w:tc>
        <w:tc>
          <w:tcPr>
            <w:tcW w:w="0" w:type="auto"/>
          </w:tcPr>
          <w:p w14:paraId="2D065605" w14:textId="77777777" w:rsidR="00A77B3E" w:rsidRPr="00800D1B" w:rsidRDefault="00623E14">
            <w:pPr>
              <w:spacing w:before="100"/>
              <w:rPr>
                <w:color w:val="000000"/>
                <w:sz w:val="20"/>
                <w:lang w:val="sv-SE"/>
              </w:rPr>
            </w:pPr>
            <w:r w:rsidRPr="00800D1B">
              <w:rPr>
                <w:color w:val="000000"/>
                <w:sz w:val="20"/>
                <w:lang w:val="sv-SE"/>
              </w:rPr>
              <w:t>företag</w:t>
            </w:r>
          </w:p>
        </w:tc>
        <w:tc>
          <w:tcPr>
            <w:tcW w:w="0" w:type="auto"/>
          </w:tcPr>
          <w:p w14:paraId="2D065606" w14:textId="77777777" w:rsidR="00A77B3E" w:rsidRPr="00800D1B" w:rsidRDefault="00623E14">
            <w:pPr>
              <w:spacing w:before="100"/>
              <w:jc w:val="right"/>
              <w:rPr>
                <w:color w:val="000000"/>
                <w:sz w:val="20"/>
                <w:lang w:val="sv-SE"/>
              </w:rPr>
            </w:pPr>
            <w:r w:rsidRPr="00800D1B">
              <w:rPr>
                <w:color w:val="000000"/>
                <w:sz w:val="20"/>
                <w:lang w:val="sv-SE"/>
              </w:rPr>
              <w:t>5,00</w:t>
            </w:r>
          </w:p>
        </w:tc>
        <w:tc>
          <w:tcPr>
            <w:tcW w:w="0" w:type="auto"/>
          </w:tcPr>
          <w:p w14:paraId="2D065607" w14:textId="77777777" w:rsidR="00A77B3E" w:rsidRPr="00800D1B" w:rsidRDefault="00623E14">
            <w:pPr>
              <w:spacing w:before="100"/>
              <w:jc w:val="right"/>
              <w:rPr>
                <w:color w:val="000000"/>
                <w:sz w:val="20"/>
                <w:lang w:val="sv-SE"/>
              </w:rPr>
            </w:pPr>
            <w:r w:rsidRPr="00800D1B">
              <w:rPr>
                <w:color w:val="000000"/>
                <w:sz w:val="20"/>
                <w:lang w:val="sv-SE"/>
              </w:rPr>
              <w:t>47,00</w:t>
            </w:r>
          </w:p>
        </w:tc>
      </w:tr>
      <w:tr w:rsidR="003422DB" w:rsidRPr="00800D1B" w14:paraId="2D065612" w14:textId="77777777" w:rsidTr="000E2E27">
        <w:tc>
          <w:tcPr>
            <w:tcW w:w="0" w:type="auto"/>
          </w:tcPr>
          <w:p w14:paraId="2D065609" w14:textId="77777777" w:rsidR="00A77B3E" w:rsidRPr="00800D1B" w:rsidRDefault="00623E14">
            <w:pPr>
              <w:spacing w:before="100"/>
              <w:rPr>
                <w:color w:val="000000"/>
                <w:sz w:val="20"/>
                <w:lang w:val="sv-SE"/>
              </w:rPr>
            </w:pPr>
            <w:r w:rsidRPr="00800D1B">
              <w:rPr>
                <w:color w:val="000000"/>
                <w:sz w:val="20"/>
                <w:lang w:val="sv-SE"/>
              </w:rPr>
              <w:t>1</w:t>
            </w:r>
          </w:p>
        </w:tc>
        <w:tc>
          <w:tcPr>
            <w:tcW w:w="0" w:type="auto"/>
          </w:tcPr>
          <w:p w14:paraId="2D06560A" w14:textId="77777777" w:rsidR="00A77B3E" w:rsidRPr="00800D1B" w:rsidRDefault="00623E14">
            <w:pPr>
              <w:spacing w:before="100"/>
              <w:rPr>
                <w:color w:val="000000"/>
                <w:sz w:val="20"/>
                <w:lang w:val="sv-SE"/>
              </w:rPr>
            </w:pPr>
            <w:r w:rsidRPr="00800D1B">
              <w:rPr>
                <w:color w:val="000000"/>
                <w:sz w:val="20"/>
                <w:lang w:val="sv-SE"/>
              </w:rPr>
              <w:t>RSO1.1</w:t>
            </w:r>
          </w:p>
        </w:tc>
        <w:tc>
          <w:tcPr>
            <w:tcW w:w="0" w:type="auto"/>
          </w:tcPr>
          <w:p w14:paraId="2D06560B" w14:textId="77777777" w:rsidR="00A77B3E" w:rsidRPr="00800D1B" w:rsidRDefault="00623E14">
            <w:pPr>
              <w:spacing w:before="100"/>
              <w:rPr>
                <w:color w:val="000000"/>
                <w:sz w:val="20"/>
                <w:lang w:val="sv-SE"/>
              </w:rPr>
            </w:pPr>
            <w:r w:rsidRPr="00800D1B">
              <w:rPr>
                <w:color w:val="000000"/>
                <w:sz w:val="20"/>
                <w:lang w:val="sv-SE"/>
              </w:rPr>
              <w:t>Eruf</w:t>
            </w:r>
          </w:p>
        </w:tc>
        <w:tc>
          <w:tcPr>
            <w:tcW w:w="0" w:type="auto"/>
          </w:tcPr>
          <w:p w14:paraId="2D06560C" w14:textId="77777777" w:rsidR="00A77B3E" w:rsidRPr="00800D1B" w:rsidRDefault="00623E14" w:rsidP="00754A28">
            <w:pPr>
              <w:spacing w:before="100" w:after="100"/>
              <w:rPr>
                <w:color w:val="000000"/>
                <w:sz w:val="20"/>
                <w:lang w:val="sv-SE"/>
              </w:rPr>
            </w:pPr>
            <w:r w:rsidRPr="00800D1B">
              <w:rPr>
                <w:color w:val="000000"/>
                <w:sz w:val="20"/>
                <w:lang w:val="sv-SE"/>
              </w:rPr>
              <w:t>Mer utvecklade regioner</w:t>
            </w:r>
          </w:p>
        </w:tc>
        <w:tc>
          <w:tcPr>
            <w:tcW w:w="0" w:type="auto"/>
          </w:tcPr>
          <w:p w14:paraId="2D06560D" w14:textId="77777777" w:rsidR="00A77B3E" w:rsidRPr="00800D1B" w:rsidRDefault="00623E14">
            <w:pPr>
              <w:spacing w:before="100"/>
              <w:rPr>
                <w:color w:val="000000"/>
                <w:sz w:val="20"/>
                <w:lang w:val="sv-SE"/>
              </w:rPr>
            </w:pPr>
            <w:r w:rsidRPr="00800D1B">
              <w:rPr>
                <w:color w:val="000000"/>
                <w:sz w:val="20"/>
                <w:lang w:val="sv-SE"/>
              </w:rPr>
              <w:t>SWO01</w:t>
            </w:r>
          </w:p>
        </w:tc>
        <w:tc>
          <w:tcPr>
            <w:tcW w:w="0" w:type="auto"/>
          </w:tcPr>
          <w:p w14:paraId="2D06560E" w14:textId="77777777" w:rsidR="00A77B3E" w:rsidRPr="00800D1B" w:rsidRDefault="00623E14">
            <w:pPr>
              <w:spacing w:before="100"/>
              <w:rPr>
                <w:color w:val="000000"/>
                <w:sz w:val="20"/>
                <w:lang w:val="sv-SE"/>
              </w:rPr>
            </w:pPr>
            <w:r w:rsidRPr="00800D1B">
              <w:rPr>
                <w:color w:val="000000"/>
                <w:sz w:val="20"/>
                <w:lang w:val="sv-SE"/>
              </w:rPr>
              <w:t>Antal organisationer som får stöd</w:t>
            </w:r>
          </w:p>
        </w:tc>
        <w:tc>
          <w:tcPr>
            <w:tcW w:w="0" w:type="auto"/>
          </w:tcPr>
          <w:p w14:paraId="2D06560F" w14:textId="77777777" w:rsidR="00A77B3E" w:rsidRPr="00800D1B" w:rsidRDefault="00623E14">
            <w:pPr>
              <w:spacing w:before="100"/>
              <w:rPr>
                <w:color w:val="000000"/>
                <w:sz w:val="20"/>
                <w:lang w:val="sv-SE"/>
              </w:rPr>
            </w:pPr>
            <w:r w:rsidRPr="00800D1B">
              <w:rPr>
                <w:color w:val="000000"/>
                <w:sz w:val="20"/>
                <w:lang w:val="sv-SE"/>
              </w:rPr>
              <w:t>Organisationer</w:t>
            </w:r>
          </w:p>
        </w:tc>
        <w:tc>
          <w:tcPr>
            <w:tcW w:w="0" w:type="auto"/>
          </w:tcPr>
          <w:p w14:paraId="2D065610" w14:textId="77777777" w:rsidR="00A77B3E" w:rsidRPr="00800D1B" w:rsidRDefault="00623E14">
            <w:pPr>
              <w:spacing w:before="100"/>
              <w:jc w:val="right"/>
              <w:rPr>
                <w:color w:val="000000"/>
                <w:sz w:val="20"/>
                <w:lang w:val="sv-SE"/>
              </w:rPr>
            </w:pPr>
            <w:r w:rsidRPr="00800D1B">
              <w:rPr>
                <w:color w:val="000000"/>
                <w:sz w:val="20"/>
                <w:lang w:val="sv-SE"/>
              </w:rPr>
              <w:t>1,00</w:t>
            </w:r>
          </w:p>
        </w:tc>
        <w:tc>
          <w:tcPr>
            <w:tcW w:w="0" w:type="auto"/>
          </w:tcPr>
          <w:p w14:paraId="2D065611" w14:textId="77777777" w:rsidR="00A77B3E" w:rsidRPr="00800D1B" w:rsidRDefault="00623E14">
            <w:pPr>
              <w:spacing w:before="100"/>
              <w:jc w:val="right"/>
              <w:rPr>
                <w:color w:val="000000"/>
                <w:sz w:val="20"/>
                <w:lang w:val="sv-SE"/>
              </w:rPr>
            </w:pPr>
            <w:r w:rsidRPr="00800D1B">
              <w:rPr>
                <w:color w:val="000000"/>
                <w:sz w:val="20"/>
                <w:lang w:val="sv-SE"/>
              </w:rPr>
              <w:t>10,00</w:t>
            </w:r>
          </w:p>
        </w:tc>
      </w:tr>
      <w:tr w:rsidR="003422DB" w:rsidRPr="00800D1B" w14:paraId="2D06561C" w14:textId="77777777" w:rsidTr="000E2E27">
        <w:tc>
          <w:tcPr>
            <w:tcW w:w="0" w:type="auto"/>
          </w:tcPr>
          <w:p w14:paraId="2D065613" w14:textId="77777777" w:rsidR="00A77B3E" w:rsidRPr="00800D1B" w:rsidRDefault="00623E14">
            <w:pPr>
              <w:spacing w:before="100"/>
              <w:rPr>
                <w:color w:val="000000"/>
                <w:sz w:val="20"/>
                <w:lang w:val="sv-SE"/>
              </w:rPr>
            </w:pPr>
            <w:r w:rsidRPr="00800D1B">
              <w:rPr>
                <w:color w:val="000000"/>
                <w:sz w:val="20"/>
                <w:lang w:val="sv-SE"/>
              </w:rPr>
              <w:t>1</w:t>
            </w:r>
          </w:p>
        </w:tc>
        <w:tc>
          <w:tcPr>
            <w:tcW w:w="0" w:type="auto"/>
          </w:tcPr>
          <w:p w14:paraId="2D065614" w14:textId="77777777" w:rsidR="00A77B3E" w:rsidRPr="00800D1B" w:rsidRDefault="00623E14">
            <w:pPr>
              <w:spacing w:before="100"/>
              <w:rPr>
                <w:color w:val="000000"/>
                <w:sz w:val="20"/>
                <w:lang w:val="sv-SE"/>
              </w:rPr>
            </w:pPr>
            <w:r w:rsidRPr="00800D1B">
              <w:rPr>
                <w:color w:val="000000"/>
                <w:sz w:val="20"/>
                <w:lang w:val="sv-SE"/>
              </w:rPr>
              <w:t>RSO1.1</w:t>
            </w:r>
          </w:p>
        </w:tc>
        <w:tc>
          <w:tcPr>
            <w:tcW w:w="0" w:type="auto"/>
          </w:tcPr>
          <w:p w14:paraId="2D065615" w14:textId="77777777" w:rsidR="00A77B3E" w:rsidRPr="00800D1B" w:rsidRDefault="00623E14">
            <w:pPr>
              <w:spacing w:before="100"/>
              <w:rPr>
                <w:color w:val="000000"/>
                <w:sz w:val="20"/>
                <w:lang w:val="sv-SE"/>
              </w:rPr>
            </w:pPr>
            <w:r w:rsidRPr="00800D1B">
              <w:rPr>
                <w:color w:val="000000"/>
                <w:sz w:val="20"/>
                <w:lang w:val="sv-SE"/>
              </w:rPr>
              <w:t>Eruf</w:t>
            </w:r>
          </w:p>
        </w:tc>
        <w:tc>
          <w:tcPr>
            <w:tcW w:w="0" w:type="auto"/>
          </w:tcPr>
          <w:p w14:paraId="2D065616" w14:textId="77777777" w:rsidR="00A77B3E" w:rsidRPr="00800D1B" w:rsidRDefault="00623E14" w:rsidP="00754A28">
            <w:pPr>
              <w:spacing w:before="100" w:after="100"/>
              <w:ind w:right="-135"/>
              <w:rPr>
                <w:color w:val="000000"/>
                <w:sz w:val="20"/>
                <w:lang w:val="sv-SE"/>
              </w:rPr>
            </w:pPr>
            <w:r w:rsidRPr="00800D1B">
              <w:rPr>
                <w:color w:val="000000"/>
                <w:sz w:val="20"/>
                <w:lang w:val="sv-SE"/>
              </w:rPr>
              <w:t>De yttersta randområdena eller de nordliga glesbefolkade områdena</w:t>
            </w:r>
          </w:p>
        </w:tc>
        <w:tc>
          <w:tcPr>
            <w:tcW w:w="0" w:type="auto"/>
          </w:tcPr>
          <w:p w14:paraId="2D065617" w14:textId="77777777" w:rsidR="00A77B3E" w:rsidRPr="00800D1B" w:rsidRDefault="00623E14">
            <w:pPr>
              <w:spacing w:before="100"/>
              <w:rPr>
                <w:color w:val="000000"/>
                <w:sz w:val="20"/>
                <w:lang w:val="sv-SE"/>
              </w:rPr>
            </w:pPr>
            <w:r w:rsidRPr="00800D1B">
              <w:rPr>
                <w:color w:val="000000"/>
                <w:sz w:val="20"/>
                <w:lang w:val="sv-SE"/>
              </w:rPr>
              <w:t>RCO01</w:t>
            </w:r>
          </w:p>
        </w:tc>
        <w:tc>
          <w:tcPr>
            <w:tcW w:w="0" w:type="auto"/>
          </w:tcPr>
          <w:p w14:paraId="2D065618" w14:textId="77777777" w:rsidR="00A77B3E" w:rsidRPr="00800D1B" w:rsidRDefault="00623E14">
            <w:pPr>
              <w:spacing w:before="100"/>
              <w:rPr>
                <w:color w:val="000000"/>
                <w:sz w:val="20"/>
                <w:lang w:val="sv-SE"/>
              </w:rPr>
            </w:pPr>
            <w:r w:rsidRPr="00800D1B">
              <w:rPr>
                <w:color w:val="000000"/>
                <w:sz w:val="20"/>
                <w:lang w:val="sv-SE"/>
              </w:rPr>
              <w:t>Företag som får stöd (varav mikroföretag, små företag, medelstora företag, stora företag)</w:t>
            </w:r>
          </w:p>
        </w:tc>
        <w:tc>
          <w:tcPr>
            <w:tcW w:w="0" w:type="auto"/>
          </w:tcPr>
          <w:p w14:paraId="2D065619" w14:textId="77777777" w:rsidR="00A77B3E" w:rsidRPr="00800D1B" w:rsidRDefault="00623E14">
            <w:pPr>
              <w:spacing w:before="100"/>
              <w:rPr>
                <w:color w:val="000000"/>
                <w:sz w:val="20"/>
                <w:lang w:val="sv-SE"/>
              </w:rPr>
            </w:pPr>
            <w:r w:rsidRPr="00800D1B">
              <w:rPr>
                <w:color w:val="000000"/>
                <w:sz w:val="20"/>
                <w:lang w:val="sv-SE"/>
              </w:rPr>
              <w:t>företag</w:t>
            </w:r>
          </w:p>
        </w:tc>
        <w:tc>
          <w:tcPr>
            <w:tcW w:w="0" w:type="auto"/>
          </w:tcPr>
          <w:p w14:paraId="2D06561A" w14:textId="77777777" w:rsidR="00A77B3E" w:rsidRPr="00800D1B" w:rsidRDefault="00623E14">
            <w:pPr>
              <w:spacing w:before="100"/>
              <w:jc w:val="right"/>
              <w:rPr>
                <w:color w:val="000000"/>
                <w:sz w:val="20"/>
                <w:lang w:val="sv-SE"/>
              </w:rPr>
            </w:pPr>
            <w:r w:rsidRPr="00800D1B">
              <w:rPr>
                <w:color w:val="000000"/>
                <w:sz w:val="20"/>
                <w:lang w:val="sv-SE"/>
              </w:rPr>
              <w:t>3,00</w:t>
            </w:r>
          </w:p>
        </w:tc>
        <w:tc>
          <w:tcPr>
            <w:tcW w:w="0" w:type="auto"/>
          </w:tcPr>
          <w:p w14:paraId="2D06561B" w14:textId="77777777" w:rsidR="00A77B3E" w:rsidRPr="00800D1B" w:rsidRDefault="00623E14">
            <w:pPr>
              <w:spacing w:before="100"/>
              <w:jc w:val="right"/>
              <w:rPr>
                <w:color w:val="000000"/>
                <w:sz w:val="20"/>
                <w:lang w:val="sv-SE"/>
              </w:rPr>
            </w:pPr>
            <w:r w:rsidRPr="00800D1B">
              <w:rPr>
                <w:color w:val="000000"/>
                <w:sz w:val="20"/>
                <w:lang w:val="sv-SE"/>
              </w:rPr>
              <w:t>34,00</w:t>
            </w:r>
          </w:p>
        </w:tc>
      </w:tr>
      <w:tr w:rsidR="003422DB" w:rsidRPr="00800D1B" w14:paraId="2D065626" w14:textId="77777777" w:rsidTr="000E2E27">
        <w:tc>
          <w:tcPr>
            <w:tcW w:w="0" w:type="auto"/>
          </w:tcPr>
          <w:p w14:paraId="2D06561D" w14:textId="77777777" w:rsidR="00A77B3E" w:rsidRPr="00800D1B" w:rsidRDefault="00623E14">
            <w:pPr>
              <w:spacing w:before="100"/>
              <w:rPr>
                <w:color w:val="000000"/>
                <w:sz w:val="20"/>
                <w:lang w:val="sv-SE"/>
              </w:rPr>
            </w:pPr>
            <w:r w:rsidRPr="00800D1B">
              <w:rPr>
                <w:color w:val="000000"/>
                <w:sz w:val="20"/>
                <w:lang w:val="sv-SE"/>
              </w:rPr>
              <w:t>1</w:t>
            </w:r>
          </w:p>
        </w:tc>
        <w:tc>
          <w:tcPr>
            <w:tcW w:w="0" w:type="auto"/>
          </w:tcPr>
          <w:p w14:paraId="2D06561E" w14:textId="77777777" w:rsidR="00A77B3E" w:rsidRPr="00800D1B" w:rsidRDefault="00623E14">
            <w:pPr>
              <w:spacing w:before="100"/>
              <w:rPr>
                <w:color w:val="000000"/>
                <w:sz w:val="20"/>
                <w:lang w:val="sv-SE"/>
              </w:rPr>
            </w:pPr>
            <w:r w:rsidRPr="00800D1B">
              <w:rPr>
                <w:color w:val="000000"/>
                <w:sz w:val="20"/>
                <w:lang w:val="sv-SE"/>
              </w:rPr>
              <w:t>RSO1.1</w:t>
            </w:r>
          </w:p>
        </w:tc>
        <w:tc>
          <w:tcPr>
            <w:tcW w:w="0" w:type="auto"/>
          </w:tcPr>
          <w:p w14:paraId="2D06561F" w14:textId="77777777" w:rsidR="00A77B3E" w:rsidRPr="00800D1B" w:rsidRDefault="00623E14">
            <w:pPr>
              <w:spacing w:before="100"/>
              <w:rPr>
                <w:color w:val="000000"/>
                <w:sz w:val="20"/>
                <w:lang w:val="sv-SE"/>
              </w:rPr>
            </w:pPr>
            <w:r w:rsidRPr="00800D1B">
              <w:rPr>
                <w:color w:val="000000"/>
                <w:sz w:val="20"/>
                <w:lang w:val="sv-SE"/>
              </w:rPr>
              <w:t>Eruf</w:t>
            </w:r>
          </w:p>
        </w:tc>
        <w:tc>
          <w:tcPr>
            <w:tcW w:w="0" w:type="auto"/>
          </w:tcPr>
          <w:p w14:paraId="2D065620" w14:textId="77777777" w:rsidR="00A77B3E" w:rsidRPr="00800D1B" w:rsidRDefault="00623E14" w:rsidP="00754A28">
            <w:pPr>
              <w:spacing w:before="100" w:after="100"/>
              <w:ind w:right="-135"/>
              <w:rPr>
                <w:color w:val="000000"/>
                <w:sz w:val="20"/>
                <w:lang w:val="sv-SE"/>
              </w:rPr>
            </w:pPr>
            <w:r w:rsidRPr="00800D1B">
              <w:rPr>
                <w:color w:val="000000"/>
                <w:sz w:val="20"/>
                <w:lang w:val="sv-SE"/>
              </w:rPr>
              <w:t>De yttersta randområdena eller de nordliga glesbefolkade områdena</w:t>
            </w:r>
          </w:p>
        </w:tc>
        <w:tc>
          <w:tcPr>
            <w:tcW w:w="0" w:type="auto"/>
          </w:tcPr>
          <w:p w14:paraId="2D065621" w14:textId="77777777" w:rsidR="00A77B3E" w:rsidRPr="00800D1B" w:rsidRDefault="00623E14">
            <w:pPr>
              <w:spacing w:before="100"/>
              <w:rPr>
                <w:color w:val="000000"/>
                <w:sz w:val="20"/>
                <w:lang w:val="sv-SE"/>
              </w:rPr>
            </w:pPr>
            <w:r w:rsidRPr="00800D1B">
              <w:rPr>
                <w:color w:val="000000"/>
                <w:sz w:val="20"/>
                <w:lang w:val="sv-SE"/>
              </w:rPr>
              <w:t>RCO04</w:t>
            </w:r>
          </w:p>
        </w:tc>
        <w:tc>
          <w:tcPr>
            <w:tcW w:w="0" w:type="auto"/>
          </w:tcPr>
          <w:p w14:paraId="2D065622" w14:textId="77777777" w:rsidR="00A77B3E" w:rsidRPr="00800D1B" w:rsidRDefault="00623E14">
            <w:pPr>
              <w:spacing w:before="100"/>
              <w:rPr>
                <w:color w:val="000000"/>
                <w:sz w:val="20"/>
                <w:lang w:val="sv-SE"/>
              </w:rPr>
            </w:pPr>
            <w:r w:rsidRPr="00800D1B">
              <w:rPr>
                <w:color w:val="000000"/>
                <w:sz w:val="20"/>
                <w:lang w:val="sv-SE"/>
              </w:rPr>
              <w:t>Företag som får icke-finansiellt stöd</w:t>
            </w:r>
          </w:p>
        </w:tc>
        <w:tc>
          <w:tcPr>
            <w:tcW w:w="0" w:type="auto"/>
          </w:tcPr>
          <w:p w14:paraId="2D065623" w14:textId="77777777" w:rsidR="00A77B3E" w:rsidRPr="00800D1B" w:rsidRDefault="00623E14">
            <w:pPr>
              <w:spacing w:before="100"/>
              <w:rPr>
                <w:color w:val="000000"/>
                <w:sz w:val="20"/>
                <w:lang w:val="sv-SE"/>
              </w:rPr>
            </w:pPr>
            <w:r w:rsidRPr="00800D1B">
              <w:rPr>
                <w:color w:val="000000"/>
                <w:sz w:val="20"/>
                <w:lang w:val="sv-SE"/>
              </w:rPr>
              <w:t>företag</w:t>
            </w:r>
          </w:p>
        </w:tc>
        <w:tc>
          <w:tcPr>
            <w:tcW w:w="0" w:type="auto"/>
          </w:tcPr>
          <w:p w14:paraId="2D065624" w14:textId="77777777" w:rsidR="00A77B3E" w:rsidRPr="00800D1B" w:rsidRDefault="00623E14">
            <w:pPr>
              <w:spacing w:before="100"/>
              <w:jc w:val="right"/>
              <w:rPr>
                <w:color w:val="000000"/>
                <w:sz w:val="20"/>
                <w:lang w:val="sv-SE"/>
              </w:rPr>
            </w:pPr>
            <w:r w:rsidRPr="00800D1B">
              <w:rPr>
                <w:color w:val="000000"/>
                <w:sz w:val="20"/>
                <w:lang w:val="sv-SE"/>
              </w:rPr>
              <w:t>3,00</w:t>
            </w:r>
          </w:p>
        </w:tc>
        <w:tc>
          <w:tcPr>
            <w:tcW w:w="0" w:type="auto"/>
          </w:tcPr>
          <w:p w14:paraId="2D065625" w14:textId="77777777" w:rsidR="00A77B3E" w:rsidRPr="00800D1B" w:rsidRDefault="00623E14">
            <w:pPr>
              <w:spacing w:before="100"/>
              <w:jc w:val="right"/>
              <w:rPr>
                <w:color w:val="000000"/>
                <w:sz w:val="20"/>
                <w:lang w:val="sv-SE"/>
              </w:rPr>
            </w:pPr>
            <w:r w:rsidRPr="00800D1B">
              <w:rPr>
                <w:color w:val="000000"/>
                <w:sz w:val="20"/>
                <w:lang w:val="sv-SE"/>
              </w:rPr>
              <w:t>34,00</w:t>
            </w:r>
          </w:p>
        </w:tc>
      </w:tr>
      <w:tr w:rsidR="003422DB" w:rsidRPr="00800D1B" w14:paraId="2D065630" w14:textId="77777777" w:rsidTr="000E2E27">
        <w:tc>
          <w:tcPr>
            <w:tcW w:w="0" w:type="auto"/>
          </w:tcPr>
          <w:p w14:paraId="2D065627" w14:textId="77777777" w:rsidR="00A77B3E" w:rsidRPr="00800D1B" w:rsidRDefault="00623E14">
            <w:pPr>
              <w:spacing w:before="100"/>
              <w:rPr>
                <w:color w:val="000000"/>
                <w:sz w:val="20"/>
                <w:lang w:val="sv-SE"/>
              </w:rPr>
            </w:pPr>
            <w:r w:rsidRPr="00800D1B">
              <w:rPr>
                <w:color w:val="000000"/>
                <w:sz w:val="20"/>
                <w:lang w:val="sv-SE"/>
              </w:rPr>
              <w:t>1</w:t>
            </w:r>
          </w:p>
        </w:tc>
        <w:tc>
          <w:tcPr>
            <w:tcW w:w="0" w:type="auto"/>
          </w:tcPr>
          <w:p w14:paraId="2D065628" w14:textId="77777777" w:rsidR="00A77B3E" w:rsidRPr="00800D1B" w:rsidRDefault="00623E14">
            <w:pPr>
              <w:spacing w:before="100"/>
              <w:rPr>
                <w:color w:val="000000"/>
                <w:sz w:val="20"/>
                <w:lang w:val="sv-SE"/>
              </w:rPr>
            </w:pPr>
            <w:r w:rsidRPr="00800D1B">
              <w:rPr>
                <w:color w:val="000000"/>
                <w:sz w:val="20"/>
                <w:lang w:val="sv-SE"/>
              </w:rPr>
              <w:t>RSO1.1</w:t>
            </w:r>
          </w:p>
        </w:tc>
        <w:tc>
          <w:tcPr>
            <w:tcW w:w="0" w:type="auto"/>
          </w:tcPr>
          <w:p w14:paraId="2D065629" w14:textId="77777777" w:rsidR="00A77B3E" w:rsidRPr="00800D1B" w:rsidRDefault="00623E14">
            <w:pPr>
              <w:spacing w:before="100"/>
              <w:rPr>
                <w:color w:val="000000"/>
                <w:sz w:val="20"/>
                <w:lang w:val="sv-SE"/>
              </w:rPr>
            </w:pPr>
            <w:r w:rsidRPr="00800D1B">
              <w:rPr>
                <w:color w:val="000000"/>
                <w:sz w:val="20"/>
                <w:lang w:val="sv-SE"/>
              </w:rPr>
              <w:t>Eruf</w:t>
            </w:r>
          </w:p>
        </w:tc>
        <w:tc>
          <w:tcPr>
            <w:tcW w:w="0" w:type="auto"/>
          </w:tcPr>
          <w:p w14:paraId="2D06562A" w14:textId="77777777" w:rsidR="00A77B3E" w:rsidRPr="00800D1B" w:rsidRDefault="00623E14" w:rsidP="00754A28">
            <w:pPr>
              <w:spacing w:before="100" w:after="100"/>
              <w:ind w:right="-135"/>
              <w:rPr>
                <w:color w:val="000000"/>
                <w:sz w:val="20"/>
                <w:lang w:val="sv-SE"/>
              </w:rPr>
            </w:pPr>
            <w:r w:rsidRPr="00800D1B">
              <w:rPr>
                <w:color w:val="000000"/>
                <w:sz w:val="20"/>
                <w:lang w:val="sv-SE"/>
              </w:rPr>
              <w:t>De yttersta randområdena eller de nordliga glesbefolkade områdena</w:t>
            </w:r>
          </w:p>
        </w:tc>
        <w:tc>
          <w:tcPr>
            <w:tcW w:w="0" w:type="auto"/>
          </w:tcPr>
          <w:p w14:paraId="2D06562B" w14:textId="77777777" w:rsidR="00A77B3E" w:rsidRPr="00800D1B" w:rsidRDefault="00623E14">
            <w:pPr>
              <w:spacing w:before="100"/>
              <w:rPr>
                <w:color w:val="000000"/>
                <w:sz w:val="20"/>
                <w:lang w:val="sv-SE"/>
              </w:rPr>
            </w:pPr>
            <w:r w:rsidRPr="00800D1B">
              <w:rPr>
                <w:color w:val="000000"/>
                <w:sz w:val="20"/>
                <w:lang w:val="sv-SE"/>
              </w:rPr>
              <w:t>RCO06</w:t>
            </w:r>
          </w:p>
        </w:tc>
        <w:tc>
          <w:tcPr>
            <w:tcW w:w="0" w:type="auto"/>
          </w:tcPr>
          <w:p w14:paraId="2D06562C" w14:textId="77777777" w:rsidR="00A77B3E" w:rsidRPr="00800D1B" w:rsidRDefault="00623E14">
            <w:pPr>
              <w:spacing w:before="100"/>
              <w:rPr>
                <w:color w:val="000000"/>
                <w:sz w:val="20"/>
                <w:lang w:val="sv-SE"/>
              </w:rPr>
            </w:pPr>
            <w:r w:rsidRPr="00800D1B">
              <w:rPr>
                <w:color w:val="000000"/>
                <w:sz w:val="20"/>
                <w:lang w:val="sv-SE"/>
              </w:rPr>
              <w:t>Forskare som arbetar vid forskningsanläggningar som får stöd</w:t>
            </w:r>
          </w:p>
        </w:tc>
        <w:tc>
          <w:tcPr>
            <w:tcW w:w="0" w:type="auto"/>
          </w:tcPr>
          <w:p w14:paraId="2D06562D" w14:textId="77777777" w:rsidR="00A77B3E" w:rsidRPr="00800D1B" w:rsidRDefault="00623E14">
            <w:pPr>
              <w:spacing w:before="100"/>
              <w:rPr>
                <w:color w:val="000000"/>
                <w:sz w:val="20"/>
                <w:lang w:val="sv-SE"/>
              </w:rPr>
            </w:pPr>
            <w:r w:rsidRPr="00800D1B">
              <w:rPr>
                <w:color w:val="000000"/>
                <w:sz w:val="20"/>
                <w:lang w:val="sv-SE"/>
              </w:rPr>
              <w:t>heltidsekvivalenter per år</w:t>
            </w:r>
          </w:p>
        </w:tc>
        <w:tc>
          <w:tcPr>
            <w:tcW w:w="0" w:type="auto"/>
          </w:tcPr>
          <w:p w14:paraId="2D06562E" w14:textId="77777777" w:rsidR="00A77B3E" w:rsidRPr="00800D1B" w:rsidRDefault="00623E14">
            <w:pPr>
              <w:spacing w:before="100"/>
              <w:jc w:val="right"/>
              <w:rPr>
                <w:color w:val="000000"/>
                <w:sz w:val="20"/>
                <w:lang w:val="sv-SE"/>
              </w:rPr>
            </w:pPr>
            <w:r w:rsidRPr="00800D1B">
              <w:rPr>
                <w:color w:val="000000"/>
                <w:sz w:val="20"/>
                <w:lang w:val="sv-SE"/>
              </w:rPr>
              <w:t>1,00</w:t>
            </w:r>
          </w:p>
        </w:tc>
        <w:tc>
          <w:tcPr>
            <w:tcW w:w="0" w:type="auto"/>
          </w:tcPr>
          <w:p w14:paraId="2D06562F" w14:textId="77777777" w:rsidR="00A77B3E" w:rsidRPr="00800D1B" w:rsidRDefault="00623E14">
            <w:pPr>
              <w:spacing w:before="100"/>
              <w:jc w:val="right"/>
              <w:rPr>
                <w:color w:val="000000"/>
                <w:sz w:val="20"/>
                <w:lang w:val="sv-SE"/>
              </w:rPr>
            </w:pPr>
            <w:r w:rsidRPr="00800D1B">
              <w:rPr>
                <w:color w:val="000000"/>
                <w:sz w:val="20"/>
                <w:lang w:val="sv-SE"/>
              </w:rPr>
              <w:t>10,00</w:t>
            </w:r>
          </w:p>
        </w:tc>
      </w:tr>
      <w:tr w:rsidR="003422DB" w:rsidRPr="00800D1B" w14:paraId="2D06563A" w14:textId="77777777" w:rsidTr="000E2E27">
        <w:tc>
          <w:tcPr>
            <w:tcW w:w="0" w:type="auto"/>
          </w:tcPr>
          <w:p w14:paraId="2D065631" w14:textId="77777777" w:rsidR="00A77B3E" w:rsidRPr="00800D1B" w:rsidRDefault="00623E14">
            <w:pPr>
              <w:spacing w:before="100"/>
              <w:rPr>
                <w:color w:val="000000"/>
                <w:sz w:val="20"/>
                <w:lang w:val="sv-SE"/>
              </w:rPr>
            </w:pPr>
            <w:r w:rsidRPr="00800D1B">
              <w:rPr>
                <w:color w:val="000000"/>
                <w:sz w:val="20"/>
                <w:lang w:val="sv-SE"/>
              </w:rPr>
              <w:t>1</w:t>
            </w:r>
          </w:p>
        </w:tc>
        <w:tc>
          <w:tcPr>
            <w:tcW w:w="0" w:type="auto"/>
          </w:tcPr>
          <w:p w14:paraId="2D065632" w14:textId="77777777" w:rsidR="00A77B3E" w:rsidRPr="00800D1B" w:rsidRDefault="00623E14">
            <w:pPr>
              <w:spacing w:before="100"/>
              <w:rPr>
                <w:color w:val="000000"/>
                <w:sz w:val="20"/>
                <w:lang w:val="sv-SE"/>
              </w:rPr>
            </w:pPr>
            <w:r w:rsidRPr="00800D1B">
              <w:rPr>
                <w:color w:val="000000"/>
                <w:sz w:val="20"/>
                <w:lang w:val="sv-SE"/>
              </w:rPr>
              <w:t>RSO1.1</w:t>
            </w:r>
          </w:p>
        </w:tc>
        <w:tc>
          <w:tcPr>
            <w:tcW w:w="0" w:type="auto"/>
          </w:tcPr>
          <w:p w14:paraId="2D065633" w14:textId="77777777" w:rsidR="00A77B3E" w:rsidRPr="00800D1B" w:rsidRDefault="00623E14">
            <w:pPr>
              <w:spacing w:before="100"/>
              <w:rPr>
                <w:color w:val="000000"/>
                <w:sz w:val="20"/>
                <w:lang w:val="sv-SE"/>
              </w:rPr>
            </w:pPr>
            <w:r w:rsidRPr="00800D1B">
              <w:rPr>
                <w:color w:val="000000"/>
                <w:sz w:val="20"/>
                <w:lang w:val="sv-SE"/>
              </w:rPr>
              <w:t>Eruf</w:t>
            </w:r>
          </w:p>
        </w:tc>
        <w:tc>
          <w:tcPr>
            <w:tcW w:w="0" w:type="auto"/>
          </w:tcPr>
          <w:p w14:paraId="2D065634" w14:textId="77777777" w:rsidR="00A77B3E" w:rsidRPr="00800D1B" w:rsidRDefault="00623E14" w:rsidP="00754A28">
            <w:pPr>
              <w:spacing w:before="100" w:after="100"/>
              <w:ind w:right="-135"/>
              <w:rPr>
                <w:color w:val="000000"/>
                <w:sz w:val="20"/>
                <w:lang w:val="sv-SE"/>
              </w:rPr>
            </w:pPr>
            <w:r w:rsidRPr="00800D1B">
              <w:rPr>
                <w:color w:val="000000"/>
                <w:sz w:val="20"/>
                <w:lang w:val="sv-SE"/>
              </w:rPr>
              <w:t>De yttersta randområdena eller de nordliga glesbefolkade områdena</w:t>
            </w:r>
          </w:p>
        </w:tc>
        <w:tc>
          <w:tcPr>
            <w:tcW w:w="0" w:type="auto"/>
          </w:tcPr>
          <w:p w14:paraId="2D065635" w14:textId="77777777" w:rsidR="00A77B3E" w:rsidRPr="00800D1B" w:rsidRDefault="00623E14">
            <w:pPr>
              <w:spacing w:before="100"/>
              <w:rPr>
                <w:color w:val="000000"/>
                <w:sz w:val="20"/>
                <w:lang w:val="sv-SE"/>
              </w:rPr>
            </w:pPr>
            <w:r w:rsidRPr="00800D1B">
              <w:rPr>
                <w:color w:val="000000"/>
                <w:sz w:val="20"/>
                <w:lang w:val="sv-SE"/>
              </w:rPr>
              <w:t>RCO08</w:t>
            </w:r>
          </w:p>
        </w:tc>
        <w:tc>
          <w:tcPr>
            <w:tcW w:w="0" w:type="auto"/>
          </w:tcPr>
          <w:p w14:paraId="2D065636" w14:textId="77777777" w:rsidR="00A77B3E" w:rsidRPr="00800D1B" w:rsidRDefault="00623E14">
            <w:pPr>
              <w:spacing w:before="100"/>
              <w:rPr>
                <w:color w:val="000000"/>
                <w:sz w:val="20"/>
                <w:lang w:val="sv-SE"/>
              </w:rPr>
            </w:pPr>
            <w:r w:rsidRPr="00800D1B">
              <w:rPr>
                <w:color w:val="000000"/>
                <w:sz w:val="20"/>
                <w:lang w:val="sv-SE"/>
              </w:rPr>
              <w:t>Nominellt värde på forsknings- och innovationsutrustningen</w:t>
            </w:r>
          </w:p>
        </w:tc>
        <w:tc>
          <w:tcPr>
            <w:tcW w:w="0" w:type="auto"/>
          </w:tcPr>
          <w:p w14:paraId="2D065637" w14:textId="77777777" w:rsidR="00A77B3E" w:rsidRPr="00800D1B" w:rsidRDefault="00623E14">
            <w:pPr>
              <w:spacing w:before="100"/>
              <w:rPr>
                <w:color w:val="000000"/>
                <w:sz w:val="20"/>
                <w:lang w:val="sv-SE"/>
              </w:rPr>
            </w:pPr>
            <w:r w:rsidRPr="00800D1B">
              <w:rPr>
                <w:color w:val="000000"/>
                <w:sz w:val="20"/>
                <w:lang w:val="sv-SE"/>
              </w:rPr>
              <w:t>euro</w:t>
            </w:r>
          </w:p>
        </w:tc>
        <w:tc>
          <w:tcPr>
            <w:tcW w:w="0" w:type="auto"/>
          </w:tcPr>
          <w:p w14:paraId="2D065638" w14:textId="77777777" w:rsidR="00A77B3E" w:rsidRPr="00800D1B" w:rsidRDefault="00623E14">
            <w:pPr>
              <w:spacing w:before="100"/>
              <w:jc w:val="right"/>
              <w:rPr>
                <w:color w:val="000000"/>
                <w:sz w:val="20"/>
                <w:lang w:val="sv-SE"/>
              </w:rPr>
            </w:pPr>
            <w:r w:rsidRPr="00800D1B">
              <w:rPr>
                <w:color w:val="000000"/>
                <w:sz w:val="20"/>
                <w:lang w:val="sv-SE"/>
              </w:rPr>
              <w:t>334 098,70</w:t>
            </w:r>
          </w:p>
        </w:tc>
        <w:tc>
          <w:tcPr>
            <w:tcW w:w="0" w:type="auto"/>
          </w:tcPr>
          <w:p w14:paraId="2D065639" w14:textId="77777777" w:rsidR="00A77B3E" w:rsidRPr="00800D1B" w:rsidRDefault="00623E14">
            <w:pPr>
              <w:spacing w:before="100"/>
              <w:jc w:val="right"/>
              <w:rPr>
                <w:color w:val="000000"/>
                <w:sz w:val="20"/>
                <w:lang w:val="sv-SE"/>
              </w:rPr>
            </w:pPr>
            <w:r w:rsidRPr="00800D1B">
              <w:rPr>
                <w:color w:val="000000"/>
                <w:sz w:val="20"/>
                <w:lang w:val="sv-SE"/>
              </w:rPr>
              <w:t>3 340 986,90</w:t>
            </w:r>
          </w:p>
        </w:tc>
      </w:tr>
      <w:tr w:rsidR="003422DB" w:rsidRPr="00800D1B" w14:paraId="2D065644" w14:textId="77777777" w:rsidTr="000E2E27">
        <w:tc>
          <w:tcPr>
            <w:tcW w:w="0" w:type="auto"/>
          </w:tcPr>
          <w:p w14:paraId="2D06563B" w14:textId="77777777" w:rsidR="00A77B3E" w:rsidRPr="00800D1B" w:rsidRDefault="00623E14">
            <w:pPr>
              <w:spacing w:before="100"/>
              <w:rPr>
                <w:color w:val="000000"/>
                <w:sz w:val="20"/>
                <w:lang w:val="sv-SE"/>
              </w:rPr>
            </w:pPr>
            <w:r w:rsidRPr="00800D1B">
              <w:rPr>
                <w:color w:val="000000"/>
                <w:sz w:val="20"/>
                <w:lang w:val="sv-SE"/>
              </w:rPr>
              <w:t>1</w:t>
            </w:r>
          </w:p>
        </w:tc>
        <w:tc>
          <w:tcPr>
            <w:tcW w:w="0" w:type="auto"/>
          </w:tcPr>
          <w:p w14:paraId="2D06563C" w14:textId="77777777" w:rsidR="00A77B3E" w:rsidRPr="00800D1B" w:rsidRDefault="00623E14">
            <w:pPr>
              <w:spacing w:before="100"/>
              <w:rPr>
                <w:color w:val="000000"/>
                <w:sz w:val="20"/>
                <w:lang w:val="sv-SE"/>
              </w:rPr>
            </w:pPr>
            <w:r w:rsidRPr="00800D1B">
              <w:rPr>
                <w:color w:val="000000"/>
                <w:sz w:val="20"/>
                <w:lang w:val="sv-SE"/>
              </w:rPr>
              <w:t>RSO1.1</w:t>
            </w:r>
          </w:p>
        </w:tc>
        <w:tc>
          <w:tcPr>
            <w:tcW w:w="0" w:type="auto"/>
          </w:tcPr>
          <w:p w14:paraId="2D06563D" w14:textId="77777777" w:rsidR="00A77B3E" w:rsidRPr="00800D1B" w:rsidRDefault="00623E14">
            <w:pPr>
              <w:spacing w:before="100"/>
              <w:rPr>
                <w:color w:val="000000"/>
                <w:sz w:val="20"/>
                <w:lang w:val="sv-SE"/>
              </w:rPr>
            </w:pPr>
            <w:r w:rsidRPr="00800D1B">
              <w:rPr>
                <w:color w:val="000000"/>
                <w:sz w:val="20"/>
                <w:lang w:val="sv-SE"/>
              </w:rPr>
              <w:t>Eruf</w:t>
            </w:r>
          </w:p>
        </w:tc>
        <w:tc>
          <w:tcPr>
            <w:tcW w:w="0" w:type="auto"/>
          </w:tcPr>
          <w:p w14:paraId="2D06563E" w14:textId="77777777" w:rsidR="00A77B3E" w:rsidRPr="00800D1B" w:rsidRDefault="00623E14" w:rsidP="00754A28">
            <w:pPr>
              <w:spacing w:before="100" w:after="100"/>
              <w:ind w:right="-135"/>
              <w:rPr>
                <w:color w:val="000000"/>
                <w:sz w:val="20"/>
                <w:lang w:val="sv-SE"/>
              </w:rPr>
            </w:pPr>
            <w:r w:rsidRPr="00800D1B">
              <w:rPr>
                <w:color w:val="000000"/>
                <w:sz w:val="20"/>
                <w:lang w:val="sv-SE"/>
              </w:rPr>
              <w:t>De yttersta randområdena eller de nordliga glesbefolkade områdena</w:t>
            </w:r>
          </w:p>
        </w:tc>
        <w:tc>
          <w:tcPr>
            <w:tcW w:w="0" w:type="auto"/>
          </w:tcPr>
          <w:p w14:paraId="2D06563F" w14:textId="77777777" w:rsidR="00A77B3E" w:rsidRPr="00800D1B" w:rsidRDefault="00623E14">
            <w:pPr>
              <w:spacing w:before="100"/>
              <w:rPr>
                <w:color w:val="000000"/>
                <w:sz w:val="20"/>
                <w:lang w:val="sv-SE"/>
              </w:rPr>
            </w:pPr>
            <w:r w:rsidRPr="00800D1B">
              <w:rPr>
                <w:color w:val="000000"/>
                <w:sz w:val="20"/>
                <w:lang w:val="sv-SE"/>
              </w:rPr>
              <w:t>RCO10</w:t>
            </w:r>
          </w:p>
        </w:tc>
        <w:tc>
          <w:tcPr>
            <w:tcW w:w="0" w:type="auto"/>
          </w:tcPr>
          <w:p w14:paraId="2D065640" w14:textId="77777777" w:rsidR="00A77B3E" w:rsidRPr="00800D1B" w:rsidRDefault="00623E14">
            <w:pPr>
              <w:spacing w:before="100"/>
              <w:rPr>
                <w:color w:val="000000"/>
                <w:sz w:val="20"/>
                <w:lang w:val="sv-SE"/>
              </w:rPr>
            </w:pPr>
            <w:r w:rsidRPr="00800D1B">
              <w:rPr>
                <w:color w:val="000000"/>
                <w:sz w:val="20"/>
                <w:lang w:val="sv-SE"/>
              </w:rPr>
              <w:t>Företag som samarbetar med forskningsorganisationer</w:t>
            </w:r>
          </w:p>
        </w:tc>
        <w:tc>
          <w:tcPr>
            <w:tcW w:w="0" w:type="auto"/>
          </w:tcPr>
          <w:p w14:paraId="2D065641" w14:textId="77777777" w:rsidR="00A77B3E" w:rsidRPr="00800D1B" w:rsidRDefault="00623E14">
            <w:pPr>
              <w:spacing w:before="100"/>
              <w:rPr>
                <w:color w:val="000000"/>
                <w:sz w:val="20"/>
                <w:lang w:val="sv-SE"/>
              </w:rPr>
            </w:pPr>
            <w:r w:rsidRPr="00800D1B">
              <w:rPr>
                <w:color w:val="000000"/>
                <w:sz w:val="20"/>
                <w:lang w:val="sv-SE"/>
              </w:rPr>
              <w:t>företag</w:t>
            </w:r>
          </w:p>
        </w:tc>
        <w:tc>
          <w:tcPr>
            <w:tcW w:w="0" w:type="auto"/>
          </w:tcPr>
          <w:p w14:paraId="2D065642" w14:textId="77777777" w:rsidR="00A77B3E" w:rsidRPr="00800D1B" w:rsidRDefault="00623E14">
            <w:pPr>
              <w:spacing w:before="100"/>
              <w:jc w:val="right"/>
              <w:rPr>
                <w:color w:val="000000"/>
                <w:sz w:val="20"/>
                <w:lang w:val="sv-SE"/>
              </w:rPr>
            </w:pPr>
            <w:r w:rsidRPr="00800D1B">
              <w:rPr>
                <w:color w:val="000000"/>
                <w:sz w:val="20"/>
                <w:lang w:val="sv-SE"/>
              </w:rPr>
              <w:t>1,00</w:t>
            </w:r>
          </w:p>
        </w:tc>
        <w:tc>
          <w:tcPr>
            <w:tcW w:w="0" w:type="auto"/>
          </w:tcPr>
          <w:p w14:paraId="2D065643" w14:textId="77777777" w:rsidR="00A77B3E" w:rsidRPr="00800D1B" w:rsidRDefault="00623E14">
            <w:pPr>
              <w:spacing w:before="100"/>
              <w:jc w:val="right"/>
              <w:rPr>
                <w:color w:val="000000"/>
                <w:sz w:val="20"/>
                <w:lang w:val="sv-SE"/>
              </w:rPr>
            </w:pPr>
            <w:r w:rsidRPr="00800D1B">
              <w:rPr>
                <w:color w:val="000000"/>
                <w:sz w:val="20"/>
                <w:lang w:val="sv-SE"/>
              </w:rPr>
              <w:t>7,00</w:t>
            </w:r>
          </w:p>
        </w:tc>
      </w:tr>
      <w:tr w:rsidR="003422DB" w:rsidRPr="00800D1B" w14:paraId="2D06564E" w14:textId="77777777" w:rsidTr="000E2E27">
        <w:tc>
          <w:tcPr>
            <w:tcW w:w="0" w:type="auto"/>
          </w:tcPr>
          <w:p w14:paraId="2D065645" w14:textId="77777777" w:rsidR="00A77B3E" w:rsidRPr="00800D1B" w:rsidRDefault="00623E14">
            <w:pPr>
              <w:spacing w:before="100"/>
              <w:rPr>
                <w:color w:val="000000"/>
                <w:sz w:val="20"/>
                <w:lang w:val="sv-SE"/>
              </w:rPr>
            </w:pPr>
            <w:r w:rsidRPr="00800D1B">
              <w:rPr>
                <w:color w:val="000000"/>
                <w:sz w:val="20"/>
                <w:lang w:val="sv-SE"/>
              </w:rPr>
              <w:t>1</w:t>
            </w:r>
          </w:p>
        </w:tc>
        <w:tc>
          <w:tcPr>
            <w:tcW w:w="0" w:type="auto"/>
          </w:tcPr>
          <w:p w14:paraId="2D065646" w14:textId="77777777" w:rsidR="00A77B3E" w:rsidRPr="00800D1B" w:rsidRDefault="00623E14">
            <w:pPr>
              <w:spacing w:before="100"/>
              <w:rPr>
                <w:color w:val="000000"/>
                <w:sz w:val="20"/>
                <w:lang w:val="sv-SE"/>
              </w:rPr>
            </w:pPr>
            <w:r w:rsidRPr="00800D1B">
              <w:rPr>
                <w:color w:val="000000"/>
                <w:sz w:val="20"/>
                <w:lang w:val="sv-SE"/>
              </w:rPr>
              <w:t>RSO1.1</w:t>
            </w:r>
          </w:p>
        </w:tc>
        <w:tc>
          <w:tcPr>
            <w:tcW w:w="0" w:type="auto"/>
          </w:tcPr>
          <w:p w14:paraId="2D065647" w14:textId="77777777" w:rsidR="00A77B3E" w:rsidRPr="00800D1B" w:rsidRDefault="00623E14">
            <w:pPr>
              <w:spacing w:before="100"/>
              <w:rPr>
                <w:color w:val="000000"/>
                <w:sz w:val="20"/>
                <w:lang w:val="sv-SE"/>
              </w:rPr>
            </w:pPr>
            <w:r w:rsidRPr="00800D1B">
              <w:rPr>
                <w:color w:val="000000"/>
                <w:sz w:val="20"/>
                <w:lang w:val="sv-SE"/>
              </w:rPr>
              <w:t>Eruf</w:t>
            </w:r>
          </w:p>
        </w:tc>
        <w:tc>
          <w:tcPr>
            <w:tcW w:w="0" w:type="auto"/>
          </w:tcPr>
          <w:p w14:paraId="2D065648" w14:textId="77777777" w:rsidR="00A77B3E" w:rsidRPr="00800D1B" w:rsidRDefault="00623E14" w:rsidP="00754A28">
            <w:pPr>
              <w:spacing w:before="100" w:after="100"/>
              <w:ind w:right="-135"/>
              <w:rPr>
                <w:color w:val="000000"/>
                <w:sz w:val="20"/>
                <w:lang w:val="sv-SE"/>
              </w:rPr>
            </w:pPr>
            <w:r w:rsidRPr="00800D1B">
              <w:rPr>
                <w:color w:val="000000"/>
                <w:sz w:val="20"/>
                <w:lang w:val="sv-SE"/>
              </w:rPr>
              <w:t>De yttersta randområdena eller de nordliga glesbefolkade områdena</w:t>
            </w:r>
          </w:p>
        </w:tc>
        <w:tc>
          <w:tcPr>
            <w:tcW w:w="0" w:type="auto"/>
          </w:tcPr>
          <w:p w14:paraId="2D065649" w14:textId="77777777" w:rsidR="00A77B3E" w:rsidRPr="00800D1B" w:rsidRDefault="00623E14">
            <w:pPr>
              <w:spacing w:before="100"/>
              <w:rPr>
                <w:color w:val="000000"/>
                <w:sz w:val="20"/>
                <w:lang w:val="sv-SE"/>
              </w:rPr>
            </w:pPr>
            <w:r w:rsidRPr="00800D1B">
              <w:rPr>
                <w:color w:val="000000"/>
                <w:sz w:val="20"/>
                <w:lang w:val="sv-SE"/>
              </w:rPr>
              <w:t>SWO01</w:t>
            </w:r>
          </w:p>
        </w:tc>
        <w:tc>
          <w:tcPr>
            <w:tcW w:w="0" w:type="auto"/>
          </w:tcPr>
          <w:p w14:paraId="2D06564A" w14:textId="77777777" w:rsidR="00A77B3E" w:rsidRPr="00800D1B" w:rsidRDefault="00623E14">
            <w:pPr>
              <w:spacing w:before="100"/>
              <w:rPr>
                <w:color w:val="000000"/>
                <w:sz w:val="20"/>
                <w:lang w:val="sv-SE"/>
              </w:rPr>
            </w:pPr>
            <w:r w:rsidRPr="00800D1B">
              <w:rPr>
                <w:color w:val="000000"/>
                <w:sz w:val="20"/>
                <w:lang w:val="sv-SE"/>
              </w:rPr>
              <w:t>Antal organisationer som får stöd</w:t>
            </w:r>
          </w:p>
        </w:tc>
        <w:tc>
          <w:tcPr>
            <w:tcW w:w="0" w:type="auto"/>
          </w:tcPr>
          <w:p w14:paraId="2D06564B" w14:textId="77777777" w:rsidR="00A77B3E" w:rsidRPr="00800D1B" w:rsidRDefault="00623E14">
            <w:pPr>
              <w:spacing w:before="100"/>
              <w:rPr>
                <w:color w:val="000000"/>
                <w:sz w:val="20"/>
                <w:lang w:val="sv-SE"/>
              </w:rPr>
            </w:pPr>
            <w:r w:rsidRPr="00800D1B">
              <w:rPr>
                <w:color w:val="000000"/>
                <w:sz w:val="20"/>
                <w:lang w:val="sv-SE"/>
              </w:rPr>
              <w:t>Organisationer</w:t>
            </w:r>
          </w:p>
        </w:tc>
        <w:tc>
          <w:tcPr>
            <w:tcW w:w="0" w:type="auto"/>
          </w:tcPr>
          <w:p w14:paraId="2D06564C" w14:textId="77777777" w:rsidR="00A77B3E" w:rsidRPr="00800D1B" w:rsidRDefault="00623E14">
            <w:pPr>
              <w:spacing w:before="100"/>
              <w:jc w:val="right"/>
              <w:rPr>
                <w:color w:val="000000"/>
                <w:sz w:val="20"/>
                <w:lang w:val="sv-SE"/>
              </w:rPr>
            </w:pPr>
            <w:r w:rsidRPr="00800D1B">
              <w:rPr>
                <w:color w:val="000000"/>
                <w:sz w:val="20"/>
                <w:lang w:val="sv-SE"/>
              </w:rPr>
              <w:t>0,00</w:t>
            </w:r>
          </w:p>
        </w:tc>
        <w:tc>
          <w:tcPr>
            <w:tcW w:w="0" w:type="auto"/>
          </w:tcPr>
          <w:p w14:paraId="2D06564D" w14:textId="77777777" w:rsidR="00A77B3E" w:rsidRPr="00800D1B" w:rsidRDefault="00623E14">
            <w:pPr>
              <w:spacing w:before="100"/>
              <w:jc w:val="right"/>
              <w:rPr>
                <w:color w:val="000000"/>
                <w:sz w:val="20"/>
                <w:lang w:val="sv-SE"/>
              </w:rPr>
            </w:pPr>
            <w:r w:rsidRPr="00800D1B">
              <w:rPr>
                <w:color w:val="000000"/>
                <w:sz w:val="20"/>
                <w:lang w:val="sv-SE"/>
              </w:rPr>
              <w:t>1,00</w:t>
            </w:r>
          </w:p>
        </w:tc>
      </w:tr>
    </w:tbl>
    <w:p w14:paraId="2D065650" w14:textId="77777777" w:rsidR="00A77B3E" w:rsidRPr="00800D1B" w:rsidRDefault="00623E14" w:rsidP="00552F60">
      <w:pPr>
        <w:spacing w:before="360"/>
        <w:rPr>
          <w:color w:val="000000"/>
          <w:sz w:val="0"/>
          <w:lang w:val="sv-SE"/>
        </w:rPr>
      </w:pPr>
      <w:r w:rsidRPr="00800D1B">
        <w:rPr>
          <w:color w:val="000000"/>
          <w:lang w:val="sv-SE"/>
        </w:rPr>
        <w:t>Referens: Artikel 22.3 d ii i förordningen om gemensamma bestämmelser</w:t>
      </w:r>
    </w:p>
    <w:p w14:paraId="2D065651" w14:textId="10021347" w:rsidR="00A77B3E" w:rsidRPr="00800D1B" w:rsidRDefault="00623E14" w:rsidP="001130F2">
      <w:pPr>
        <w:spacing w:before="100"/>
        <w:rPr>
          <w:lang w:val="sv-SE"/>
        </w:rPr>
      </w:pPr>
      <w:bookmarkStart w:id="15" w:name="_Toc256000256"/>
      <w:r w:rsidRPr="00800D1B">
        <w:rPr>
          <w:lang w:val="sv-SE"/>
        </w:rPr>
        <w:t>Tabell 3: Resultatindikatorer</w:t>
      </w:r>
      <w:bookmarkEnd w:id="15"/>
    </w:p>
    <w:p w14:paraId="2D065652" w14:textId="77777777" w:rsidR="00A77B3E" w:rsidRPr="00800D1B" w:rsidRDefault="00A77B3E">
      <w:pPr>
        <w:spacing w:before="100"/>
        <w:rPr>
          <w:color w:val="000000"/>
          <w:sz w:val="0"/>
          <w:lang w:val="sv-SE"/>
        </w:rPr>
      </w:pPr>
    </w:p>
    <w:tbl>
      <w:tblPr>
        <w:tblStyle w:val="Tabellrutnt"/>
        <w:tblW w:w="5005" w:type="pct"/>
        <w:tblLook w:val="04A0" w:firstRow="1" w:lastRow="0" w:firstColumn="1" w:lastColumn="0" w:noHBand="0" w:noVBand="1"/>
        <w:tblDescription w:val="En tabell med tolv kolumner: Prioritering; Specifikt mål; Fond; Regionkategori; ID; Indikator; Mätenhet; Utgångsvärde eller referensvärde; Referensår; Mål (2029); Datakälla; Kommentarer. Tabellen visar information om Resultatindikatorer."/>
      </w:tblPr>
      <w:tblGrid>
        <w:gridCol w:w="1139"/>
        <w:gridCol w:w="955"/>
        <w:gridCol w:w="628"/>
        <w:gridCol w:w="2232"/>
        <w:gridCol w:w="850"/>
        <w:gridCol w:w="2525"/>
        <w:gridCol w:w="1283"/>
        <w:gridCol w:w="1399"/>
        <w:gridCol w:w="1083"/>
        <w:gridCol w:w="783"/>
        <w:gridCol w:w="983"/>
        <w:gridCol w:w="1327"/>
      </w:tblGrid>
      <w:tr w:rsidR="003422DB" w:rsidRPr="00800D1B" w14:paraId="2D06565F" w14:textId="77777777" w:rsidTr="0036018C">
        <w:trPr>
          <w:trHeight w:val="885"/>
        </w:trPr>
        <w:tc>
          <w:tcPr>
            <w:tcW w:w="0" w:type="auto"/>
          </w:tcPr>
          <w:p w14:paraId="2D065653" w14:textId="77777777" w:rsidR="00A77B3E" w:rsidRPr="00800D1B" w:rsidRDefault="00623E14" w:rsidP="00754A28">
            <w:pPr>
              <w:spacing w:before="240"/>
              <w:jc w:val="center"/>
              <w:rPr>
                <w:color w:val="000000"/>
                <w:sz w:val="20"/>
                <w:lang w:val="sv-SE"/>
              </w:rPr>
            </w:pPr>
            <w:r w:rsidRPr="00800D1B">
              <w:rPr>
                <w:color w:val="000000"/>
                <w:sz w:val="20"/>
                <w:lang w:val="sv-SE"/>
              </w:rPr>
              <w:t>Prioritering</w:t>
            </w:r>
          </w:p>
        </w:tc>
        <w:tc>
          <w:tcPr>
            <w:tcW w:w="0" w:type="auto"/>
            <w:vAlign w:val="center"/>
          </w:tcPr>
          <w:p w14:paraId="2D065654" w14:textId="77777777" w:rsidR="00A77B3E" w:rsidRPr="00800D1B" w:rsidRDefault="00623E14" w:rsidP="00754A28">
            <w:pPr>
              <w:spacing w:before="100"/>
              <w:jc w:val="center"/>
              <w:rPr>
                <w:color w:val="000000"/>
                <w:sz w:val="20"/>
                <w:lang w:val="sv-SE"/>
              </w:rPr>
            </w:pPr>
            <w:r w:rsidRPr="00800D1B">
              <w:rPr>
                <w:color w:val="000000"/>
                <w:sz w:val="20"/>
                <w:lang w:val="sv-SE"/>
              </w:rPr>
              <w:t>Specifikt mål</w:t>
            </w:r>
          </w:p>
        </w:tc>
        <w:tc>
          <w:tcPr>
            <w:tcW w:w="0" w:type="auto"/>
            <w:vAlign w:val="center"/>
          </w:tcPr>
          <w:p w14:paraId="2D065655" w14:textId="77777777" w:rsidR="00A77B3E" w:rsidRPr="00800D1B" w:rsidRDefault="00623E14" w:rsidP="00754A28">
            <w:pPr>
              <w:spacing w:before="100"/>
              <w:jc w:val="center"/>
              <w:rPr>
                <w:color w:val="000000"/>
                <w:sz w:val="20"/>
                <w:lang w:val="sv-SE"/>
              </w:rPr>
            </w:pPr>
            <w:r w:rsidRPr="00800D1B">
              <w:rPr>
                <w:color w:val="000000"/>
                <w:sz w:val="20"/>
                <w:lang w:val="sv-SE"/>
              </w:rPr>
              <w:t>Fond</w:t>
            </w:r>
          </w:p>
        </w:tc>
        <w:tc>
          <w:tcPr>
            <w:tcW w:w="735" w:type="pct"/>
            <w:vAlign w:val="center"/>
          </w:tcPr>
          <w:p w14:paraId="2D065656" w14:textId="77777777" w:rsidR="00A77B3E" w:rsidRPr="00800D1B" w:rsidRDefault="00623E14" w:rsidP="00754A28">
            <w:pPr>
              <w:spacing w:before="100"/>
              <w:jc w:val="center"/>
              <w:rPr>
                <w:color w:val="000000"/>
                <w:sz w:val="20"/>
                <w:lang w:val="sv-SE"/>
              </w:rPr>
            </w:pPr>
            <w:r w:rsidRPr="00800D1B">
              <w:rPr>
                <w:color w:val="000000"/>
                <w:sz w:val="20"/>
                <w:lang w:val="sv-SE"/>
              </w:rPr>
              <w:t>Regionkategori</w:t>
            </w:r>
          </w:p>
        </w:tc>
        <w:tc>
          <w:tcPr>
            <w:tcW w:w="0" w:type="auto"/>
            <w:vAlign w:val="center"/>
          </w:tcPr>
          <w:p w14:paraId="2D065657" w14:textId="77777777" w:rsidR="00A77B3E" w:rsidRPr="00800D1B" w:rsidRDefault="00623E14" w:rsidP="00754A28">
            <w:pPr>
              <w:spacing w:before="100"/>
              <w:jc w:val="center"/>
              <w:rPr>
                <w:color w:val="000000"/>
                <w:sz w:val="20"/>
                <w:lang w:val="sv-SE"/>
              </w:rPr>
            </w:pPr>
            <w:r w:rsidRPr="00800D1B">
              <w:rPr>
                <w:color w:val="000000"/>
                <w:sz w:val="20"/>
                <w:lang w:val="sv-SE"/>
              </w:rPr>
              <w:t>ID</w:t>
            </w:r>
          </w:p>
        </w:tc>
        <w:tc>
          <w:tcPr>
            <w:tcW w:w="0" w:type="auto"/>
            <w:vAlign w:val="center"/>
          </w:tcPr>
          <w:p w14:paraId="2D065658" w14:textId="77777777" w:rsidR="00A77B3E" w:rsidRPr="00800D1B" w:rsidRDefault="00623E14" w:rsidP="00754A28">
            <w:pPr>
              <w:spacing w:before="100"/>
              <w:jc w:val="center"/>
              <w:rPr>
                <w:color w:val="000000"/>
                <w:sz w:val="20"/>
                <w:lang w:val="sv-SE"/>
              </w:rPr>
            </w:pPr>
            <w:r w:rsidRPr="00800D1B">
              <w:rPr>
                <w:color w:val="000000"/>
                <w:sz w:val="20"/>
                <w:lang w:val="sv-SE"/>
              </w:rPr>
              <w:t>Indikator</w:t>
            </w:r>
          </w:p>
        </w:tc>
        <w:tc>
          <w:tcPr>
            <w:tcW w:w="0" w:type="auto"/>
            <w:vAlign w:val="center"/>
          </w:tcPr>
          <w:p w14:paraId="2D065659" w14:textId="77777777" w:rsidR="00A77B3E" w:rsidRPr="00800D1B" w:rsidRDefault="00623E14" w:rsidP="00754A28">
            <w:pPr>
              <w:spacing w:before="100"/>
              <w:jc w:val="center"/>
              <w:rPr>
                <w:color w:val="000000"/>
                <w:sz w:val="20"/>
                <w:lang w:val="sv-SE"/>
              </w:rPr>
            </w:pPr>
            <w:r w:rsidRPr="00800D1B">
              <w:rPr>
                <w:color w:val="000000"/>
                <w:sz w:val="20"/>
                <w:lang w:val="sv-SE"/>
              </w:rPr>
              <w:t>Mätenhet</w:t>
            </w:r>
          </w:p>
        </w:tc>
        <w:tc>
          <w:tcPr>
            <w:tcW w:w="0" w:type="auto"/>
          </w:tcPr>
          <w:p w14:paraId="2D06565A" w14:textId="77777777" w:rsidR="00A77B3E" w:rsidRPr="00800D1B" w:rsidRDefault="00623E14" w:rsidP="00754A28">
            <w:pPr>
              <w:spacing w:before="100" w:after="100"/>
              <w:jc w:val="center"/>
              <w:rPr>
                <w:color w:val="000000"/>
                <w:sz w:val="20"/>
                <w:lang w:val="sv-SE"/>
              </w:rPr>
            </w:pPr>
            <w:r w:rsidRPr="00800D1B">
              <w:rPr>
                <w:color w:val="000000"/>
                <w:sz w:val="20"/>
                <w:lang w:val="sv-SE"/>
              </w:rPr>
              <w:t>Utgångsvärde eller referensvärde</w:t>
            </w:r>
          </w:p>
        </w:tc>
        <w:tc>
          <w:tcPr>
            <w:tcW w:w="0" w:type="auto"/>
          </w:tcPr>
          <w:p w14:paraId="2D06565B" w14:textId="77777777" w:rsidR="00A77B3E" w:rsidRPr="00800D1B" w:rsidRDefault="00623E14">
            <w:pPr>
              <w:spacing w:before="100"/>
              <w:jc w:val="center"/>
              <w:rPr>
                <w:color w:val="000000"/>
                <w:sz w:val="20"/>
                <w:lang w:val="sv-SE"/>
              </w:rPr>
            </w:pPr>
            <w:r w:rsidRPr="00800D1B">
              <w:rPr>
                <w:color w:val="000000"/>
                <w:sz w:val="20"/>
                <w:lang w:val="sv-SE"/>
              </w:rPr>
              <w:t>Referensår</w:t>
            </w:r>
          </w:p>
        </w:tc>
        <w:tc>
          <w:tcPr>
            <w:tcW w:w="0" w:type="auto"/>
          </w:tcPr>
          <w:p w14:paraId="2D06565C" w14:textId="77777777" w:rsidR="00A77B3E" w:rsidRPr="00800D1B" w:rsidRDefault="00623E14">
            <w:pPr>
              <w:spacing w:before="100"/>
              <w:jc w:val="center"/>
              <w:rPr>
                <w:color w:val="000000"/>
                <w:sz w:val="20"/>
                <w:lang w:val="sv-SE"/>
              </w:rPr>
            </w:pPr>
            <w:r w:rsidRPr="00800D1B">
              <w:rPr>
                <w:color w:val="000000"/>
                <w:sz w:val="20"/>
                <w:lang w:val="sv-SE"/>
              </w:rPr>
              <w:t>Mål (2029)</w:t>
            </w:r>
          </w:p>
        </w:tc>
        <w:tc>
          <w:tcPr>
            <w:tcW w:w="0" w:type="auto"/>
          </w:tcPr>
          <w:p w14:paraId="2D06565D" w14:textId="77777777" w:rsidR="00A77B3E" w:rsidRPr="00800D1B" w:rsidRDefault="00623E14">
            <w:pPr>
              <w:spacing w:before="100"/>
              <w:jc w:val="center"/>
              <w:rPr>
                <w:color w:val="000000"/>
                <w:sz w:val="20"/>
                <w:lang w:val="sv-SE"/>
              </w:rPr>
            </w:pPr>
            <w:r w:rsidRPr="00800D1B">
              <w:rPr>
                <w:color w:val="000000"/>
                <w:sz w:val="20"/>
                <w:lang w:val="sv-SE"/>
              </w:rPr>
              <w:t>Datakälla</w:t>
            </w:r>
          </w:p>
        </w:tc>
        <w:tc>
          <w:tcPr>
            <w:tcW w:w="0" w:type="auto"/>
          </w:tcPr>
          <w:p w14:paraId="2D06565E" w14:textId="77777777" w:rsidR="00A77B3E" w:rsidRPr="00800D1B" w:rsidRDefault="00623E14">
            <w:pPr>
              <w:spacing w:before="100"/>
              <w:jc w:val="center"/>
              <w:rPr>
                <w:color w:val="000000"/>
                <w:sz w:val="20"/>
                <w:lang w:val="sv-SE"/>
              </w:rPr>
            </w:pPr>
            <w:r w:rsidRPr="00800D1B">
              <w:rPr>
                <w:color w:val="000000"/>
                <w:sz w:val="20"/>
                <w:lang w:val="sv-SE"/>
              </w:rPr>
              <w:t>Kommentarer</w:t>
            </w:r>
          </w:p>
        </w:tc>
      </w:tr>
      <w:tr w:rsidR="003422DB" w:rsidRPr="00800D1B" w14:paraId="2D06566C" w14:textId="77777777" w:rsidTr="0036018C">
        <w:trPr>
          <w:trHeight w:val="840"/>
        </w:trPr>
        <w:tc>
          <w:tcPr>
            <w:tcW w:w="0" w:type="auto"/>
          </w:tcPr>
          <w:p w14:paraId="2D065660" w14:textId="77777777" w:rsidR="00A77B3E" w:rsidRPr="00800D1B" w:rsidRDefault="00623E14">
            <w:pPr>
              <w:spacing w:before="100"/>
              <w:rPr>
                <w:color w:val="000000"/>
                <w:sz w:val="20"/>
                <w:lang w:val="sv-SE"/>
              </w:rPr>
            </w:pPr>
            <w:r w:rsidRPr="00800D1B">
              <w:rPr>
                <w:color w:val="000000"/>
                <w:sz w:val="20"/>
                <w:lang w:val="sv-SE"/>
              </w:rPr>
              <w:t>1</w:t>
            </w:r>
          </w:p>
        </w:tc>
        <w:tc>
          <w:tcPr>
            <w:tcW w:w="0" w:type="auto"/>
          </w:tcPr>
          <w:p w14:paraId="2D065661" w14:textId="77777777" w:rsidR="00A77B3E" w:rsidRPr="00800D1B" w:rsidRDefault="00623E14">
            <w:pPr>
              <w:spacing w:before="100"/>
              <w:rPr>
                <w:color w:val="000000"/>
                <w:sz w:val="20"/>
                <w:lang w:val="sv-SE"/>
              </w:rPr>
            </w:pPr>
            <w:r w:rsidRPr="00800D1B">
              <w:rPr>
                <w:color w:val="000000"/>
                <w:sz w:val="20"/>
                <w:lang w:val="sv-SE"/>
              </w:rPr>
              <w:t>RSO1.1</w:t>
            </w:r>
          </w:p>
        </w:tc>
        <w:tc>
          <w:tcPr>
            <w:tcW w:w="0" w:type="auto"/>
          </w:tcPr>
          <w:p w14:paraId="2D065662" w14:textId="77777777" w:rsidR="00A77B3E" w:rsidRPr="00800D1B" w:rsidRDefault="00623E14">
            <w:pPr>
              <w:spacing w:before="100"/>
              <w:rPr>
                <w:color w:val="000000"/>
                <w:sz w:val="20"/>
                <w:lang w:val="sv-SE"/>
              </w:rPr>
            </w:pPr>
            <w:r w:rsidRPr="00800D1B">
              <w:rPr>
                <w:color w:val="000000"/>
                <w:sz w:val="20"/>
                <w:lang w:val="sv-SE"/>
              </w:rPr>
              <w:t>Eruf</w:t>
            </w:r>
          </w:p>
        </w:tc>
        <w:tc>
          <w:tcPr>
            <w:tcW w:w="735" w:type="pct"/>
          </w:tcPr>
          <w:p w14:paraId="2D065663" w14:textId="77777777" w:rsidR="00A77B3E" w:rsidRPr="00800D1B" w:rsidRDefault="00623E14" w:rsidP="00754A28">
            <w:pPr>
              <w:spacing w:before="100"/>
              <w:ind w:right="-195"/>
              <w:rPr>
                <w:color w:val="000000"/>
                <w:sz w:val="20"/>
                <w:lang w:val="sv-SE"/>
              </w:rPr>
            </w:pPr>
            <w:r w:rsidRPr="00800D1B">
              <w:rPr>
                <w:color w:val="000000"/>
                <w:sz w:val="20"/>
                <w:lang w:val="sv-SE"/>
              </w:rPr>
              <w:t>Mer utvecklade regioner</w:t>
            </w:r>
          </w:p>
        </w:tc>
        <w:tc>
          <w:tcPr>
            <w:tcW w:w="0" w:type="auto"/>
          </w:tcPr>
          <w:p w14:paraId="2D065664" w14:textId="77777777" w:rsidR="00A77B3E" w:rsidRPr="00800D1B" w:rsidRDefault="00623E14">
            <w:pPr>
              <w:spacing w:before="100"/>
              <w:rPr>
                <w:color w:val="000000"/>
                <w:sz w:val="20"/>
                <w:lang w:val="sv-SE"/>
              </w:rPr>
            </w:pPr>
            <w:r w:rsidRPr="00800D1B">
              <w:rPr>
                <w:color w:val="000000"/>
                <w:sz w:val="20"/>
                <w:lang w:val="sv-SE"/>
              </w:rPr>
              <w:t>RCR03</w:t>
            </w:r>
          </w:p>
        </w:tc>
        <w:tc>
          <w:tcPr>
            <w:tcW w:w="0" w:type="auto"/>
          </w:tcPr>
          <w:p w14:paraId="2D065665" w14:textId="77777777" w:rsidR="00A77B3E" w:rsidRPr="00800D1B" w:rsidRDefault="00623E14" w:rsidP="00754A28">
            <w:pPr>
              <w:spacing w:before="100" w:after="60"/>
              <w:ind w:right="-180"/>
              <w:rPr>
                <w:color w:val="000000"/>
                <w:sz w:val="20"/>
                <w:lang w:val="sv-SE"/>
              </w:rPr>
            </w:pPr>
            <w:r w:rsidRPr="00800D1B">
              <w:rPr>
                <w:color w:val="000000"/>
                <w:sz w:val="20"/>
                <w:lang w:val="sv-SE"/>
              </w:rPr>
              <w:t>Små och medelstora företag (SMF) som inför produkt- eller processinnovationer</w:t>
            </w:r>
          </w:p>
        </w:tc>
        <w:tc>
          <w:tcPr>
            <w:tcW w:w="0" w:type="auto"/>
          </w:tcPr>
          <w:p w14:paraId="2D065666" w14:textId="77777777" w:rsidR="00A77B3E" w:rsidRPr="00800D1B" w:rsidRDefault="00623E14">
            <w:pPr>
              <w:spacing w:before="100"/>
              <w:rPr>
                <w:color w:val="000000"/>
                <w:sz w:val="20"/>
                <w:lang w:val="sv-SE"/>
              </w:rPr>
            </w:pPr>
            <w:r w:rsidRPr="00800D1B">
              <w:rPr>
                <w:color w:val="000000"/>
                <w:sz w:val="20"/>
                <w:lang w:val="sv-SE"/>
              </w:rPr>
              <w:t>företag</w:t>
            </w:r>
          </w:p>
        </w:tc>
        <w:tc>
          <w:tcPr>
            <w:tcW w:w="0" w:type="auto"/>
          </w:tcPr>
          <w:p w14:paraId="2D065667" w14:textId="77777777" w:rsidR="00A77B3E" w:rsidRPr="00800D1B" w:rsidRDefault="00623E14">
            <w:pPr>
              <w:spacing w:before="100"/>
              <w:jc w:val="right"/>
              <w:rPr>
                <w:color w:val="000000"/>
                <w:sz w:val="20"/>
                <w:lang w:val="sv-SE"/>
              </w:rPr>
            </w:pPr>
            <w:r w:rsidRPr="00800D1B">
              <w:rPr>
                <w:color w:val="000000"/>
                <w:sz w:val="20"/>
                <w:lang w:val="sv-SE"/>
              </w:rPr>
              <w:t>0,00</w:t>
            </w:r>
          </w:p>
        </w:tc>
        <w:tc>
          <w:tcPr>
            <w:tcW w:w="0" w:type="auto"/>
          </w:tcPr>
          <w:p w14:paraId="2D065668" w14:textId="77777777" w:rsidR="00A77B3E" w:rsidRPr="00800D1B" w:rsidRDefault="00623E14">
            <w:pPr>
              <w:spacing w:before="100"/>
              <w:jc w:val="center"/>
              <w:rPr>
                <w:color w:val="000000"/>
                <w:sz w:val="20"/>
                <w:lang w:val="sv-SE"/>
              </w:rPr>
            </w:pPr>
            <w:r w:rsidRPr="00800D1B">
              <w:rPr>
                <w:color w:val="000000"/>
                <w:sz w:val="20"/>
                <w:lang w:val="sv-SE"/>
              </w:rPr>
              <w:t>2021</w:t>
            </w:r>
          </w:p>
        </w:tc>
        <w:tc>
          <w:tcPr>
            <w:tcW w:w="0" w:type="auto"/>
          </w:tcPr>
          <w:p w14:paraId="2D065669" w14:textId="77777777" w:rsidR="00A77B3E" w:rsidRPr="00800D1B" w:rsidRDefault="00623E14">
            <w:pPr>
              <w:spacing w:before="100"/>
              <w:jc w:val="right"/>
              <w:rPr>
                <w:color w:val="000000"/>
                <w:sz w:val="20"/>
                <w:lang w:val="sv-SE"/>
              </w:rPr>
            </w:pPr>
            <w:r w:rsidRPr="00800D1B">
              <w:rPr>
                <w:color w:val="000000"/>
                <w:sz w:val="20"/>
                <w:lang w:val="sv-SE"/>
              </w:rPr>
              <w:t>11,00</w:t>
            </w:r>
          </w:p>
        </w:tc>
        <w:tc>
          <w:tcPr>
            <w:tcW w:w="0" w:type="auto"/>
          </w:tcPr>
          <w:p w14:paraId="2D06566A" w14:textId="77777777" w:rsidR="00A77B3E" w:rsidRPr="00800D1B" w:rsidRDefault="00623E14">
            <w:pPr>
              <w:spacing w:before="100"/>
              <w:rPr>
                <w:color w:val="000000"/>
                <w:sz w:val="20"/>
                <w:lang w:val="sv-SE"/>
              </w:rPr>
            </w:pPr>
            <w:r w:rsidRPr="00800D1B">
              <w:rPr>
                <w:color w:val="000000"/>
                <w:sz w:val="20"/>
                <w:lang w:val="sv-SE"/>
              </w:rPr>
              <w:t>Projekt</w:t>
            </w:r>
          </w:p>
        </w:tc>
        <w:tc>
          <w:tcPr>
            <w:tcW w:w="0" w:type="auto"/>
          </w:tcPr>
          <w:p w14:paraId="2D06566B" w14:textId="77777777" w:rsidR="00A77B3E" w:rsidRPr="00800D1B" w:rsidRDefault="00A77B3E">
            <w:pPr>
              <w:spacing w:before="100"/>
              <w:rPr>
                <w:color w:val="000000"/>
                <w:sz w:val="20"/>
                <w:lang w:val="sv-SE"/>
              </w:rPr>
            </w:pPr>
          </w:p>
        </w:tc>
      </w:tr>
      <w:tr w:rsidR="003422DB" w:rsidRPr="00800D1B" w14:paraId="2D065679" w14:textId="77777777" w:rsidTr="0036018C">
        <w:trPr>
          <w:trHeight w:val="855"/>
        </w:trPr>
        <w:tc>
          <w:tcPr>
            <w:tcW w:w="0" w:type="auto"/>
          </w:tcPr>
          <w:p w14:paraId="2D06566D" w14:textId="77777777" w:rsidR="00A77B3E" w:rsidRPr="00800D1B" w:rsidRDefault="00623E14">
            <w:pPr>
              <w:spacing w:before="100"/>
              <w:rPr>
                <w:color w:val="000000"/>
                <w:sz w:val="20"/>
                <w:lang w:val="sv-SE"/>
              </w:rPr>
            </w:pPr>
            <w:r w:rsidRPr="00800D1B">
              <w:rPr>
                <w:color w:val="000000"/>
                <w:sz w:val="20"/>
                <w:lang w:val="sv-SE"/>
              </w:rPr>
              <w:t>1</w:t>
            </w:r>
          </w:p>
        </w:tc>
        <w:tc>
          <w:tcPr>
            <w:tcW w:w="0" w:type="auto"/>
          </w:tcPr>
          <w:p w14:paraId="2D06566E" w14:textId="77777777" w:rsidR="00A77B3E" w:rsidRPr="00800D1B" w:rsidRDefault="00623E14">
            <w:pPr>
              <w:spacing w:before="100"/>
              <w:rPr>
                <w:color w:val="000000"/>
                <w:sz w:val="20"/>
                <w:lang w:val="sv-SE"/>
              </w:rPr>
            </w:pPr>
            <w:r w:rsidRPr="00800D1B">
              <w:rPr>
                <w:color w:val="000000"/>
                <w:sz w:val="20"/>
                <w:lang w:val="sv-SE"/>
              </w:rPr>
              <w:t>RSO1.1</w:t>
            </w:r>
          </w:p>
        </w:tc>
        <w:tc>
          <w:tcPr>
            <w:tcW w:w="0" w:type="auto"/>
          </w:tcPr>
          <w:p w14:paraId="2D06566F" w14:textId="77777777" w:rsidR="00A77B3E" w:rsidRPr="00800D1B" w:rsidRDefault="00623E14">
            <w:pPr>
              <w:spacing w:before="100"/>
              <w:rPr>
                <w:color w:val="000000"/>
                <w:sz w:val="20"/>
                <w:lang w:val="sv-SE"/>
              </w:rPr>
            </w:pPr>
            <w:r w:rsidRPr="00800D1B">
              <w:rPr>
                <w:color w:val="000000"/>
                <w:sz w:val="20"/>
                <w:lang w:val="sv-SE"/>
              </w:rPr>
              <w:t>Eruf</w:t>
            </w:r>
          </w:p>
        </w:tc>
        <w:tc>
          <w:tcPr>
            <w:tcW w:w="735" w:type="pct"/>
          </w:tcPr>
          <w:p w14:paraId="2D065670" w14:textId="77777777" w:rsidR="00A77B3E" w:rsidRPr="00800D1B" w:rsidRDefault="00623E14" w:rsidP="00754A28">
            <w:pPr>
              <w:spacing w:before="100"/>
              <w:ind w:right="-195"/>
              <w:rPr>
                <w:color w:val="000000"/>
                <w:sz w:val="20"/>
                <w:lang w:val="sv-SE"/>
              </w:rPr>
            </w:pPr>
            <w:r w:rsidRPr="00800D1B">
              <w:rPr>
                <w:color w:val="000000"/>
                <w:sz w:val="20"/>
                <w:lang w:val="sv-SE"/>
              </w:rPr>
              <w:t>Mer utvecklade regioner</w:t>
            </w:r>
          </w:p>
        </w:tc>
        <w:tc>
          <w:tcPr>
            <w:tcW w:w="0" w:type="auto"/>
          </w:tcPr>
          <w:p w14:paraId="2D065671" w14:textId="77777777" w:rsidR="00A77B3E" w:rsidRPr="00800D1B" w:rsidRDefault="00623E14">
            <w:pPr>
              <w:spacing w:before="100"/>
              <w:rPr>
                <w:color w:val="000000"/>
                <w:sz w:val="20"/>
                <w:lang w:val="sv-SE"/>
              </w:rPr>
            </w:pPr>
            <w:r w:rsidRPr="00800D1B">
              <w:rPr>
                <w:color w:val="000000"/>
                <w:sz w:val="20"/>
                <w:lang w:val="sv-SE"/>
              </w:rPr>
              <w:t>RCR04</w:t>
            </w:r>
          </w:p>
        </w:tc>
        <w:tc>
          <w:tcPr>
            <w:tcW w:w="0" w:type="auto"/>
          </w:tcPr>
          <w:p w14:paraId="2D065672" w14:textId="77777777" w:rsidR="00A77B3E" w:rsidRPr="00800D1B" w:rsidRDefault="00623E14" w:rsidP="00754A28">
            <w:pPr>
              <w:spacing w:before="100" w:after="60"/>
              <w:ind w:right="-180"/>
              <w:rPr>
                <w:color w:val="000000"/>
                <w:sz w:val="20"/>
                <w:lang w:val="sv-SE"/>
              </w:rPr>
            </w:pPr>
            <w:r w:rsidRPr="00800D1B">
              <w:rPr>
                <w:color w:val="000000"/>
                <w:sz w:val="20"/>
                <w:lang w:val="sv-SE"/>
              </w:rPr>
              <w:t>Små och medelstora företag som inför marknadsförings- eller organisationsinnovationer</w:t>
            </w:r>
          </w:p>
        </w:tc>
        <w:tc>
          <w:tcPr>
            <w:tcW w:w="0" w:type="auto"/>
          </w:tcPr>
          <w:p w14:paraId="2D065673" w14:textId="77777777" w:rsidR="00A77B3E" w:rsidRPr="00800D1B" w:rsidRDefault="00623E14">
            <w:pPr>
              <w:spacing w:before="100"/>
              <w:rPr>
                <w:color w:val="000000"/>
                <w:sz w:val="20"/>
                <w:lang w:val="sv-SE"/>
              </w:rPr>
            </w:pPr>
            <w:r w:rsidRPr="00800D1B">
              <w:rPr>
                <w:color w:val="000000"/>
                <w:sz w:val="20"/>
                <w:lang w:val="sv-SE"/>
              </w:rPr>
              <w:t>företag</w:t>
            </w:r>
          </w:p>
        </w:tc>
        <w:tc>
          <w:tcPr>
            <w:tcW w:w="0" w:type="auto"/>
          </w:tcPr>
          <w:p w14:paraId="2D065674" w14:textId="77777777" w:rsidR="00A77B3E" w:rsidRPr="00800D1B" w:rsidRDefault="00623E14">
            <w:pPr>
              <w:spacing w:before="100"/>
              <w:jc w:val="right"/>
              <w:rPr>
                <w:color w:val="000000"/>
                <w:sz w:val="20"/>
                <w:lang w:val="sv-SE"/>
              </w:rPr>
            </w:pPr>
            <w:r w:rsidRPr="00800D1B">
              <w:rPr>
                <w:color w:val="000000"/>
                <w:sz w:val="20"/>
                <w:lang w:val="sv-SE"/>
              </w:rPr>
              <w:t>0,00</w:t>
            </w:r>
          </w:p>
        </w:tc>
        <w:tc>
          <w:tcPr>
            <w:tcW w:w="0" w:type="auto"/>
          </w:tcPr>
          <w:p w14:paraId="2D065675" w14:textId="77777777" w:rsidR="00A77B3E" w:rsidRPr="00800D1B" w:rsidRDefault="00623E14">
            <w:pPr>
              <w:spacing w:before="100"/>
              <w:jc w:val="center"/>
              <w:rPr>
                <w:color w:val="000000"/>
                <w:sz w:val="20"/>
                <w:lang w:val="sv-SE"/>
              </w:rPr>
            </w:pPr>
            <w:r w:rsidRPr="00800D1B">
              <w:rPr>
                <w:color w:val="000000"/>
                <w:sz w:val="20"/>
                <w:lang w:val="sv-SE"/>
              </w:rPr>
              <w:t>2021</w:t>
            </w:r>
          </w:p>
        </w:tc>
        <w:tc>
          <w:tcPr>
            <w:tcW w:w="0" w:type="auto"/>
          </w:tcPr>
          <w:p w14:paraId="2D065676" w14:textId="77777777" w:rsidR="00A77B3E" w:rsidRPr="00800D1B" w:rsidRDefault="00623E14">
            <w:pPr>
              <w:spacing w:before="100"/>
              <w:jc w:val="right"/>
              <w:rPr>
                <w:color w:val="000000"/>
                <w:sz w:val="20"/>
                <w:lang w:val="sv-SE"/>
              </w:rPr>
            </w:pPr>
            <w:r w:rsidRPr="00800D1B">
              <w:rPr>
                <w:color w:val="000000"/>
                <w:sz w:val="20"/>
                <w:lang w:val="sv-SE"/>
              </w:rPr>
              <w:t>11,00</w:t>
            </w:r>
          </w:p>
        </w:tc>
        <w:tc>
          <w:tcPr>
            <w:tcW w:w="0" w:type="auto"/>
          </w:tcPr>
          <w:p w14:paraId="2D065677" w14:textId="77777777" w:rsidR="00A77B3E" w:rsidRPr="00800D1B" w:rsidRDefault="00623E14">
            <w:pPr>
              <w:spacing w:before="100"/>
              <w:rPr>
                <w:color w:val="000000"/>
                <w:sz w:val="20"/>
                <w:lang w:val="sv-SE"/>
              </w:rPr>
            </w:pPr>
            <w:r w:rsidRPr="00800D1B">
              <w:rPr>
                <w:color w:val="000000"/>
                <w:sz w:val="20"/>
                <w:lang w:val="sv-SE"/>
              </w:rPr>
              <w:t>Projekt</w:t>
            </w:r>
          </w:p>
        </w:tc>
        <w:tc>
          <w:tcPr>
            <w:tcW w:w="0" w:type="auto"/>
          </w:tcPr>
          <w:p w14:paraId="2D065678" w14:textId="77777777" w:rsidR="00A77B3E" w:rsidRPr="00800D1B" w:rsidRDefault="00A77B3E">
            <w:pPr>
              <w:spacing w:before="100"/>
              <w:rPr>
                <w:color w:val="000000"/>
                <w:sz w:val="20"/>
                <w:lang w:val="sv-SE"/>
              </w:rPr>
            </w:pPr>
          </w:p>
        </w:tc>
      </w:tr>
      <w:tr w:rsidR="003422DB" w:rsidRPr="00800D1B" w14:paraId="2D065686" w14:textId="77777777" w:rsidTr="0036018C">
        <w:trPr>
          <w:trHeight w:val="615"/>
        </w:trPr>
        <w:tc>
          <w:tcPr>
            <w:tcW w:w="0" w:type="auto"/>
          </w:tcPr>
          <w:p w14:paraId="2D06567A" w14:textId="77777777" w:rsidR="00A77B3E" w:rsidRPr="00800D1B" w:rsidRDefault="00623E14">
            <w:pPr>
              <w:spacing w:before="100"/>
              <w:rPr>
                <w:color w:val="000000"/>
                <w:sz w:val="20"/>
                <w:lang w:val="sv-SE"/>
              </w:rPr>
            </w:pPr>
            <w:r w:rsidRPr="00800D1B">
              <w:rPr>
                <w:color w:val="000000"/>
                <w:sz w:val="20"/>
                <w:lang w:val="sv-SE"/>
              </w:rPr>
              <w:t>1</w:t>
            </w:r>
          </w:p>
        </w:tc>
        <w:tc>
          <w:tcPr>
            <w:tcW w:w="0" w:type="auto"/>
          </w:tcPr>
          <w:p w14:paraId="2D06567B" w14:textId="77777777" w:rsidR="00A77B3E" w:rsidRPr="00800D1B" w:rsidRDefault="00623E14">
            <w:pPr>
              <w:spacing w:before="100"/>
              <w:rPr>
                <w:color w:val="000000"/>
                <w:sz w:val="20"/>
                <w:lang w:val="sv-SE"/>
              </w:rPr>
            </w:pPr>
            <w:r w:rsidRPr="00800D1B">
              <w:rPr>
                <w:color w:val="000000"/>
                <w:sz w:val="20"/>
                <w:lang w:val="sv-SE"/>
              </w:rPr>
              <w:t>RSO1.1</w:t>
            </w:r>
          </w:p>
        </w:tc>
        <w:tc>
          <w:tcPr>
            <w:tcW w:w="0" w:type="auto"/>
          </w:tcPr>
          <w:p w14:paraId="2D06567C" w14:textId="77777777" w:rsidR="00A77B3E" w:rsidRPr="00800D1B" w:rsidRDefault="00623E14">
            <w:pPr>
              <w:spacing w:before="100"/>
              <w:rPr>
                <w:color w:val="000000"/>
                <w:sz w:val="20"/>
                <w:lang w:val="sv-SE"/>
              </w:rPr>
            </w:pPr>
            <w:r w:rsidRPr="00800D1B">
              <w:rPr>
                <w:color w:val="000000"/>
                <w:sz w:val="20"/>
                <w:lang w:val="sv-SE"/>
              </w:rPr>
              <w:t>Eruf</w:t>
            </w:r>
          </w:p>
        </w:tc>
        <w:tc>
          <w:tcPr>
            <w:tcW w:w="735" w:type="pct"/>
          </w:tcPr>
          <w:p w14:paraId="2D06567D" w14:textId="77777777" w:rsidR="00A77B3E" w:rsidRPr="00800D1B" w:rsidRDefault="00623E14" w:rsidP="00754A28">
            <w:pPr>
              <w:spacing w:before="100"/>
              <w:ind w:right="-195"/>
              <w:rPr>
                <w:color w:val="000000"/>
                <w:sz w:val="20"/>
                <w:lang w:val="sv-SE"/>
              </w:rPr>
            </w:pPr>
            <w:r w:rsidRPr="00800D1B">
              <w:rPr>
                <w:color w:val="000000"/>
                <w:sz w:val="20"/>
                <w:lang w:val="sv-SE"/>
              </w:rPr>
              <w:t>Mer utvecklade regioner</w:t>
            </w:r>
          </w:p>
        </w:tc>
        <w:tc>
          <w:tcPr>
            <w:tcW w:w="0" w:type="auto"/>
          </w:tcPr>
          <w:p w14:paraId="2D06567E" w14:textId="77777777" w:rsidR="00A77B3E" w:rsidRPr="00800D1B" w:rsidRDefault="00623E14">
            <w:pPr>
              <w:spacing w:before="100"/>
              <w:rPr>
                <w:color w:val="000000"/>
                <w:sz w:val="20"/>
                <w:lang w:val="sv-SE"/>
              </w:rPr>
            </w:pPr>
            <w:r w:rsidRPr="00800D1B">
              <w:rPr>
                <w:color w:val="000000"/>
                <w:sz w:val="20"/>
                <w:lang w:val="sv-SE"/>
              </w:rPr>
              <w:t>RCR05</w:t>
            </w:r>
          </w:p>
        </w:tc>
        <w:tc>
          <w:tcPr>
            <w:tcW w:w="0" w:type="auto"/>
          </w:tcPr>
          <w:p w14:paraId="2D06567F" w14:textId="77777777" w:rsidR="00A77B3E" w:rsidRPr="00800D1B" w:rsidRDefault="00623E14" w:rsidP="00754A28">
            <w:pPr>
              <w:spacing w:before="100" w:after="60"/>
              <w:ind w:right="-180"/>
              <w:rPr>
                <w:color w:val="000000"/>
                <w:sz w:val="20"/>
                <w:lang w:val="sv-SE"/>
              </w:rPr>
            </w:pPr>
            <w:r w:rsidRPr="00800D1B">
              <w:rPr>
                <w:color w:val="000000"/>
                <w:sz w:val="20"/>
                <w:lang w:val="sv-SE"/>
              </w:rPr>
              <w:t>Små och medelstora företag som gör innovationer inom företaget</w:t>
            </w:r>
          </w:p>
        </w:tc>
        <w:tc>
          <w:tcPr>
            <w:tcW w:w="0" w:type="auto"/>
          </w:tcPr>
          <w:p w14:paraId="2D065680" w14:textId="77777777" w:rsidR="00A77B3E" w:rsidRPr="00800D1B" w:rsidRDefault="00623E14">
            <w:pPr>
              <w:spacing w:before="100"/>
              <w:rPr>
                <w:color w:val="000000"/>
                <w:sz w:val="20"/>
                <w:lang w:val="sv-SE"/>
              </w:rPr>
            </w:pPr>
            <w:r w:rsidRPr="00800D1B">
              <w:rPr>
                <w:color w:val="000000"/>
                <w:sz w:val="20"/>
                <w:lang w:val="sv-SE"/>
              </w:rPr>
              <w:t>företag</w:t>
            </w:r>
          </w:p>
        </w:tc>
        <w:tc>
          <w:tcPr>
            <w:tcW w:w="0" w:type="auto"/>
          </w:tcPr>
          <w:p w14:paraId="2D065681" w14:textId="77777777" w:rsidR="00A77B3E" w:rsidRPr="00800D1B" w:rsidRDefault="00623E14">
            <w:pPr>
              <w:spacing w:before="100"/>
              <w:jc w:val="right"/>
              <w:rPr>
                <w:color w:val="000000"/>
                <w:sz w:val="20"/>
                <w:lang w:val="sv-SE"/>
              </w:rPr>
            </w:pPr>
            <w:r w:rsidRPr="00800D1B">
              <w:rPr>
                <w:color w:val="000000"/>
                <w:sz w:val="20"/>
                <w:lang w:val="sv-SE"/>
              </w:rPr>
              <w:t>0,00</w:t>
            </w:r>
          </w:p>
        </w:tc>
        <w:tc>
          <w:tcPr>
            <w:tcW w:w="0" w:type="auto"/>
          </w:tcPr>
          <w:p w14:paraId="2D065682" w14:textId="77777777" w:rsidR="00A77B3E" w:rsidRPr="00800D1B" w:rsidRDefault="00623E14">
            <w:pPr>
              <w:spacing w:before="100"/>
              <w:jc w:val="center"/>
              <w:rPr>
                <w:color w:val="000000"/>
                <w:sz w:val="20"/>
                <w:lang w:val="sv-SE"/>
              </w:rPr>
            </w:pPr>
            <w:r w:rsidRPr="00800D1B">
              <w:rPr>
                <w:color w:val="000000"/>
                <w:sz w:val="20"/>
                <w:lang w:val="sv-SE"/>
              </w:rPr>
              <w:t>2021</w:t>
            </w:r>
          </w:p>
        </w:tc>
        <w:tc>
          <w:tcPr>
            <w:tcW w:w="0" w:type="auto"/>
          </w:tcPr>
          <w:p w14:paraId="2D065683" w14:textId="77777777" w:rsidR="00A77B3E" w:rsidRPr="00800D1B" w:rsidRDefault="00623E14">
            <w:pPr>
              <w:spacing w:before="100"/>
              <w:jc w:val="right"/>
              <w:rPr>
                <w:color w:val="000000"/>
                <w:sz w:val="20"/>
                <w:lang w:val="sv-SE"/>
              </w:rPr>
            </w:pPr>
            <w:r w:rsidRPr="00800D1B">
              <w:rPr>
                <w:color w:val="000000"/>
                <w:sz w:val="20"/>
                <w:lang w:val="sv-SE"/>
              </w:rPr>
              <w:t>11,00</w:t>
            </w:r>
          </w:p>
        </w:tc>
        <w:tc>
          <w:tcPr>
            <w:tcW w:w="0" w:type="auto"/>
          </w:tcPr>
          <w:p w14:paraId="2D065684" w14:textId="77777777" w:rsidR="00A77B3E" w:rsidRPr="00800D1B" w:rsidRDefault="00623E14">
            <w:pPr>
              <w:spacing w:before="100"/>
              <w:rPr>
                <w:color w:val="000000"/>
                <w:sz w:val="20"/>
                <w:lang w:val="sv-SE"/>
              </w:rPr>
            </w:pPr>
            <w:r w:rsidRPr="00800D1B">
              <w:rPr>
                <w:color w:val="000000"/>
                <w:sz w:val="20"/>
                <w:lang w:val="sv-SE"/>
              </w:rPr>
              <w:t>Projekt</w:t>
            </w:r>
          </w:p>
        </w:tc>
        <w:tc>
          <w:tcPr>
            <w:tcW w:w="0" w:type="auto"/>
          </w:tcPr>
          <w:p w14:paraId="2D065685" w14:textId="77777777" w:rsidR="00A77B3E" w:rsidRPr="00800D1B" w:rsidRDefault="00A77B3E">
            <w:pPr>
              <w:spacing w:before="100"/>
              <w:rPr>
                <w:color w:val="000000"/>
                <w:sz w:val="20"/>
                <w:lang w:val="sv-SE"/>
              </w:rPr>
            </w:pPr>
          </w:p>
        </w:tc>
      </w:tr>
      <w:tr w:rsidR="003422DB" w:rsidRPr="00800D1B" w14:paraId="2D065693" w14:textId="77777777" w:rsidTr="0036018C">
        <w:trPr>
          <w:trHeight w:val="615"/>
        </w:trPr>
        <w:tc>
          <w:tcPr>
            <w:tcW w:w="0" w:type="auto"/>
          </w:tcPr>
          <w:p w14:paraId="2D065687" w14:textId="77777777" w:rsidR="00A77B3E" w:rsidRPr="00800D1B" w:rsidRDefault="00623E14">
            <w:pPr>
              <w:spacing w:before="100"/>
              <w:rPr>
                <w:color w:val="000000"/>
                <w:sz w:val="20"/>
                <w:lang w:val="sv-SE"/>
              </w:rPr>
            </w:pPr>
            <w:r w:rsidRPr="00800D1B">
              <w:rPr>
                <w:color w:val="000000"/>
                <w:sz w:val="20"/>
                <w:lang w:val="sv-SE"/>
              </w:rPr>
              <w:t>1</w:t>
            </w:r>
          </w:p>
        </w:tc>
        <w:tc>
          <w:tcPr>
            <w:tcW w:w="0" w:type="auto"/>
          </w:tcPr>
          <w:p w14:paraId="2D065688" w14:textId="77777777" w:rsidR="00A77B3E" w:rsidRPr="00800D1B" w:rsidRDefault="00623E14">
            <w:pPr>
              <w:spacing w:before="100"/>
              <w:rPr>
                <w:color w:val="000000"/>
                <w:sz w:val="20"/>
                <w:lang w:val="sv-SE"/>
              </w:rPr>
            </w:pPr>
            <w:r w:rsidRPr="00800D1B">
              <w:rPr>
                <w:color w:val="000000"/>
                <w:sz w:val="20"/>
                <w:lang w:val="sv-SE"/>
              </w:rPr>
              <w:t>RSO1.1</w:t>
            </w:r>
          </w:p>
        </w:tc>
        <w:tc>
          <w:tcPr>
            <w:tcW w:w="0" w:type="auto"/>
          </w:tcPr>
          <w:p w14:paraId="2D065689" w14:textId="77777777" w:rsidR="00A77B3E" w:rsidRPr="00800D1B" w:rsidRDefault="00623E14">
            <w:pPr>
              <w:spacing w:before="100"/>
              <w:rPr>
                <w:color w:val="000000"/>
                <w:sz w:val="20"/>
                <w:lang w:val="sv-SE"/>
              </w:rPr>
            </w:pPr>
            <w:r w:rsidRPr="00800D1B">
              <w:rPr>
                <w:color w:val="000000"/>
                <w:sz w:val="20"/>
                <w:lang w:val="sv-SE"/>
              </w:rPr>
              <w:t>Eruf</w:t>
            </w:r>
          </w:p>
        </w:tc>
        <w:tc>
          <w:tcPr>
            <w:tcW w:w="735" w:type="pct"/>
          </w:tcPr>
          <w:p w14:paraId="2D06568A" w14:textId="77777777" w:rsidR="00A77B3E" w:rsidRPr="00800D1B" w:rsidRDefault="00623E14" w:rsidP="00754A28">
            <w:pPr>
              <w:spacing w:before="100"/>
              <w:ind w:right="-195"/>
              <w:rPr>
                <w:color w:val="000000"/>
                <w:sz w:val="20"/>
                <w:lang w:val="sv-SE"/>
              </w:rPr>
            </w:pPr>
            <w:r w:rsidRPr="00800D1B">
              <w:rPr>
                <w:color w:val="000000"/>
                <w:sz w:val="20"/>
                <w:lang w:val="sv-SE"/>
              </w:rPr>
              <w:t>Mer utvecklade regioner</w:t>
            </w:r>
          </w:p>
        </w:tc>
        <w:tc>
          <w:tcPr>
            <w:tcW w:w="0" w:type="auto"/>
          </w:tcPr>
          <w:p w14:paraId="2D06568B" w14:textId="77777777" w:rsidR="00A77B3E" w:rsidRPr="00800D1B" w:rsidRDefault="00623E14">
            <w:pPr>
              <w:spacing w:before="100"/>
              <w:rPr>
                <w:color w:val="000000"/>
                <w:sz w:val="20"/>
                <w:lang w:val="sv-SE"/>
              </w:rPr>
            </w:pPr>
            <w:r w:rsidRPr="00800D1B">
              <w:rPr>
                <w:color w:val="000000"/>
                <w:sz w:val="20"/>
                <w:lang w:val="sv-SE"/>
              </w:rPr>
              <w:t>RCR08</w:t>
            </w:r>
          </w:p>
        </w:tc>
        <w:tc>
          <w:tcPr>
            <w:tcW w:w="0" w:type="auto"/>
          </w:tcPr>
          <w:p w14:paraId="2D06568C" w14:textId="77777777" w:rsidR="00A77B3E" w:rsidRPr="00800D1B" w:rsidRDefault="00623E14" w:rsidP="00754A28">
            <w:pPr>
              <w:spacing w:before="100" w:after="60"/>
              <w:rPr>
                <w:color w:val="000000"/>
                <w:sz w:val="20"/>
                <w:lang w:val="sv-SE"/>
              </w:rPr>
            </w:pPr>
            <w:r w:rsidRPr="00800D1B">
              <w:rPr>
                <w:color w:val="000000"/>
                <w:sz w:val="20"/>
                <w:lang w:val="sv-SE"/>
              </w:rPr>
              <w:t>Publikationer från projekt som får stöd</w:t>
            </w:r>
          </w:p>
        </w:tc>
        <w:tc>
          <w:tcPr>
            <w:tcW w:w="0" w:type="auto"/>
          </w:tcPr>
          <w:p w14:paraId="2D06568D" w14:textId="77777777" w:rsidR="00A77B3E" w:rsidRPr="00800D1B" w:rsidRDefault="00623E14">
            <w:pPr>
              <w:spacing w:before="100"/>
              <w:rPr>
                <w:color w:val="000000"/>
                <w:sz w:val="20"/>
                <w:lang w:val="sv-SE"/>
              </w:rPr>
            </w:pPr>
            <w:r w:rsidRPr="00800D1B">
              <w:rPr>
                <w:color w:val="000000"/>
                <w:sz w:val="20"/>
                <w:lang w:val="sv-SE"/>
              </w:rPr>
              <w:t>publikationer</w:t>
            </w:r>
          </w:p>
        </w:tc>
        <w:tc>
          <w:tcPr>
            <w:tcW w:w="0" w:type="auto"/>
          </w:tcPr>
          <w:p w14:paraId="2D06568E" w14:textId="77777777" w:rsidR="00A77B3E" w:rsidRPr="00800D1B" w:rsidRDefault="00623E14">
            <w:pPr>
              <w:spacing w:before="100"/>
              <w:jc w:val="right"/>
              <w:rPr>
                <w:color w:val="000000"/>
                <w:sz w:val="20"/>
                <w:lang w:val="sv-SE"/>
              </w:rPr>
            </w:pPr>
            <w:r w:rsidRPr="00800D1B">
              <w:rPr>
                <w:color w:val="000000"/>
                <w:sz w:val="20"/>
                <w:lang w:val="sv-SE"/>
              </w:rPr>
              <w:t>0,00</w:t>
            </w:r>
          </w:p>
        </w:tc>
        <w:tc>
          <w:tcPr>
            <w:tcW w:w="0" w:type="auto"/>
          </w:tcPr>
          <w:p w14:paraId="2D06568F" w14:textId="77777777" w:rsidR="00A77B3E" w:rsidRPr="00800D1B" w:rsidRDefault="00623E14">
            <w:pPr>
              <w:spacing w:before="100"/>
              <w:jc w:val="center"/>
              <w:rPr>
                <w:color w:val="000000"/>
                <w:sz w:val="20"/>
                <w:lang w:val="sv-SE"/>
              </w:rPr>
            </w:pPr>
            <w:r w:rsidRPr="00800D1B">
              <w:rPr>
                <w:color w:val="000000"/>
                <w:sz w:val="20"/>
                <w:lang w:val="sv-SE"/>
              </w:rPr>
              <w:t>2021</w:t>
            </w:r>
          </w:p>
        </w:tc>
        <w:tc>
          <w:tcPr>
            <w:tcW w:w="0" w:type="auto"/>
          </w:tcPr>
          <w:p w14:paraId="2D065690" w14:textId="77777777" w:rsidR="00A77B3E" w:rsidRPr="00800D1B" w:rsidRDefault="00623E14">
            <w:pPr>
              <w:spacing w:before="100"/>
              <w:jc w:val="right"/>
              <w:rPr>
                <w:color w:val="000000"/>
                <w:sz w:val="20"/>
                <w:lang w:val="sv-SE"/>
              </w:rPr>
            </w:pPr>
            <w:r w:rsidRPr="00800D1B">
              <w:rPr>
                <w:color w:val="000000"/>
                <w:sz w:val="20"/>
                <w:lang w:val="sv-SE"/>
              </w:rPr>
              <w:t>30,00</w:t>
            </w:r>
          </w:p>
        </w:tc>
        <w:tc>
          <w:tcPr>
            <w:tcW w:w="0" w:type="auto"/>
          </w:tcPr>
          <w:p w14:paraId="2D065691" w14:textId="77777777" w:rsidR="00A77B3E" w:rsidRPr="00800D1B" w:rsidRDefault="00623E14">
            <w:pPr>
              <w:spacing w:before="100"/>
              <w:rPr>
                <w:color w:val="000000"/>
                <w:sz w:val="20"/>
                <w:lang w:val="sv-SE"/>
              </w:rPr>
            </w:pPr>
            <w:r w:rsidRPr="00800D1B">
              <w:rPr>
                <w:color w:val="000000"/>
                <w:sz w:val="20"/>
                <w:lang w:val="sv-SE"/>
              </w:rPr>
              <w:t>Projekt</w:t>
            </w:r>
          </w:p>
        </w:tc>
        <w:tc>
          <w:tcPr>
            <w:tcW w:w="0" w:type="auto"/>
          </w:tcPr>
          <w:p w14:paraId="2D065692" w14:textId="77777777" w:rsidR="00A77B3E" w:rsidRPr="00800D1B" w:rsidRDefault="00A77B3E">
            <w:pPr>
              <w:spacing w:before="100"/>
              <w:rPr>
                <w:color w:val="000000"/>
                <w:sz w:val="20"/>
                <w:lang w:val="sv-SE"/>
              </w:rPr>
            </w:pPr>
          </w:p>
        </w:tc>
      </w:tr>
      <w:tr w:rsidR="003422DB" w:rsidRPr="00800D1B" w14:paraId="2D0656A0" w14:textId="77777777" w:rsidTr="0036018C">
        <w:trPr>
          <w:trHeight w:val="615"/>
        </w:trPr>
        <w:tc>
          <w:tcPr>
            <w:tcW w:w="0" w:type="auto"/>
          </w:tcPr>
          <w:p w14:paraId="2D065694" w14:textId="77777777" w:rsidR="00A77B3E" w:rsidRPr="00800D1B" w:rsidRDefault="00623E14">
            <w:pPr>
              <w:spacing w:before="100"/>
              <w:rPr>
                <w:color w:val="000000"/>
                <w:sz w:val="20"/>
                <w:lang w:val="sv-SE"/>
              </w:rPr>
            </w:pPr>
            <w:r w:rsidRPr="00800D1B">
              <w:rPr>
                <w:color w:val="000000"/>
                <w:sz w:val="20"/>
                <w:lang w:val="sv-SE"/>
              </w:rPr>
              <w:t>1</w:t>
            </w:r>
          </w:p>
        </w:tc>
        <w:tc>
          <w:tcPr>
            <w:tcW w:w="0" w:type="auto"/>
          </w:tcPr>
          <w:p w14:paraId="2D065695" w14:textId="77777777" w:rsidR="00A77B3E" w:rsidRPr="00800D1B" w:rsidRDefault="00623E14">
            <w:pPr>
              <w:spacing w:before="100"/>
              <w:rPr>
                <w:color w:val="000000"/>
                <w:sz w:val="20"/>
                <w:lang w:val="sv-SE"/>
              </w:rPr>
            </w:pPr>
            <w:r w:rsidRPr="00800D1B">
              <w:rPr>
                <w:color w:val="000000"/>
                <w:sz w:val="20"/>
                <w:lang w:val="sv-SE"/>
              </w:rPr>
              <w:t>RSO1.1</w:t>
            </w:r>
          </w:p>
        </w:tc>
        <w:tc>
          <w:tcPr>
            <w:tcW w:w="0" w:type="auto"/>
          </w:tcPr>
          <w:p w14:paraId="2D065696" w14:textId="77777777" w:rsidR="00A77B3E" w:rsidRPr="00800D1B" w:rsidRDefault="00623E14">
            <w:pPr>
              <w:spacing w:before="100"/>
              <w:rPr>
                <w:color w:val="000000"/>
                <w:sz w:val="20"/>
                <w:lang w:val="sv-SE"/>
              </w:rPr>
            </w:pPr>
            <w:r w:rsidRPr="00800D1B">
              <w:rPr>
                <w:color w:val="000000"/>
                <w:sz w:val="20"/>
                <w:lang w:val="sv-SE"/>
              </w:rPr>
              <w:t>Eruf</w:t>
            </w:r>
          </w:p>
        </w:tc>
        <w:tc>
          <w:tcPr>
            <w:tcW w:w="735" w:type="pct"/>
          </w:tcPr>
          <w:p w14:paraId="2D065697" w14:textId="77777777" w:rsidR="00A77B3E" w:rsidRPr="00800D1B" w:rsidRDefault="00623E14" w:rsidP="00754A28">
            <w:pPr>
              <w:spacing w:before="100"/>
              <w:ind w:right="-195"/>
              <w:rPr>
                <w:color w:val="000000"/>
                <w:sz w:val="20"/>
                <w:lang w:val="sv-SE"/>
              </w:rPr>
            </w:pPr>
            <w:r w:rsidRPr="00800D1B">
              <w:rPr>
                <w:color w:val="000000"/>
                <w:sz w:val="20"/>
                <w:lang w:val="sv-SE"/>
              </w:rPr>
              <w:t>Mer utvecklade regioner</w:t>
            </w:r>
          </w:p>
        </w:tc>
        <w:tc>
          <w:tcPr>
            <w:tcW w:w="0" w:type="auto"/>
          </w:tcPr>
          <w:p w14:paraId="2D065698" w14:textId="77777777" w:rsidR="00A77B3E" w:rsidRPr="00800D1B" w:rsidRDefault="00623E14">
            <w:pPr>
              <w:spacing w:before="100"/>
              <w:rPr>
                <w:color w:val="000000"/>
                <w:sz w:val="20"/>
                <w:lang w:val="sv-SE"/>
              </w:rPr>
            </w:pPr>
            <w:r w:rsidRPr="00800D1B">
              <w:rPr>
                <w:color w:val="000000"/>
                <w:sz w:val="20"/>
                <w:lang w:val="sv-SE"/>
              </w:rPr>
              <w:t>SWR03</w:t>
            </w:r>
          </w:p>
        </w:tc>
        <w:tc>
          <w:tcPr>
            <w:tcW w:w="0" w:type="auto"/>
          </w:tcPr>
          <w:p w14:paraId="2D065699" w14:textId="0AEE8D20" w:rsidR="00A77B3E" w:rsidRPr="00800D1B" w:rsidRDefault="00623E14" w:rsidP="00754A28">
            <w:pPr>
              <w:spacing w:before="100" w:after="60"/>
              <w:ind w:right="-90"/>
              <w:rPr>
                <w:color w:val="000000"/>
                <w:sz w:val="20"/>
                <w:lang w:val="sv-SE"/>
              </w:rPr>
            </w:pPr>
            <w:r w:rsidRPr="00800D1B">
              <w:rPr>
                <w:color w:val="000000"/>
                <w:sz w:val="20"/>
                <w:lang w:val="sv-SE"/>
              </w:rPr>
              <w:t>Antal användare av implementerade stödstrukturer</w:t>
            </w:r>
          </w:p>
        </w:tc>
        <w:tc>
          <w:tcPr>
            <w:tcW w:w="0" w:type="auto"/>
          </w:tcPr>
          <w:p w14:paraId="2D06569A" w14:textId="77777777" w:rsidR="00A77B3E" w:rsidRPr="00800D1B" w:rsidRDefault="00623E14">
            <w:pPr>
              <w:spacing w:before="100"/>
              <w:rPr>
                <w:color w:val="000000"/>
                <w:sz w:val="20"/>
                <w:lang w:val="sv-SE"/>
              </w:rPr>
            </w:pPr>
            <w:r w:rsidRPr="00800D1B">
              <w:rPr>
                <w:color w:val="000000"/>
                <w:sz w:val="20"/>
                <w:lang w:val="sv-SE"/>
              </w:rPr>
              <w:t>Användare</w:t>
            </w:r>
          </w:p>
        </w:tc>
        <w:tc>
          <w:tcPr>
            <w:tcW w:w="0" w:type="auto"/>
          </w:tcPr>
          <w:p w14:paraId="2D06569B" w14:textId="77777777" w:rsidR="00A77B3E" w:rsidRPr="00800D1B" w:rsidRDefault="00623E14">
            <w:pPr>
              <w:spacing w:before="100"/>
              <w:jc w:val="right"/>
              <w:rPr>
                <w:color w:val="000000"/>
                <w:sz w:val="20"/>
                <w:lang w:val="sv-SE"/>
              </w:rPr>
            </w:pPr>
            <w:r w:rsidRPr="00800D1B">
              <w:rPr>
                <w:color w:val="000000"/>
                <w:sz w:val="20"/>
                <w:lang w:val="sv-SE"/>
              </w:rPr>
              <w:t>0,00</w:t>
            </w:r>
          </w:p>
        </w:tc>
        <w:tc>
          <w:tcPr>
            <w:tcW w:w="0" w:type="auto"/>
          </w:tcPr>
          <w:p w14:paraId="2D06569C" w14:textId="77777777" w:rsidR="00A77B3E" w:rsidRPr="00800D1B" w:rsidRDefault="00623E14">
            <w:pPr>
              <w:spacing w:before="100"/>
              <w:jc w:val="center"/>
              <w:rPr>
                <w:color w:val="000000"/>
                <w:sz w:val="20"/>
                <w:lang w:val="sv-SE"/>
              </w:rPr>
            </w:pPr>
            <w:r w:rsidRPr="00800D1B">
              <w:rPr>
                <w:color w:val="000000"/>
                <w:sz w:val="20"/>
                <w:lang w:val="sv-SE"/>
              </w:rPr>
              <w:t>2021</w:t>
            </w:r>
          </w:p>
        </w:tc>
        <w:tc>
          <w:tcPr>
            <w:tcW w:w="0" w:type="auto"/>
          </w:tcPr>
          <w:p w14:paraId="2D06569D" w14:textId="77777777" w:rsidR="00A77B3E" w:rsidRPr="00800D1B" w:rsidRDefault="00623E14">
            <w:pPr>
              <w:spacing w:before="100"/>
              <w:jc w:val="right"/>
              <w:rPr>
                <w:color w:val="000000"/>
                <w:sz w:val="20"/>
                <w:lang w:val="sv-SE"/>
              </w:rPr>
            </w:pPr>
            <w:r w:rsidRPr="00800D1B">
              <w:rPr>
                <w:color w:val="000000"/>
                <w:sz w:val="20"/>
                <w:lang w:val="sv-SE"/>
              </w:rPr>
              <w:t>111,00</w:t>
            </w:r>
          </w:p>
        </w:tc>
        <w:tc>
          <w:tcPr>
            <w:tcW w:w="0" w:type="auto"/>
          </w:tcPr>
          <w:p w14:paraId="2D06569E" w14:textId="77777777" w:rsidR="00A77B3E" w:rsidRPr="00800D1B" w:rsidRDefault="00623E14">
            <w:pPr>
              <w:spacing w:before="100"/>
              <w:rPr>
                <w:color w:val="000000"/>
                <w:sz w:val="20"/>
                <w:lang w:val="sv-SE"/>
              </w:rPr>
            </w:pPr>
            <w:r w:rsidRPr="00800D1B">
              <w:rPr>
                <w:color w:val="000000"/>
                <w:sz w:val="20"/>
                <w:lang w:val="sv-SE"/>
              </w:rPr>
              <w:t>Projekt</w:t>
            </w:r>
          </w:p>
        </w:tc>
        <w:tc>
          <w:tcPr>
            <w:tcW w:w="0" w:type="auto"/>
          </w:tcPr>
          <w:p w14:paraId="2D06569F" w14:textId="77777777" w:rsidR="00A77B3E" w:rsidRPr="00800D1B" w:rsidRDefault="00A77B3E">
            <w:pPr>
              <w:spacing w:before="100"/>
              <w:rPr>
                <w:color w:val="000000"/>
                <w:sz w:val="20"/>
                <w:lang w:val="sv-SE"/>
              </w:rPr>
            </w:pPr>
          </w:p>
        </w:tc>
      </w:tr>
      <w:tr w:rsidR="003422DB" w:rsidRPr="00800D1B" w14:paraId="2D0656AD" w14:textId="77777777" w:rsidTr="0036018C">
        <w:trPr>
          <w:trHeight w:val="615"/>
        </w:trPr>
        <w:tc>
          <w:tcPr>
            <w:tcW w:w="0" w:type="auto"/>
          </w:tcPr>
          <w:p w14:paraId="2D0656A1" w14:textId="77777777" w:rsidR="00A77B3E" w:rsidRPr="00800D1B" w:rsidRDefault="00623E14">
            <w:pPr>
              <w:spacing w:before="100"/>
              <w:rPr>
                <w:color w:val="000000"/>
                <w:sz w:val="20"/>
                <w:lang w:val="sv-SE"/>
              </w:rPr>
            </w:pPr>
            <w:r w:rsidRPr="00800D1B">
              <w:rPr>
                <w:color w:val="000000"/>
                <w:sz w:val="20"/>
                <w:lang w:val="sv-SE"/>
              </w:rPr>
              <w:t>1</w:t>
            </w:r>
          </w:p>
        </w:tc>
        <w:tc>
          <w:tcPr>
            <w:tcW w:w="0" w:type="auto"/>
          </w:tcPr>
          <w:p w14:paraId="2D0656A2" w14:textId="77777777" w:rsidR="00A77B3E" w:rsidRPr="00800D1B" w:rsidRDefault="00623E14">
            <w:pPr>
              <w:spacing w:before="100"/>
              <w:rPr>
                <w:color w:val="000000"/>
                <w:sz w:val="20"/>
                <w:lang w:val="sv-SE"/>
              </w:rPr>
            </w:pPr>
            <w:r w:rsidRPr="00800D1B">
              <w:rPr>
                <w:color w:val="000000"/>
                <w:sz w:val="20"/>
                <w:lang w:val="sv-SE"/>
              </w:rPr>
              <w:t>RSO1.1</w:t>
            </w:r>
          </w:p>
        </w:tc>
        <w:tc>
          <w:tcPr>
            <w:tcW w:w="0" w:type="auto"/>
          </w:tcPr>
          <w:p w14:paraId="2D0656A3" w14:textId="77777777" w:rsidR="00A77B3E" w:rsidRPr="00800D1B" w:rsidRDefault="00623E14">
            <w:pPr>
              <w:spacing w:before="100"/>
              <w:rPr>
                <w:color w:val="000000"/>
                <w:sz w:val="20"/>
                <w:lang w:val="sv-SE"/>
              </w:rPr>
            </w:pPr>
            <w:r w:rsidRPr="00800D1B">
              <w:rPr>
                <w:color w:val="000000"/>
                <w:sz w:val="20"/>
                <w:lang w:val="sv-SE"/>
              </w:rPr>
              <w:t>Eruf</w:t>
            </w:r>
          </w:p>
        </w:tc>
        <w:tc>
          <w:tcPr>
            <w:tcW w:w="735" w:type="pct"/>
          </w:tcPr>
          <w:p w14:paraId="2D0656A4" w14:textId="77777777" w:rsidR="00A77B3E" w:rsidRPr="00800D1B" w:rsidRDefault="00623E14" w:rsidP="00754A28">
            <w:pPr>
              <w:spacing w:before="100"/>
              <w:ind w:right="-195"/>
              <w:rPr>
                <w:color w:val="000000"/>
                <w:sz w:val="20"/>
                <w:lang w:val="sv-SE"/>
              </w:rPr>
            </w:pPr>
            <w:r w:rsidRPr="00800D1B">
              <w:rPr>
                <w:color w:val="000000"/>
                <w:sz w:val="20"/>
                <w:lang w:val="sv-SE"/>
              </w:rPr>
              <w:t>Mer utvecklade regioner</w:t>
            </w:r>
          </w:p>
        </w:tc>
        <w:tc>
          <w:tcPr>
            <w:tcW w:w="0" w:type="auto"/>
          </w:tcPr>
          <w:p w14:paraId="2D0656A5" w14:textId="77777777" w:rsidR="00A77B3E" w:rsidRPr="00800D1B" w:rsidRDefault="00623E14">
            <w:pPr>
              <w:spacing w:before="100"/>
              <w:rPr>
                <w:color w:val="000000"/>
                <w:sz w:val="20"/>
                <w:lang w:val="sv-SE"/>
              </w:rPr>
            </w:pPr>
            <w:r w:rsidRPr="00800D1B">
              <w:rPr>
                <w:color w:val="000000"/>
                <w:sz w:val="20"/>
                <w:lang w:val="sv-SE"/>
              </w:rPr>
              <w:t>SWR05</w:t>
            </w:r>
          </w:p>
        </w:tc>
        <w:tc>
          <w:tcPr>
            <w:tcW w:w="0" w:type="auto"/>
          </w:tcPr>
          <w:p w14:paraId="2D0656A6" w14:textId="77777777" w:rsidR="00A77B3E" w:rsidRPr="00800D1B" w:rsidRDefault="00623E14" w:rsidP="00754A28">
            <w:pPr>
              <w:spacing w:before="100" w:after="60"/>
              <w:ind w:right="-90"/>
              <w:rPr>
                <w:color w:val="000000"/>
                <w:sz w:val="20"/>
                <w:lang w:val="sv-SE"/>
              </w:rPr>
            </w:pPr>
            <w:r w:rsidRPr="00800D1B">
              <w:rPr>
                <w:color w:val="000000"/>
                <w:sz w:val="20"/>
                <w:lang w:val="sv-SE"/>
              </w:rPr>
              <w:t>Användare av färdigställd miljö/infrastruktur</w:t>
            </w:r>
          </w:p>
        </w:tc>
        <w:tc>
          <w:tcPr>
            <w:tcW w:w="0" w:type="auto"/>
          </w:tcPr>
          <w:p w14:paraId="2D0656A7" w14:textId="77777777" w:rsidR="00A77B3E" w:rsidRPr="00800D1B" w:rsidRDefault="00623E14">
            <w:pPr>
              <w:spacing w:before="100"/>
              <w:rPr>
                <w:color w:val="000000"/>
                <w:sz w:val="20"/>
                <w:lang w:val="sv-SE"/>
              </w:rPr>
            </w:pPr>
            <w:r w:rsidRPr="00800D1B">
              <w:rPr>
                <w:color w:val="000000"/>
                <w:sz w:val="20"/>
                <w:lang w:val="sv-SE"/>
              </w:rPr>
              <w:t>Användare</w:t>
            </w:r>
          </w:p>
        </w:tc>
        <w:tc>
          <w:tcPr>
            <w:tcW w:w="0" w:type="auto"/>
          </w:tcPr>
          <w:p w14:paraId="2D0656A8" w14:textId="77777777" w:rsidR="00A77B3E" w:rsidRPr="00800D1B" w:rsidRDefault="00623E14">
            <w:pPr>
              <w:spacing w:before="100"/>
              <w:jc w:val="right"/>
              <w:rPr>
                <w:color w:val="000000"/>
                <w:sz w:val="20"/>
                <w:lang w:val="sv-SE"/>
              </w:rPr>
            </w:pPr>
            <w:r w:rsidRPr="00800D1B">
              <w:rPr>
                <w:color w:val="000000"/>
                <w:sz w:val="20"/>
                <w:lang w:val="sv-SE"/>
              </w:rPr>
              <w:t>0,00</w:t>
            </w:r>
          </w:p>
        </w:tc>
        <w:tc>
          <w:tcPr>
            <w:tcW w:w="0" w:type="auto"/>
          </w:tcPr>
          <w:p w14:paraId="2D0656A9" w14:textId="77777777" w:rsidR="00A77B3E" w:rsidRPr="00800D1B" w:rsidRDefault="00623E14">
            <w:pPr>
              <w:spacing w:before="100"/>
              <w:jc w:val="center"/>
              <w:rPr>
                <w:color w:val="000000"/>
                <w:sz w:val="20"/>
                <w:lang w:val="sv-SE"/>
              </w:rPr>
            </w:pPr>
            <w:r w:rsidRPr="00800D1B">
              <w:rPr>
                <w:color w:val="000000"/>
                <w:sz w:val="20"/>
                <w:lang w:val="sv-SE"/>
              </w:rPr>
              <w:t>2021</w:t>
            </w:r>
          </w:p>
        </w:tc>
        <w:tc>
          <w:tcPr>
            <w:tcW w:w="0" w:type="auto"/>
          </w:tcPr>
          <w:p w14:paraId="2D0656AA" w14:textId="77777777" w:rsidR="00A77B3E" w:rsidRPr="00800D1B" w:rsidRDefault="00623E14">
            <w:pPr>
              <w:spacing w:before="100"/>
              <w:jc w:val="right"/>
              <w:rPr>
                <w:color w:val="000000"/>
                <w:sz w:val="20"/>
                <w:lang w:val="sv-SE"/>
              </w:rPr>
            </w:pPr>
            <w:r w:rsidRPr="00800D1B">
              <w:rPr>
                <w:color w:val="000000"/>
                <w:sz w:val="20"/>
                <w:lang w:val="sv-SE"/>
              </w:rPr>
              <w:t>6,00</w:t>
            </w:r>
          </w:p>
        </w:tc>
        <w:tc>
          <w:tcPr>
            <w:tcW w:w="0" w:type="auto"/>
          </w:tcPr>
          <w:p w14:paraId="2D0656AB" w14:textId="77777777" w:rsidR="00A77B3E" w:rsidRPr="00800D1B" w:rsidRDefault="00623E14">
            <w:pPr>
              <w:spacing w:before="100"/>
              <w:rPr>
                <w:color w:val="000000"/>
                <w:sz w:val="20"/>
                <w:lang w:val="sv-SE"/>
              </w:rPr>
            </w:pPr>
            <w:r w:rsidRPr="00800D1B">
              <w:rPr>
                <w:color w:val="000000"/>
                <w:sz w:val="20"/>
                <w:lang w:val="sv-SE"/>
              </w:rPr>
              <w:t>Projekt</w:t>
            </w:r>
          </w:p>
        </w:tc>
        <w:tc>
          <w:tcPr>
            <w:tcW w:w="0" w:type="auto"/>
          </w:tcPr>
          <w:p w14:paraId="2D0656AC" w14:textId="77777777" w:rsidR="00A77B3E" w:rsidRPr="00800D1B" w:rsidRDefault="00A77B3E">
            <w:pPr>
              <w:spacing w:before="100"/>
              <w:rPr>
                <w:color w:val="000000"/>
                <w:sz w:val="20"/>
                <w:lang w:val="sv-SE"/>
              </w:rPr>
            </w:pPr>
          </w:p>
        </w:tc>
      </w:tr>
      <w:tr w:rsidR="003422DB" w:rsidRPr="00800D1B" w14:paraId="2D0656BA" w14:textId="77777777" w:rsidTr="0036018C">
        <w:trPr>
          <w:trHeight w:val="840"/>
        </w:trPr>
        <w:tc>
          <w:tcPr>
            <w:tcW w:w="0" w:type="auto"/>
          </w:tcPr>
          <w:p w14:paraId="2D0656AE" w14:textId="77777777" w:rsidR="00A77B3E" w:rsidRPr="00800D1B" w:rsidRDefault="00623E14">
            <w:pPr>
              <w:spacing w:before="100"/>
              <w:rPr>
                <w:color w:val="000000"/>
                <w:sz w:val="20"/>
                <w:lang w:val="sv-SE"/>
              </w:rPr>
            </w:pPr>
            <w:r w:rsidRPr="00800D1B">
              <w:rPr>
                <w:color w:val="000000"/>
                <w:sz w:val="20"/>
                <w:lang w:val="sv-SE"/>
              </w:rPr>
              <w:t>1</w:t>
            </w:r>
          </w:p>
        </w:tc>
        <w:tc>
          <w:tcPr>
            <w:tcW w:w="0" w:type="auto"/>
          </w:tcPr>
          <w:p w14:paraId="2D0656AF" w14:textId="77777777" w:rsidR="00A77B3E" w:rsidRPr="00800D1B" w:rsidRDefault="00623E14">
            <w:pPr>
              <w:spacing w:before="100"/>
              <w:rPr>
                <w:color w:val="000000"/>
                <w:sz w:val="20"/>
                <w:lang w:val="sv-SE"/>
              </w:rPr>
            </w:pPr>
            <w:r w:rsidRPr="00800D1B">
              <w:rPr>
                <w:color w:val="000000"/>
                <w:sz w:val="20"/>
                <w:lang w:val="sv-SE"/>
              </w:rPr>
              <w:t>RSO1.1</w:t>
            </w:r>
          </w:p>
        </w:tc>
        <w:tc>
          <w:tcPr>
            <w:tcW w:w="0" w:type="auto"/>
          </w:tcPr>
          <w:p w14:paraId="2D0656B0" w14:textId="77777777" w:rsidR="00A77B3E" w:rsidRPr="00800D1B" w:rsidRDefault="00623E14">
            <w:pPr>
              <w:spacing w:before="100"/>
              <w:rPr>
                <w:color w:val="000000"/>
                <w:sz w:val="20"/>
                <w:lang w:val="sv-SE"/>
              </w:rPr>
            </w:pPr>
            <w:r w:rsidRPr="00800D1B">
              <w:rPr>
                <w:color w:val="000000"/>
                <w:sz w:val="20"/>
                <w:lang w:val="sv-SE"/>
              </w:rPr>
              <w:t>Eruf</w:t>
            </w:r>
          </w:p>
        </w:tc>
        <w:tc>
          <w:tcPr>
            <w:tcW w:w="735" w:type="pct"/>
          </w:tcPr>
          <w:p w14:paraId="2D0656B1" w14:textId="77777777" w:rsidR="00A77B3E" w:rsidRPr="00800D1B" w:rsidRDefault="00623E14" w:rsidP="00754A28">
            <w:pPr>
              <w:spacing w:before="100"/>
              <w:ind w:right="-195"/>
              <w:rPr>
                <w:color w:val="000000"/>
                <w:sz w:val="20"/>
                <w:lang w:val="sv-SE"/>
              </w:rPr>
            </w:pPr>
            <w:r w:rsidRPr="00800D1B">
              <w:rPr>
                <w:color w:val="000000"/>
                <w:sz w:val="20"/>
                <w:lang w:val="sv-SE"/>
              </w:rPr>
              <w:t>Mer utvecklade regioner</w:t>
            </w:r>
          </w:p>
        </w:tc>
        <w:tc>
          <w:tcPr>
            <w:tcW w:w="0" w:type="auto"/>
          </w:tcPr>
          <w:p w14:paraId="2D0656B2" w14:textId="77777777" w:rsidR="00A77B3E" w:rsidRPr="00800D1B" w:rsidRDefault="00623E14">
            <w:pPr>
              <w:spacing w:before="100"/>
              <w:rPr>
                <w:color w:val="000000"/>
                <w:sz w:val="20"/>
                <w:lang w:val="sv-SE"/>
              </w:rPr>
            </w:pPr>
            <w:r w:rsidRPr="00800D1B">
              <w:rPr>
                <w:color w:val="000000"/>
                <w:sz w:val="20"/>
                <w:lang w:val="sv-SE"/>
              </w:rPr>
              <w:t>SWR01</w:t>
            </w:r>
          </w:p>
        </w:tc>
        <w:tc>
          <w:tcPr>
            <w:tcW w:w="0" w:type="auto"/>
          </w:tcPr>
          <w:p w14:paraId="2D0656B3" w14:textId="39E4B2DC" w:rsidR="00A77B3E" w:rsidRPr="00800D1B" w:rsidRDefault="00623E14" w:rsidP="00754A28">
            <w:pPr>
              <w:spacing w:before="100" w:after="60"/>
              <w:ind w:right="-90"/>
              <w:rPr>
                <w:color w:val="000000"/>
                <w:sz w:val="20"/>
                <w:lang w:val="sv-SE"/>
              </w:rPr>
            </w:pPr>
            <w:r w:rsidRPr="00800D1B">
              <w:rPr>
                <w:color w:val="000000"/>
                <w:sz w:val="20"/>
                <w:lang w:val="sv-SE"/>
              </w:rPr>
              <w:t>Antal företag som utvecklar produkter, processer och affärsmodeller</w:t>
            </w:r>
            <w:r w:rsidR="00CF74CB" w:rsidRPr="00800D1B">
              <w:rPr>
                <w:color w:val="000000"/>
                <w:sz w:val="20"/>
                <w:lang w:val="sv-SE"/>
              </w:rPr>
              <w:t xml:space="preserve"> </w:t>
            </w:r>
          </w:p>
        </w:tc>
        <w:tc>
          <w:tcPr>
            <w:tcW w:w="0" w:type="auto"/>
          </w:tcPr>
          <w:p w14:paraId="2D0656B4" w14:textId="77777777" w:rsidR="00A77B3E" w:rsidRPr="00800D1B" w:rsidRDefault="00623E14">
            <w:pPr>
              <w:spacing w:before="100"/>
              <w:rPr>
                <w:color w:val="000000"/>
                <w:sz w:val="20"/>
                <w:lang w:val="sv-SE"/>
              </w:rPr>
            </w:pPr>
            <w:r w:rsidRPr="00800D1B">
              <w:rPr>
                <w:color w:val="000000"/>
                <w:sz w:val="20"/>
                <w:lang w:val="sv-SE"/>
              </w:rPr>
              <w:t>Företag</w:t>
            </w:r>
          </w:p>
        </w:tc>
        <w:tc>
          <w:tcPr>
            <w:tcW w:w="0" w:type="auto"/>
          </w:tcPr>
          <w:p w14:paraId="2D0656B5" w14:textId="77777777" w:rsidR="00A77B3E" w:rsidRPr="00800D1B" w:rsidRDefault="00623E14">
            <w:pPr>
              <w:spacing w:before="100"/>
              <w:jc w:val="right"/>
              <w:rPr>
                <w:color w:val="000000"/>
                <w:sz w:val="20"/>
                <w:lang w:val="sv-SE"/>
              </w:rPr>
            </w:pPr>
            <w:r w:rsidRPr="00800D1B">
              <w:rPr>
                <w:color w:val="000000"/>
                <w:sz w:val="20"/>
                <w:lang w:val="sv-SE"/>
              </w:rPr>
              <w:t>0,00</w:t>
            </w:r>
          </w:p>
        </w:tc>
        <w:tc>
          <w:tcPr>
            <w:tcW w:w="0" w:type="auto"/>
          </w:tcPr>
          <w:p w14:paraId="2D0656B6" w14:textId="77777777" w:rsidR="00A77B3E" w:rsidRPr="00800D1B" w:rsidRDefault="00623E14">
            <w:pPr>
              <w:spacing w:before="100"/>
              <w:jc w:val="center"/>
              <w:rPr>
                <w:color w:val="000000"/>
                <w:sz w:val="20"/>
                <w:lang w:val="sv-SE"/>
              </w:rPr>
            </w:pPr>
            <w:r w:rsidRPr="00800D1B">
              <w:rPr>
                <w:color w:val="000000"/>
                <w:sz w:val="20"/>
                <w:lang w:val="sv-SE"/>
              </w:rPr>
              <w:t>2021</w:t>
            </w:r>
          </w:p>
        </w:tc>
        <w:tc>
          <w:tcPr>
            <w:tcW w:w="0" w:type="auto"/>
          </w:tcPr>
          <w:p w14:paraId="2D0656B7" w14:textId="77777777" w:rsidR="00A77B3E" w:rsidRPr="00800D1B" w:rsidRDefault="00623E14">
            <w:pPr>
              <w:spacing w:before="100"/>
              <w:jc w:val="right"/>
              <w:rPr>
                <w:color w:val="000000"/>
                <w:sz w:val="20"/>
                <w:lang w:val="sv-SE"/>
              </w:rPr>
            </w:pPr>
            <w:r w:rsidRPr="00800D1B">
              <w:rPr>
                <w:color w:val="000000"/>
                <w:sz w:val="20"/>
                <w:lang w:val="sv-SE"/>
              </w:rPr>
              <w:t>105,00</w:t>
            </w:r>
          </w:p>
        </w:tc>
        <w:tc>
          <w:tcPr>
            <w:tcW w:w="0" w:type="auto"/>
          </w:tcPr>
          <w:p w14:paraId="2D0656B8" w14:textId="77777777" w:rsidR="00A77B3E" w:rsidRPr="00800D1B" w:rsidRDefault="00623E14">
            <w:pPr>
              <w:spacing w:before="100"/>
              <w:rPr>
                <w:color w:val="000000"/>
                <w:sz w:val="20"/>
                <w:lang w:val="sv-SE"/>
              </w:rPr>
            </w:pPr>
            <w:r w:rsidRPr="00800D1B">
              <w:rPr>
                <w:color w:val="000000"/>
                <w:sz w:val="20"/>
                <w:lang w:val="sv-SE"/>
              </w:rPr>
              <w:t>Projekt</w:t>
            </w:r>
          </w:p>
        </w:tc>
        <w:tc>
          <w:tcPr>
            <w:tcW w:w="0" w:type="auto"/>
          </w:tcPr>
          <w:p w14:paraId="2D0656B9" w14:textId="77777777" w:rsidR="00A77B3E" w:rsidRPr="00800D1B" w:rsidRDefault="00A77B3E">
            <w:pPr>
              <w:spacing w:before="100"/>
              <w:rPr>
                <w:color w:val="000000"/>
                <w:sz w:val="20"/>
                <w:lang w:val="sv-SE"/>
              </w:rPr>
            </w:pPr>
          </w:p>
        </w:tc>
      </w:tr>
      <w:tr w:rsidR="003422DB" w:rsidRPr="00800D1B" w14:paraId="2D0656C7" w14:textId="77777777" w:rsidTr="0036018C">
        <w:trPr>
          <w:trHeight w:val="840"/>
        </w:trPr>
        <w:tc>
          <w:tcPr>
            <w:tcW w:w="0" w:type="auto"/>
          </w:tcPr>
          <w:p w14:paraId="2D0656BB" w14:textId="77777777" w:rsidR="00A77B3E" w:rsidRPr="00800D1B" w:rsidRDefault="00623E14">
            <w:pPr>
              <w:spacing w:before="100"/>
              <w:rPr>
                <w:color w:val="000000"/>
                <w:sz w:val="20"/>
                <w:lang w:val="sv-SE"/>
              </w:rPr>
            </w:pPr>
            <w:r w:rsidRPr="00800D1B">
              <w:rPr>
                <w:color w:val="000000"/>
                <w:sz w:val="20"/>
                <w:lang w:val="sv-SE"/>
              </w:rPr>
              <w:t>1</w:t>
            </w:r>
          </w:p>
        </w:tc>
        <w:tc>
          <w:tcPr>
            <w:tcW w:w="0" w:type="auto"/>
          </w:tcPr>
          <w:p w14:paraId="2D0656BC" w14:textId="77777777" w:rsidR="00A77B3E" w:rsidRPr="00800D1B" w:rsidRDefault="00623E14">
            <w:pPr>
              <w:spacing w:before="100"/>
              <w:rPr>
                <w:color w:val="000000"/>
                <w:sz w:val="20"/>
                <w:lang w:val="sv-SE"/>
              </w:rPr>
            </w:pPr>
            <w:r w:rsidRPr="00800D1B">
              <w:rPr>
                <w:color w:val="000000"/>
                <w:sz w:val="20"/>
                <w:lang w:val="sv-SE"/>
              </w:rPr>
              <w:t>RSO1.1</w:t>
            </w:r>
          </w:p>
        </w:tc>
        <w:tc>
          <w:tcPr>
            <w:tcW w:w="0" w:type="auto"/>
          </w:tcPr>
          <w:p w14:paraId="2D0656BD" w14:textId="77777777" w:rsidR="00A77B3E" w:rsidRPr="00800D1B" w:rsidRDefault="00623E14">
            <w:pPr>
              <w:spacing w:before="100"/>
              <w:rPr>
                <w:color w:val="000000"/>
                <w:sz w:val="20"/>
                <w:lang w:val="sv-SE"/>
              </w:rPr>
            </w:pPr>
            <w:r w:rsidRPr="00800D1B">
              <w:rPr>
                <w:color w:val="000000"/>
                <w:sz w:val="20"/>
                <w:lang w:val="sv-SE"/>
              </w:rPr>
              <w:t>Eruf</w:t>
            </w:r>
          </w:p>
        </w:tc>
        <w:tc>
          <w:tcPr>
            <w:tcW w:w="735" w:type="pct"/>
          </w:tcPr>
          <w:p w14:paraId="2D0656BE" w14:textId="77777777" w:rsidR="00A77B3E" w:rsidRPr="00800D1B" w:rsidRDefault="00623E14" w:rsidP="00754A28">
            <w:pPr>
              <w:spacing w:before="60" w:after="100"/>
              <w:ind w:right="-195"/>
              <w:rPr>
                <w:color w:val="000000"/>
                <w:sz w:val="20"/>
                <w:lang w:val="sv-SE"/>
              </w:rPr>
            </w:pPr>
            <w:r w:rsidRPr="00800D1B">
              <w:rPr>
                <w:color w:val="000000"/>
                <w:sz w:val="20"/>
                <w:lang w:val="sv-SE"/>
              </w:rPr>
              <w:t>De yttersta randområdena eller de nordliga glesbefolkade områdena</w:t>
            </w:r>
          </w:p>
        </w:tc>
        <w:tc>
          <w:tcPr>
            <w:tcW w:w="0" w:type="auto"/>
          </w:tcPr>
          <w:p w14:paraId="2D0656BF" w14:textId="77777777" w:rsidR="00A77B3E" w:rsidRPr="00800D1B" w:rsidRDefault="00623E14">
            <w:pPr>
              <w:spacing w:before="100"/>
              <w:rPr>
                <w:color w:val="000000"/>
                <w:sz w:val="20"/>
                <w:lang w:val="sv-SE"/>
              </w:rPr>
            </w:pPr>
            <w:r w:rsidRPr="00800D1B">
              <w:rPr>
                <w:color w:val="000000"/>
                <w:sz w:val="20"/>
                <w:lang w:val="sv-SE"/>
              </w:rPr>
              <w:t>RCR03</w:t>
            </w:r>
          </w:p>
        </w:tc>
        <w:tc>
          <w:tcPr>
            <w:tcW w:w="0" w:type="auto"/>
          </w:tcPr>
          <w:p w14:paraId="2D0656C0" w14:textId="77777777" w:rsidR="00A77B3E" w:rsidRPr="00800D1B" w:rsidRDefault="00623E14" w:rsidP="00754A28">
            <w:pPr>
              <w:spacing w:before="60"/>
              <w:rPr>
                <w:color w:val="000000"/>
                <w:sz w:val="20"/>
                <w:lang w:val="sv-SE"/>
              </w:rPr>
            </w:pPr>
            <w:r w:rsidRPr="00800D1B">
              <w:rPr>
                <w:color w:val="000000"/>
                <w:sz w:val="20"/>
                <w:lang w:val="sv-SE"/>
              </w:rPr>
              <w:t>Små och medelstora företag (SMF) som inför produkt- eller processinnovationer</w:t>
            </w:r>
          </w:p>
        </w:tc>
        <w:tc>
          <w:tcPr>
            <w:tcW w:w="0" w:type="auto"/>
          </w:tcPr>
          <w:p w14:paraId="2D0656C1" w14:textId="77777777" w:rsidR="00A77B3E" w:rsidRPr="00800D1B" w:rsidRDefault="00623E14">
            <w:pPr>
              <w:spacing w:before="100"/>
              <w:rPr>
                <w:color w:val="000000"/>
                <w:sz w:val="20"/>
                <w:lang w:val="sv-SE"/>
              </w:rPr>
            </w:pPr>
            <w:r w:rsidRPr="00800D1B">
              <w:rPr>
                <w:color w:val="000000"/>
                <w:sz w:val="20"/>
                <w:lang w:val="sv-SE"/>
              </w:rPr>
              <w:t>företag</w:t>
            </w:r>
          </w:p>
        </w:tc>
        <w:tc>
          <w:tcPr>
            <w:tcW w:w="0" w:type="auto"/>
          </w:tcPr>
          <w:p w14:paraId="2D0656C2" w14:textId="77777777" w:rsidR="00A77B3E" w:rsidRPr="00800D1B" w:rsidRDefault="00623E14">
            <w:pPr>
              <w:spacing w:before="100"/>
              <w:jc w:val="right"/>
              <w:rPr>
                <w:color w:val="000000"/>
                <w:sz w:val="20"/>
                <w:lang w:val="sv-SE"/>
              </w:rPr>
            </w:pPr>
            <w:r w:rsidRPr="00800D1B">
              <w:rPr>
                <w:color w:val="000000"/>
                <w:sz w:val="20"/>
                <w:lang w:val="sv-SE"/>
              </w:rPr>
              <w:t>0,00</w:t>
            </w:r>
          </w:p>
        </w:tc>
        <w:tc>
          <w:tcPr>
            <w:tcW w:w="0" w:type="auto"/>
          </w:tcPr>
          <w:p w14:paraId="2D0656C3" w14:textId="77777777" w:rsidR="00A77B3E" w:rsidRPr="00800D1B" w:rsidRDefault="00623E14">
            <w:pPr>
              <w:spacing w:before="100"/>
              <w:jc w:val="center"/>
              <w:rPr>
                <w:color w:val="000000"/>
                <w:sz w:val="20"/>
                <w:lang w:val="sv-SE"/>
              </w:rPr>
            </w:pPr>
            <w:r w:rsidRPr="00800D1B">
              <w:rPr>
                <w:color w:val="000000"/>
                <w:sz w:val="20"/>
                <w:lang w:val="sv-SE"/>
              </w:rPr>
              <w:t>2021</w:t>
            </w:r>
          </w:p>
        </w:tc>
        <w:tc>
          <w:tcPr>
            <w:tcW w:w="0" w:type="auto"/>
          </w:tcPr>
          <w:p w14:paraId="2D0656C4" w14:textId="77777777" w:rsidR="00A77B3E" w:rsidRPr="00800D1B" w:rsidRDefault="00623E14">
            <w:pPr>
              <w:spacing w:before="100"/>
              <w:jc w:val="right"/>
              <w:rPr>
                <w:color w:val="000000"/>
                <w:sz w:val="20"/>
                <w:lang w:val="sv-SE"/>
              </w:rPr>
            </w:pPr>
            <w:r w:rsidRPr="00800D1B">
              <w:rPr>
                <w:color w:val="000000"/>
                <w:sz w:val="20"/>
                <w:lang w:val="sv-SE"/>
              </w:rPr>
              <w:t>2,00</w:t>
            </w:r>
          </w:p>
        </w:tc>
        <w:tc>
          <w:tcPr>
            <w:tcW w:w="0" w:type="auto"/>
          </w:tcPr>
          <w:p w14:paraId="2D0656C5" w14:textId="77777777" w:rsidR="00A77B3E" w:rsidRPr="00800D1B" w:rsidRDefault="00623E14">
            <w:pPr>
              <w:spacing w:before="100"/>
              <w:rPr>
                <w:color w:val="000000"/>
                <w:sz w:val="20"/>
                <w:lang w:val="sv-SE"/>
              </w:rPr>
            </w:pPr>
            <w:r w:rsidRPr="00800D1B">
              <w:rPr>
                <w:color w:val="000000"/>
                <w:sz w:val="20"/>
                <w:lang w:val="sv-SE"/>
              </w:rPr>
              <w:t>Projekt</w:t>
            </w:r>
          </w:p>
        </w:tc>
        <w:tc>
          <w:tcPr>
            <w:tcW w:w="0" w:type="auto"/>
          </w:tcPr>
          <w:p w14:paraId="2D0656C6" w14:textId="77777777" w:rsidR="00A77B3E" w:rsidRPr="00800D1B" w:rsidRDefault="00A77B3E">
            <w:pPr>
              <w:spacing w:before="100"/>
              <w:rPr>
                <w:color w:val="000000"/>
                <w:sz w:val="20"/>
                <w:lang w:val="sv-SE"/>
              </w:rPr>
            </w:pPr>
          </w:p>
        </w:tc>
      </w:tr>
      <w:tr w:rsidR="003422DB" w:rsidRPr="00800D1B" w14:paraId="2D0656D4" w14:textId="77777777" w:rsidTr="0036018C">
        <w:trPr>
          <w:trHeight w:val="840"/>
        </w:trPr>
        <w:tc>
          <w:tcPr>
            <w:tcW w:w="0" w:type="auto"/>
          </w:tcPr>
          <w:p w14:paraId="2D0656C8" w14:textId="77777777" w:rsidR="00A77B3E" w:rsidRPr="00800D1B" w:rsidRDefault="00623E14">
            <w:pPr>
              <w:spacing w:before="100"/>
              <w:rPr>
                <w:color w:val="000000"/>
                <w:sz w:val="20"/>
                <w:lang w:val="sv-SE"/>
              </w:rPr>
            </w:pPr>
            <w:r w:rsidRPr="00800D1B">
              <w:rPr>
                <w:color w:val="000000"/>
                <w:sz w:val="20"/>
                <w:lang w:val="sv-SE"/>
              </w:rPr>
              <w:t>1</w:t>
            </w:r>
          </w:p>
        </w:tc>
        <w:tc>
          <w:tcPr>
            <w:tcW w:w="0" w:type="auto"/>
          </w:tcPr>
          <w:p w14:paraId="2D0656C9" w14:textId="77777777" w:rsidR="00A77B3E" w:rsidRPr="00800D1B" w:rsidRDefault="00623E14">
            <w:pPr>
              <w:spacing w:before="100"/>
              <w:rPr>
                <w:color w:val="000000"/>
                <w:sz w:val="20"/>
                <w:lang w:val="sv-SE"/>
              </w:rPr>
            </w:pPr>
            <w:r w:rsidRPr="00800D1B">
              <w:rPr>
                <w:color w:val="000000"/>
                <w:sz w:val="20"/>
                <w:lang w:val="sv-SE"/>
              </w:rPr>
              <w:t>RSO1.1</w:t>
            </w:r>
          </w:p>
        </w:tc>
        <w:tc>
          <w:tcPr>
            <w:tcW w:w="0" w:type="auto"/>
          </w:tcPr>
          <w:p w14:paraId="2D0656CA" w14:textId="77777777" w:rsidR="00A77B3E" w:rsidRPr="00800D1B" w:rsidRDefault="00623E14">
            <w:pPr>
              <w:spacing w:before="100"/>
              <w:rPr>
                <w:color w:val="000000"/>
                <w:sz w:val="20"/>
                <w:lang w:val="sv-SE"/>
              </w:rPr>
            </w:pPr>
            <w:r w:rsidRPr="00800D1B">
              <w:rPr>
                <w:color w:val="000000"/>
                <w:sz w:val="20"/>
                <w:lang w:val="sv-SE"/>
              </w:rPr>
              <w:t>Eruf</w:t>
            </w:r>
          </w:p>
        </w:tc>
        <w:tc>
          <w:tcPr>
            <w:tcW w:w="735" w:type="pct"/>
          </w:tcPr>
          <w:p w14:paraId="2D0656CB" w14:textId="77777777" w:rsidR="00A77B3E" w:rsidRPr="00800D1B" w:rsidRDefault="00623E14" w:rsidP="0036018C">
            <w:pPr>
              <w:spacing w:before="60" w:after="60"/>
              <w:ind w:right="-195"/>
              <w:rPr>
                <w:color w:val="000000"/>
                <w:sz w:val="20"/>
                <w:lang w:val="sv-SE"/>
              </w:rPr>
            </w:pPr>
            <w:r w:rsidRPr="00800D1B">
              <w:rPr>
                <w:color w:val="000000"/>
                <w:sz w:val="20"/>
                <w:lang w:val="sv-SE"/>
              </w:rPr>
              <w:t>De yttersta randområdena eller de nordliga glesbefolkade områdena</w:t>
            </w:r>
          </w:p>
        </w:tc>
        <w:tc>
          <w:tcPr>
            <w:tcW w:w="0" w:type="auto"/>
          </w:tcPr>
          <w:p w14:paraId="2D0656CC" w14:textId="77777777" w:rsidR="00A77B3E" w:rsidRPr="00800D1B" w:rsidRDefault="00623E14">
            <w:pPr>
              <w:spacing w:before="100"/>
              <w:rPr>
                <w:color w:val="000000"/>
                <w:sz w:val="20"/>
                <w:lang w:val="sv-SE"/>
              </w:rPr>
            </w:pPr>
            <w:r w:rsidRPr="00800D1B">
              <w:rPr>
                <w:color w:val="000000"/>
                <w:sz w:val="20"/>
                <w:lang w:val="sv-SE"/>
              </w:rPr>
              <w:t>RCR04</w:t>
            </w:r>
          </w:p>
        </w:tc>
        <w:tc>
          <w:tcPr>
            <w:tcW w:w="0" w:type="auto"/>
          </w:tcPr>
          <w:p w14:paraId="2D0656CD" w14:textId="77777777" w:rsidR="00A77B3E" w:rsidRPr="00800D1B" w:rsidRDefault="00623E14" w:rsidP="0036018C">
            <w:pPr>
              <w:spacing w:before="60" w:after="60"/>
              <w:rPr>
                <w:color w:val="000000"/>
                <w:sz w:val="20"/>
                <w:lang w:val="sv-SE"/>
              </w:rPr>
            </w:pPr>
            <w:r w:rsidRPr="00800D1B">
              <w:rPr>
                <w:color w:val="000000"/>
                <w:sz w:val="20"/>
                <w:lang w:val="sv-SE"/>
              </w:rPr>
              <w:t>Små och medelstora företag som inför marknadsförings- eller organisationsinnovationer</w:t>
            </w:r>
          </w:p>
        </w:tc>
        <w:tc>
          <w:tcPr>
            <w:tcW w:w="0" w:type="auto"/>
          </w:tcPr>
          <w:p w14:paraId="2D0656CE" w14:textId="77777777" w:rsidR="00A77B3E" w:rsidRPr="00800D1B" w:rsidRDefault="00623E14">
            <w:pPr>
              <w:spacing w:before="100"/>
              <w:rPr>
                <w:color w:val="000000"/>
                <w:sz w:val="20"/>
                <w:lang w:val="sv-SE"/>
              </w:rPr>
            </w:pPr>
            <w:r w:rsidRPr="00800D1B">
              <w:rPr>
                <w:color w:val="000000"/>
                <w:sz w:val="20"/>
                <w:lang w:val="sv-SE"/>
              </w:rPr>
              <w:t>företag</w:t>
            </w:r>
          </w:p>
        </w:tc>
        <w:tc>
          <w:tcPr>
            <w:tcW w:w="0" w:type="auto"/>
          </w:tcPr>
          <w:p w14:paraId="2D0656CF" w14:textId="77777777" w:rsidR="00A77B3E" w:rsidRPr="00800D1B" w:rsidRDefault="00623E14">
            <w:pPr>
              <w:spacing w:before="100"/>
              <w:jc w:val="right"/>
              <w:rPr>
                <w:color w:val="000000"/>
                <w:sz w:val="20"/>
                <w:lang w:val="sv-SE"/>
              </w:rPr>
            </w:pPr>
            <w:r w:rsidRPr="00800D1B">
              <w:rPr>
                <w:color w:val="000000"/>
                <w:sz w:val="20"/>
                <w:lang w:val="sv-SE"/>
              </w:rPr>
              <w:t>0,00</w:t>
            </w:r>
          </w:p>
        </w:tc>
        <w:tc>
          <w:tcPr>
            <w:tcW w:w="0" w:type="auto"/>
          </w:tcPr>
          <w:p w14:paraId="2D0656D0" w14:textId="77777777" w:rsidR="00A77B3E" w:rsidRPr="00800D1B" w:rsidRDefault="00623E14">
            <w:pPr>
              <w:spacing w:before="100"/>
              <w:jc w:val="center"/>
              <w:rPr>
                <w:color w:val="000000"/>
                <w:sz w:val="20"/>
                <w:lang w:val="sv-SE"/>
              </w:rPr>
            </w:pPr>
            <w:r w:rsidRPr="00800D1B">
              <w:rPr>
                <w:color w:val="000000"/>
                <w:sz w:val="20"/>
                <w:lang w:val="sv-SE"/>
              </w:rPr>
              <w:t>2021</w:t>
            </w:r>
          </w:p>
        </w:tc>
        <w:tc>
          <w:tcPr>
            <w:tcW w:w="0" w:type="auto"/>
          </w:tcPr>
          <w:p w14:paraId="2D0656D1" w14:textId="77777777" w:rsidR="00A77B3E" w:rsidRPr="00800D1B" w:rsidRDefault="00623E14">
            <w:pPr>
              <w:spacing w:before="100"/>
              <w:jc w:val="right"/>
              <w:rPr>
                <w:color w:val="000000"/>
                <w:sz w:val="20"/>
                <w:lang w:val="sv-SE"/>
              </w:rPr>
            </w:pPr>
            <w:r w:rsidRPr="00800D1B">
              <w:rPr>
                <w:color w:val="000000"/>
                <w:sz w:val="20"/>
                <w:lang w:val="sv-SE"/>
              </w:rPr>
              <w:t>2,00</w:t>
            </w:r>
          </w:p>
        </w:tc>
        <w:tc>
          <w:tcPr>
            <w:tcW w:w="0" w:type="auto"/>
          </w:tcPr>
          <w:p w14:paraId="2D0656D2" w14:textId="77777777" w:rsidR="00A77B3E" w:rsidRPr="00800D1B" w:rsidRDefault="00623E14">
            <w:pPr>
              <w:spacing w:before="100"/>
              <w:rPr>
                <w:color w:val="000000"/>
                <w:sz w:val="20"/>
                <w:lang w:val="sv-SE"/>
              </w:rPr>
            </w:pPr>
            <w:r w:rsidRPr="00800D1B">
              <w:rPr>
                <w:color w:val="000000"/>
                <w:sz w:val="20"/>
                <w:lang w:val="sv-SE"/>
              </w:rPr>
              <w:t>Projekt</w:t>
            </w:r>
          </w:p>
        </w:tc>
        <w:tc>
          <w:tcPr>
            <w:tcW w:w="0" w:type="auto"/>
          </w:tcPr>
          <w:p w14:paraId="2D0656D3" w14:textId="77777777" w:rsidR="00A77B3E" w:rsidRPr="00800D1B" w:rsidRDefault="00A77B3E">
            <w:pPr>
              <w:spacing w:before="100"/>
              <w:rPr>
                <w:color w:val="000000"/>
                <w:sz w:val="20"/>
                <w:lang w:val="sv-SE"/>
              </w:rPr>
            </w:pPr>
          </w:p>
        </w:tc>
      </w:tr>
      <w:tr w:rsidR="003422DB" w:rsidRPr="00800D1B" w14:paraId="2D0656E1" w14:textId="77777777" w:rsidTr="0036018C">
        <w:trPr>
          <w:trHeight w:val="840"/>
        </w:trPr>
        <w:tc>
          <w:tcPr>
            <w:tcW w:w="0" w:type="auto"/>
          </w:tcPr>
          <w:p w14:paraId="2D0656D5" w14:textId="77777777" w:rsidR="00A77B3E" w:rsidRPr="00800D1B" w:rsidRDefault="00623E14">
            <w:pPr>
              <w:spacing w:before="100"/>
              <w:rPr>
                <w:color w:val="000000"/>
                <w:sz w:val="20"/>
                <w:lang w:val="sv-SE"/>
              </w:rPr>
            </w:pPr>
            <w:r w:rsidRPr="00800D1B">
              <w:rPr>
                <w:color w:val="000000"/>
                <w:sz w:val="20"/>
                <w:lang w:val="sv-SE"/>
              </w:rPr>
              <w:t>1</w:t>
            </w:r>
          </w:p>
        </w:tc>
        <w:tc>
          <w:tcPr>
            <w:tcW w:w="0" w:type="auto"/>
          </w:tcPr>
          <w:p w14:paraId="2D0656D6" w14:textId="77777777" w:rsidR="00A77B3E" w:rsidRPr="00800D1B" w:rsidRDefault="00623E14">
            <w:pPr>
              <w:spacing w:before="100"/>
              <w:rPr>
                <w:color w:val="000000"/>
                <w:sz w:val="20"/>
                <w:lang w:val="sv-SE"/>
              </w:rPr>
            </w:pPr>
            <w:r w:rsidRPr="00800D1B">
              <w:rPr>
                <w:color w:val="000000"/>
                <w:sz w:val="20"/>
                <w:lang w:val="sv-SE"/>
              </w:rPr>
              <w:t>RSO1.1</w:t>
            </w:r>
          </w:p>
        </w:tc>
        <w:tc>
          <w:tcPr>
            <w:tcW w:w="0" w:type="auto"/>
          </w:tcPr>
          <w:p w14:paraId="2D0656D7" w14:textId="77777777" w:rsidR="00A77B3E" w:rsidRPr="00800D1B" w:rsidRDefault="00623E14">
            <w:pPr>
              <w:spacing w:before="100"/>
              <w:rPr>
                <w:color w:val="000000"/>
                <w:sz w:val="20"/>
                <w:lang w:val="sv-SE"/>
              </w:rPr>
            </w:pPr>
            <w:r w:rsidRPr="00800D1B">
              <w:rPr>
                <w:color w:val="000000"/>
                <w:sz w:val="20"/>
                <w:lang w:val="sv-SE"/>
              </w:rPr>
              <w:t>Eruf</w:t>
            </w:r>
          </w:p>
        </w:tc>
        <w:tc>
          <w:tcPr>
            <w:tcW w:w="735" w:type="pct"/>
          </w:tcPr>
          <w:p w14:paraId="2D0656D8" w14:textId="77777777" w:rsidR="00A77B3E" w:rsidRPr="00800D1B" w:rsidRDefault="00623E14" w:rsidP="00754A28">
            <w:pPr>
              <w:spacing w:before="60" w:after="100"/>
              <w:ind w:right="-72"/>
              <w:rPr>
                <w:color w:val="000000"/>
                <w:sz w:val="20"/>
                <w:lang w:val="sv-SE"/>
              </w:rPr>
            </w:pPr>
            <w:r w:rsidRPr="00800D1B">
              <w:rPr>
                <w:color w:val="000000"/>
                <w:sz w:val="20"/>
                <w:lang w:val="sv-SE"/>
              </w:rPr>
              <w:t>De yttersta randområdena eller de nordliga glesbefolkade områdena</w:t>
            </w:r>
          </w:p>
        </w:tc>
        <w:tc>
          <w:tcPr>
            <w:tcW w:w="0" w:type="auto"/>
          </w:tcPr>
          <w:p w14:paraId="2D0656D9" w14:textId="77777777" w:rsidR="00A77B3E" w:rsidRPr="00800D1B" w:rsidRDefault="00623E14">
            <w:pPr>
              <w:spacing w:before="100"/>
              <w:rPr>
                <w:color w:val="000000"/>
                <w:sz w:val="20"/>
                <w:lang w:val="sv-SE"/>
              </w:rPr>
            </w:pPr>
            <w:r w:rsidRPr="00800D1B">
              <w:rPr>
                <w:color w:val="000000"/>
                <w:sz w:val="20"/>
                <w:lang w:val="sv-SE"/>
              </w:rPr>
              <w:t>RCR05</w:t>
            </w:r>
          </w:p>
        </w:tc>
        <w:tc>
          <w:tcPr>
            <w:tcW w:w="0" w:type="auto"/>
          </w:tcPr>
          <w:p w14:paraId="2D0656DA" w14:textId="77777777" w:rsidR="00A77B3E" w:rsidRPr="00800D1B" w:rsidRDefault="00623E14" w:rsidP="00754A28">
            <w:pPr>
              <w:spacing w:before="60"/>
              <w:ind w:right="-180"/>
              <w:rPr>
                <w:color w:val="000000"/>
                <w:sz w:val="20"/>
                <w:lang w:val="sv-SE"/>
              </w:rPr>
            </w:pPr>
            <w:r w:rsidRPr="00800D1B">
              <w:rPr>
                <w:color w:val="000000"/>
                <w:sz w:val="20"/>
                <w:lang w:val="sv-SE"/>
              </w:rPr>
              <w:t>Små och medelstora företag som gör innovationer inom företaget</w:t>
            </w:r>
          </w:p>
        </w:tc>
        <w:tc>
          <w:tcPr>
            <w:tcW w:w="0" w:type="auto"/>
          </w:tcPr>
          <w:p w14:paraId="2D0656DB" w14:textId="77777777" w:rsidR="00A77B3E" w:rsidRPr="00800D1B" w:rsidRDefault="00623E14">
            <w:pPr>
              <w:spacing w:before="100"/>
              <w:rPr>
                <w:color w:val="000000"/>
                <w:sz w:val="20"/>
                <w:lang w:val="sv-SE"/>
              </w:rPr>
            </w:pPr>
            <w:r w:rsidRPr="00800D1B">
              <w:rPr>
                <w:color w:val="000000"/>
                <w:sz w:val="20"/>
                <w:lang w:val="sv-SE"/>
              </w:rPr>
              <w:t>företag</w:t>
            </w:r>
          </w:p>
        </w:tc>
        <w:tc>
          <w:tcPr>
            <w:tcW w:w="0" w:type="auto"/>
          </w:tcPr>
          <w:p w14:paraId="2D0656DC" w14:textId="77777777" w:rsidR="00A77B3E" w:rsidRPr="00800D1B" w:rsidRDefault="00623E14">
            <w:pPr>
              <w:spacing w:before="100"/>
              <w:jc w:val="right"/>
              <w:rPr>
                <w:color w:val="000000"/>
                <w:sz w:val="20"/>
                <w:lang w:val="sv-SE"/>
              </w:rPr>
            </w:pPr>
            <w:r w:rsidRPr="00800D1B">
              <w:rPr>
                <w:color w:val="000000"/>
                <w:sz w:val="20"/>
                <w:lang w:val="sv-SE"/>
              </w:rPr>
              <w:t>0,00</w:t>
            </w:r>
          </w:p>
        </w:tc>
        <w:tc>
          <w:tcPr>
            <w:tcW w:w="0" w:type="auto"/>
          </w:tcPr>
          <w:p w14:paraId="2D0656DD" w14:textId="77777777" w:rsidR="00A77B3E" w:rsidRPr="00800D1B" w:rsidRDefault="00623E14">
            <w:pPr>
              <w:spacing w:before="100"/>
              <w:jc w:val="center"/>
              <w:rPr>
                <w:color w:val="000000"/>
                <w:sz w:val="20"/>
                <w:lang w:val="sv-SE"/>
              </w:rPr>
            </w:pPr>
            <w:r w:rsidRPr="00800D1B">
              <w:rPr>
                <w:color w:val="000000"/>
                <w:sz w:val="20"/>
                <w:lang w:val="sv-SE"/>
              </w:rPr>
              <w:t>2021</w:t>
            </w:r>
          </w:p>
        </w:tc>
        <w:tc>
          <w:tcPr>
            <w:tcW w:w="0" w:type="auto"/>
          </w:tcPr>
          <w:p w14:paraId="2D0656DE" w14:textId="77777777" w:rsidR="00A77B3E" w:rsidRPr="00800D1B" w:rsidRDefault="00623E14">
            <w:pPr>
              <w:spacing w:before="100"/>
              <w:jc w:val="right"/>
              <w:rPr>
                <w:color w:val="000000"/>
                <w:sz w:val="20"/>
                <w:lang w:val="sv-SE"/>
              </w:rPr>
            </w:pPr>
            <w:r w:rsidRPr="00800D1B">
              <w:rPr>
                <w:color w:val="000000"/>
                <w:sz w:val="20"/>
                <w:lang w:val="sv-SE"/>
              </w:rPr>
              <w:t>2,00</w:t>
            </w:r>
          </w:p>
        </w:tc>
        <w:tc>
          <w:tcPr>
            <w:tcW w:w="0" w:type="auto"/>
          </w:tcPr>
          <w:p w14:paraId="2D0656DF" w14:textId="77777777" w:rsidR="00A77B3E" w:rsidRPr="00800D1B" w:rsidRDefault="00623E14">
            <w:pPr>
              <w:spacing w:before="100"/>
              <w:rPr>
                <w:color w:val="000000"/>
                <w:sz w:val="20"/>
                <w:lang w:val="sv-SE"/>
              </w:rPr>
            </w:pPr>
            <w:r w:rsidRPr="00800D1B">
              <w:rPr>
                <w:color w:val="000000"/>
                <w:sz w:val="20"/>
                <w:lang w:val="sv-SE"/>
              </w:rPr>
              <w:t>Projekt</w:t>
            </w:r>
          </w:p>
        </w:tc>
        <w:tc>
          <w:tcPr>
            <w:tcW w:w="0" w:type="auto"/>
          </w:tcPr>
          <w:p w14:paraId="2D0656E0" w14:textId="77777777" w:rsidR="00A77B3E" w:rsidRPr="00800D1B" w:rsidRDefault="00A77B3E">
            <w:pPr>
              <w:spacing w:before="100"/>
              <w:rPr>
                <w:color w:val="000000"/>
                <w:sz w:val="20"/>
                <w:lang w:val="sv-SE"/>
              </w:rPr>
            </w:pPr>
          </w:p>
        </w:tc>
      </w:tr>
      <w:tr w:rsidR="003422DB" w:rsidRPr="00800D1B" w14:paraId="2D0656EE" w14:textId="77777777" w:rsidTr="0036018C">
        <w:trPr>
          <w:trHeight w:val="855"/>
        </w:trPr>
        <w:tc>
          <w:tcPr>
            <w:tcW w:w="0" w:type="auto"/>
          </w:tcPr>
          <w:p w14:paraId="2D0656E2" w14:textId="77777777" w:rsidR="00A77B3E" w:rsidRPr="00800D1B" w:rsidRDefault="00623E14">
            <w:pPr>
              <w:spacing w:before="100"/>
              <w:rPr>
                <w:color w:val="000000"/>
                <w:sz w:val="20"/>
                <w:lang w:val="sv-SE"/>
              </w:rPr>
            </w:pPr>
            <w:r w:rsidRPr="00800D1B">
              <w:rPr>
                <w:color w:val="000000"/>
                <w:sz w:val="20"/>
                <w:lang w:val="sv-SE"/>
              </w:rPr>
              <w:t>1</w:t>
            </w:r>
          </w:p>
        </w:tc>
        <w:tc>
          <w:tcPr>
            <w:tcW w:w="0" w:type="auto"/>
          </w:tcPr>
          <w:p w14:paraId="2D0656E3" w14:textId="77777777" w:rsidR="00A77B3E" w:rsidRPr="00800D1B" w:rsidRDefault="00623E14">
            <w:pPr>
              <w:spacing w:before="100"/>
              <w:rPr>
                <w:color w:val="000000"/>
                <w:sz w:val="20"/>
                <w:lang w:val="sv-SE"/>
              </w:rPr>
            </w:pPr>
            <w:r w:rsidRPr="00800D1B">
              <w:rPr>
                <w:color w:val="000000"/>
                <w:sz w:val="20"/>
                <w:lang w:val="sv-SE"/>
              </w:rPr>
              <w:t>RSO1.1</w:t>
            </w:r>
          </w:p>
        </w:tc>
        <w:tc>
          <w:tcPr>
            <w:tcW w:w="0" w:type="auto"/>
          </w:tcPr>
          <w:p w14:paraId="2D0656E4" w14:textId="77777777" w:rsidR="00A77B3E" w:rsidRPr="00800D1B" w:rsidRDefault="00623E14">
            <w:pPr>
              <w:spacing w:before="100"/>
              <w:rPr>
                <w:color w:val="000000"/>
                <w:sz w:val="20"/>
                <w:lang w:val="sv-SE"/>
              </w:rPr>
            </w:pPr>
            <w:r w:rsidRPr="00800D1B">
              <w:rPr>
                <w:color w:val="000000"/>
                <w:sz w:val="20"/>
                <w:lang w:val="sv-SE"/>
              </w:rPr>
              <w:t>Eruf</w:t>
            </w:r>
          </w:p>
        </w:tc>
        <w:tc>
          <w:tcPr>
            <w:tcW w:w="735" w:type="pct"/>
          </w:tcPr>
          <w:p w14:paraId="2D0656E5" w14:textId="77777777" w:rsidR="00A77B3E" w:rsidRPr="00800D1B" w:rsidRDefault="00623E14" w:rsidP="00754A28">
            <w:pPr>
              <w:spacing w:before="60" w:after="100"/>
              <w:ind w:right="-72"/>
              <w:rPr>
                <w:color w:val="000000"/>
                <w:sz w:val="20"/>
                <w:lang w:val="sv-SE"/>
              </w:rPr>
            </w:pPr>
            <w:r w:rsidRPr="00800D1B">
              <w:rPr>
                <w:color w:val="000000"/>
                <w:sz w:val="20"/>
                <w:lang w:val="sv-SE"/>
              </w:rPr>
              <w:t>De yttersta randområdena eller de nordliga glesbefolkade områdena</w:t>
            </w:r>
          </w:p>
        </w:tc>
        <w:tc>
          <w:tcPr>
            <w:tcW w:w="0" w:type="auto"/>
          </w:tcPr>
          <w:p w14:paraId="2D0656E6" w14:textId="77777777" w:rsidR="00A77B3E" w:rsidRPr="00800D1B" w:rsidRDefault="00623E14">
            <w:pPr>
              <w:spacing w:before="100"/>
              <w:rPr>
                <w:color w:val="000000"/>
                <w:sz w:val="20"/>
                <w:lang w:val="sv-SE"/>
              </w:rPr>
            </w:pPr>
            <w:r w:rsidRPr="00800D1B">
              <w:rPr>
                <w:color w:val="000000"/>
                <w:sz w:val="20"/>
                <w:lang w:val="sv-SE"/>
              </w:rPr>
              <w:t>RCR08</w:t>
            </w:r>
          </w:p>
        </w:tc>
        <w:tc>
          <w:tcPr>
            <w:tcW w:w="0" w:type="auto"/>
          </w:tcPr>
          <w:p w14:paraId="2D0656E7" w14:textId="77777777" w:rsidR="00A77B3E" w:rsidRPr="00800D1B" w:rsidRDefault="00623E14" w:rsidP="00754A28">
            <w:pPr>
              <w:spacing w:before="60"/>
              <w:rPr>
                <w:color w:val="000000"/>
                <w:sz w:val="20"/>
                <w:lang w:val="sv-SE"/>
              </w:rPr>
            </w:pPr>
            <w:r w:rsidRPr="00800D1B">
              <w:rPr>
                <w:color w:val="000000"/>
                <w:sz w:val="20"/>
                <w:lang w:val="sv-SE"/>
              </w:rPr>
              <w:t>Publikationer från projekt som får stöd</w:t>
            </w:r>
          </w:p>
        </w:tc>
        <w:tc>
          <w:tcPr>
            <w:tcW w:w="0" w:type="auto"/>
          </w:tcPr>
          <w:p w14:paraId="2D0656E8" w14:textId="77777777" w:rsidR="00A77B3E" w:rsidRPr="00800D1B" w:rsidRDefault="00623E14">
            <w:pPr>
              <w:spacing w:before="100"/>
              <w:rPr>
                <w:color w:val="000000"/>
                <w:sz w:val="20"/>
                <w:lang w:val="sv-SE"/>
              </w:rPr>
            </w:pPr>
            <w:r w:rsidRPr="00800D1B">
              <w:rPr>
                <w:color w:val="000000"/>
                <w:sz w:val="20"/>
                <w:lang w:val="sv-SE"/>
              </w:rPr>
              <w:t>publikationer</w:t>
            </w:r>
          </w:p>
        </w:tc>
        <w:tc>
          <w:tcPr>
            <w:tcW w:w="0" w:type="auto"/>
          </w:tcPr>
          <w:p w14:paraId="2D0656E9" w14:textId="77777777" w:rsidR="00A77B3E" w:rsidRPr="00800D1B" w:rsidRDefault="00623E14">
            <w:pPr>
              <w:spacing w:before="100"/>
              <w:jc w:val="right"/>
              <w:rPr>
                <w:color w:val="000000"/>
                <w:sz w:val="20"/>
                <w:lang w:val="sv-SE"/>
              </w:rPr>
            </w:pPr>
            <w:r w:rsidRPr="00800D1B">
              <w:rPr>
                <w:color w:val="000000"/>
                <w:sz w:val="20"/>
                <w:lang w:val="sv-SE"/>
              </w:rPr>
              <w:t>0,00</w:t>
            </w:r>
          </w:p>
        </w:tc>
        <w:tc>
          <w:tcPr>
            <w:tcW w:w="0" w:type="auto"/>
          </w:tcPr>
          <w:p w14:paraId="2D0656EA" w14:textId="77777777" w:rsidR="00A77B3E" w:rsidRPr="00800D1B" w:rsidRDefault="00623E14">
            <w:pPr>
              <w:spacing w:before="100"/>
              <w:jc w:val="center"/>
              <w:rPr>
                <w:color w:val="000000"/>
                <w:sz w:val="20"/>
                <w:lang w:val="sv-SE"/>
              </w:rPr>
            </w:pPr>
            <w:r w:rsidRPr="00800D1B">
              <w:rPr>
                <w:color w:val="000000"/>
                <w:sz w:val="20"/>
                <w:lang w:val="sv-SE"/>
              </w:rPr>
              <w:t>2021</w:t>
            </w:r>
          </w:p>
        </w:tc>
        <w:tc>
          <w:tcPr>
            <w:tcW w:w="0" w:type="auto"/>
          </w:tcPr>
          <w:p w14:paraId="2D0656EB" w14:textId="77777777" w:rsidR="00A77B3E" w:rsidRPr="00800D1B" w:rsidRDefault="00623E14">
            <w:pPr>
              <w:spacing w:before="100"/>
              <w:jc w:val="right"/>
              <w:rPr>
                <w:color w:val="000000"/>
                <w:sz w:val="20"/>
                <w:lang w:val="sv-SE"/>
              </w:rPr>
            </w:pPr>
            <w:r w:rsidRPr="00800D1B">
              <w:rPr>
                <w:color w:val="000000"/>
                <w:sz w:val="20"/>
                <w:lang w:val="sv-SE"/>
              </w:rPr>
              <w:t>10,00</w:t>
            </w:r>
          </w:p>
        </w:tc>
        <w:tc>
          <w:tcPr>
            <w:tcW w:w="0" w:type="auto"/>
          </w:tcPr>
          <w:p w14:paraId="2D0656EC" w14:textId="77777777" w:rsidR="00A77B3E" w:rsidRPr="00800D1B" w:rsidRDefault="00623E14">
            <w:pPr>
              <w:spacing w:before="100"/>
              <w:rPr>
                <w:color w:val="000000"/>
                <w:sz w:val="20"/>
                <w:lang w:val="sv-SE"/>
              </w:rPr>
            </w:pPr>
            <w:r w:rsidRPr="00800D1B">
              <w:rPr>
                <w:color w:val="000000"/>
                <w:sz w:val="20"/>
                <w:lang w:val="sv-SE"/>
              </w:rPr>
              <w:t>Projekt</w:t>
            </w:r>
          </w:p>
        </w:tc>
        <w:tc>
          <w:tcPr>
            <w:tcW w:w="0" w:type="auto"/>
          </w:tcPr>
          <w:p w14:paraId="2D0656ED" w14:textId="77777777" w:rsidR="00A77B3E" w:rsidRPr="00800D1B" w:rsidRDefault="00A77B3E">
            <w:pPr>
              <w:spacing w:before="100"/>
              <w:rPr>
                <w:color w:val="000000"/>
                <w:sz w:val="20"/>
                <w:lang w:val="sv-SE"/>
              </w:rPr>
            </w:pPr>
          </w:p>
        </w:tc>
      </w:tr>
      <w:tr w:rsidR="003422DB" w:rsidRPr="00800D1B" w14:paraId="2D0656FB" w14:textId="77777777" w:rsidTr="0036018C">
        <w:trPr>
          <w:trHeight w:val="840"/>
        </w:trPr>
        <w:tc>
          <w:tcPr>
            <w:tcW w:w="0" w:type="auto"/>
          </w:tcPr>
          <w:p w14:paraId="2D0656EF" w14:textId="77777777" w:rsidR="00A77B3E" w:rsidRPr="00800D1B" w:rsidRDefault="00623E14">
            <w:pPr>
              <w:spacing w:before="100"/>
              <w:rPr>
                <w:color w:val="000000"/>
                <w:sz w:val="20"/>
                <w:lang w:val="sv-SE"/>
              </w:rPr>
            </w:pPr>
            <w:r w:rsidRPr="00800D1B">
              <w:rPr>
                <w:color w:val="000000"/>
                <w:sz w:val="20"/>
                <w:lang w:val="sv-SE"/>
              </w:rPr>
              <w:t>1</w:t>
            </w:r>
          </w:p>
        </w:tc>
        <w:tc>
          <w:tcPr>
            <w:tcW w:w="0" w:type="auto"/>
          </w:tcPr>
          <w:p w14:paraId="2D0656F0" w14:textId="77777777" w:rsidR="00A77B3E" w:rsidRPr="00800D1B" w:rsidRDefault="00623E14">
            <w:pPr>
              <w:spacing w:before="100"/>
              <w:rPr>
                <w:color w:val="000000"/>
                <w:sz w:val="20"/>
                <w:lang w:val="sv-SE"/>
              </w:rPr>
            </w:pPr>
            <w:r w:rsidRPr="00800D1B">
              <w:rPr>
                <w:color w:val="000000"/>
                <w:sz w:val="20"/>
                <w:lang w:val="sv-SE"/>
              </w:rPr>
              <w:t>RSO1.1</w:t>
            </w:r>
          </w:p>
        </w:tc>
        <w:tc>
          <w:tcPr>
            <w:tcW w:w="0" w:type="auto"/>
          </w:tcPr>
          <w:p w14:paraId="2D0656F1" w14:textId="77777777" w:rsidR="00A77B3E" w:rsidRPr="00800D1B" w:rsidRDefault="00623E14">
            <w:pPr>
              <w:spacing w:before="100"/>
              <w:rPr>
                <w:color w:val="000000"/>
                <w:sz w:val="20"/>
                <w:lang w:val="sv-SE"/>
              </w:rPr>
            </w:pPr>
            <w:r w:rsidRPr="00800D1B">
              <w:rPr>
                <w:color w:val="000000"/>
                <w:sz w:val="20"/>
                <w:lang w:val="sv-SE"/>
              </w:rPr>
              <w:t>Eruf</w:t>
            </w:r>
          </w:p>
        </w:tc>
        <w:tc>
          <w:tcPr>
            <w:tcW w:w="735" w:type="pct"/>
          </w:tcPr>
          <w:p w14:paraId="2D0656F2" w14:textId="77777777" w:rsidR="00A77B3E" w:rsidRPr="00800D1B" w:rsidRDefault="00623E14" w:rsidP="00754A28">
            <w:pPr>
              <w:spacing w:before="60" w:after="100"/>
              <w:ind w:right="-72"/>
              <w:rPr>
                <w:color w:val="000000"/>
                <w:sz w:val="20"/>
                <w:lang w:val="sv-SE"/>
              </w:rPr>
            </w:pPr>
            <w:r w:rsidRPr="00800D1B">
              <w:rPr>
                <w:color w:val="000000"/>
                <w:sz w:val="20"/>
                <w:lang w:val="sv-SE"/>
              </w:rPr>
              <w:t>De yttersta randområdena eller de nordliga glesbefolkade områdena</w:t>
            </w:r>
          </w:p>
        </w:tc>
        <w:tc>
          <w:tcPr>
            <w:tcW w:w="0" w:type="auto"/>
          </w:tcPr>
          <w:p w14:paraId="2D0656F3" w14:textId="77777777" w:rsidR="00A77B3E" w:rsidRPr="00800D1B" w:rsidRDefault="00623E14">
            <w:pPr>
              <w:spacing w:before="100"/>
              <w:rPr>
                <w:color w:val="000000"/>
                <w:sz w:val="20"/>
                <w:lang w:val="sv-SE"/>
              </w:rPr>
            </w:pPr>
            <w:r w:rsidRPr="00800D1B">
              <w:rPr>
                <w:color w:val="000000"/>
                <w:sz w:val="20"/>
                <w:lang w:val="sv-SE"/>
              </w:rPr>
              <w:t>SWR03</w:t>
            </w:r>
          </w:p>
        </w:tc>
        <w:tc>
          <w:tcPr>
            <w:tcW w:w="0" w:type="auto"/>
          </w:tcPr>
          <w:p w14:paraId="2D0656F4" w14:textId="645423CE" w:rsidR="00A77B3E" w:rsidRPr="00800D1B" w:rsidRDefault="00623E14" w:rsidP="00754A28">
            <w:pPr>
              <w:spacing w:before="60"/>
              <w:ind w:right="-90"/>
              <w:rPr>
                <w:color w:val="000000"/>
                <w:sz w:val="20"/>
                <w:lang w:val="sv-SE"/>
              </w:rPr>
            </w:pPr>
            <w:r w:rsidRPr="00800D1B">
              <w:rPr>
                <w:color w:val="000000"/>
                <w:sz w:val="20"/>
                <w:lang w:val="sv-SE"/>
              </w:rPr>
              <w:t>Antal användare av implementerade stödstrukturer</w:t>
            </w:r>
          </w:p>
        </w:tc>
        <w:tc>
          <w:tcPr>
            <w:tcW w:w="0" w:type="auto"/>
          </w:tcPr>
          <w:p w14:paraId="2D0656F5" w14:textId="77777777" w:rsidR="00A77B3E" w:rsidRPr="00800D1B" w:rsidRDefault="00623E14">
            <w:pPr>
              <w:spacing w:before="100"/>
              <w:rPr>
                <w:color w:val="000000"/>
                <w:sz w:val="20"/>
                <w:lang w:val="sv-SE"/>
              </w:rPr>
            </w:pPr>
            <w:r w:rsidRPr="00800D1B">
              <w:rPr>
                <w:color w:val="000000"/>
                <w:sz w:val="20"/>
                <w:lang w:val="sv-SE"/>
              </w:rPr>
              <w:t>Användare</w:t>
            </w:r>
          </w:p>
        </w:tc>
        <w:tc>
          <w:tcPr>
            <w:tcW w:w="0" w:type="auto"/>
          </w:tcPr>
          <w:p w14:paraId="2D0656F6" w14:textId="77777777" w:rsidR="00A77B3E" w:rsidRPr="00800D1B" w:rsidRDefault="00623E14">
            <w:pPr>
              <w:spacing w:before="100"/>
              <w:jc w:val="right"/>
              <w:rPr>
                <w:color w:val="000000"/>
                <w:sz w:val="20"/>
                <w:lang w:val="sv-SE"/>
              </w:rPr>
            </w:pPr>
            <w:r w:rsidRPr="00800D1B">
              <w:rPr>
                <w:color w:val="000000"/>
                <w:sz w:val="20"/>
                <w:lang w:val="sv-SE"/>
              </w:rPr>
              <w:t>0,00</w:t>
            </w:r>
          </w:p>
        </w:tc>
        <w:tc>
          <w:tcPr>
            <w:tcW w:w="0" w:type="auto"/>
          </w:tcPr>
          <w:p w14:paraId="2D0656F7" w14:textId="77777777" w:rsidR="00A77B3E" w:rsidRPr="00800D1B" w:rsidRDefault="00623E14">
            <w:pPr>
              <w:spacing w:before="100"/>
              <w:jc w:val="center"/>
              <w:rPr>
                <w:color w:val="000000"/>
                <w:sz w:val="20"/>
                <w:lang w:val="sv-SE"/>
              </w:rPr>
            </w:pPr>
            <w:r w:rsidRPr="00800D1B">
              <w:rPr>
                <w:color w:val="000000"/>
                <w:sz w:val="20"/>
                <w:lang w:val="sv-SE"/>
              </w:rPr>
              <w:t>2021</w:t>
            </w:r>
          </w:p>
        </w:tc>
        <w:tc>
          <w:tcPr>
            <w:tcW w:w="0" w:type="auto"/>
          </w:tcPr>
          <w:p w14:paraId="2D0656F8" w14:textId="77777777" w:rsidR="00A77B3E" w:rsidRPr="00800D1B" w:rsidRDefault="00623E14">
            <w:pPr>
              <w:spacing w:before="100"/>
              <w:jc w:val="right"/>
              <w:rPr>
                <w:color w:val="000000"/>
                <w:sz w:val="20"/>
                <w:lang w:val="sv-SE"/>
              </w:rPr>
            </w:pPr>
            <w:r w:rsidRPr="00800D1B">
              <w:rPr>
                <w:color w:val="000000"/>
                <w:sz w:val="20"/>
                <w:lang w:val="sv-SE"/>
              </w:rPr>
              <w:t>16,00</w:t>
            </w:r>
          </w:p>
        </w:tc>
        <w:tc>
          <w:tcPr>
            <w:tcW w:w="0" w:type="auto"/>
          </w:tcPr>
          <w:p w14:paraId="2D0656F9" w14:textId="77777777" w:rsidR="00A77B3E" w:rsidRPr="00800D1B" w:rsidRDefault="00623E14">
            <w:pPr>
              <w:spacing w:before="100"/>
              <w:rPr>
                <w:color w:val="000000"/>
                <w:sz w:val="20"/>
                <w:lang w:val="sv-SE"/>
              </w:rPr>
            </w:pPr>
            <w:r w:rsidRPr="00800D1B">
              <w:rPr>
                <w:color w:val="000000"/>
                <w:sz w:val="20"/>
                <w:lang w:val="sv-SE"/>
              </w:rPr>
              <w:t>Projekt</w:t>
            </w:r>
          </w:p>
        </w:tc>
        <w:tc>
          <w:tcPr>
            <w:tcW w:w="0" w:type="auto"/>
          </w:tcPr>
          <w:p w14:paraId="2D0656FA" w14:textId="77777777" w:rsidR="00A77B3E" w:rsidRPr="00800D1B" w:rsidRDefault="00A77B3E">
            <w:pPr>
              <w:spacing w:before="100"/>
              <w:rPr>
                <w:color w:val="000000"/>
                <w:sz w:val="20"/>
                <w:lang w:val="sv-SE"/>
              </w:rPr>
            </w:pPr>
          </w:p>
        </w:tc>
      </w:tr>
      <w:tr w:rsidR="003422DB" w:rsidRPr="00800D1B" w14:paraId="2D065708" w14:textId="77777777" w:rsidTr="0036018C">
        <w:trPr>
          <w:trHeight w:val="840"/>
        </w:trPr>
        <w:tc>
          <w:tcPr>
            <w:tcW w:w="0" w:type="auto"/>
          </w:tcPr>
          <w:p w14:paraId="2D0656FC" w14:textId="77777777" w:rsidR="00A77B3E" w:rsidRPr="00800D1B" w:rsidRDefault="00623E14">
            <w:pPr>
              <w:spacing w:before="100"/>
              <w:rPr>
                <w:color w:val="000000"/>
                <w:sz w:val="20"/>
                <w:lang w:val="sv-SE"/>
              </w:rPr>
            </w:pPr>
            <w:r w:rsidRPr="00800D1B">
              <w:rPr>
                <w:color w:val="000000"/>
                <w:sz w:val="20"/>
                <w:lang w:val="sv-SE"/>
              </w:rPr>
              <w:t>1</w:t>
            </w:r>
          </w:p>
        </w:tc>
        <w:tc>
          <w:tcPr>
            <w:tcW w:w="0" w:type="auto"/>
          </w:tcPr>
          <w:p w14:paraId="2D0656FD" w14:textId="77777777" w:rsidR="00A77B3E" w:rsidRPr="00800D1B" w:rsidRDefault="00623E14">
            <w:pPr>
              <w:spacing w:before="100"/>
              <w:rPr>
                <w:color w:val="000000"/>
                <w:sz w:val="20"/>
                <w:lang w:val="sv-SE"/>
              </w:rPr>
            </w:pPr>
            <w:r w:rsidRPr="00800D1B">
              <w:rPr>
                <w:color w:val="000000"/>
                <w:sz w:val="20"/>
                <w:lang w:val="sv-SE"/>
              </w:rPr>
              <w:t>RSO1.1</w:t>
            </w:r>
          </w:p>
        </w:tc>
        <w:tc>
          <w:tcPr>
            <w:tcW w:w="0" w:type="auto"/>
          </w:tcPr>
          <w:p w14:paraId="2D0656FE" w14:textId="77777777" w:rsidR="00A77B3E" w:rsidRPr="00800D1B" w:rsidRDefault="00623E14">
            <w:pPr>
              <w:spacing w:before="100"/>
              <w:rPr>
                <w:color w:val="000000"/>
                <w:sz w:val="20"/>
                <w:lang w:val="sv-SE"/>
              </w:rPr>
            </w:pPr>
            <w:r w:rsidRPr="00800D1B">
              <w:rPr>
                <w:color w:val="000000"/>
                <w:sz w:val="20"/>
                <w:lang w:val="sv-SE"/>
              </w:rPr>
              <w:t>Eruf</w:t>
            </w:r>
          </w:p>
        </w:tc>
        <w:tc>
          <w:tcPr>
            <w:tcW w:w="735" w:type="pct"/>
          </w:tcPr>
          <w:p w14:paraId="2D0656FF" w14:textId="77777777" w:rsidR="00A77B3E" w:rsidRPr="00800D1B" w:rsidRDefault="00623E14" w:rsidP="00754A28">
            <w:pPr>
              <w:spacing w:before="60" w:after="100"/>
              <w:ind w:right="-72"/>
              <w:rPr>
                <w:color w:val="000000"/>
                <w:sz w:val="20"/>
                <w:lang w:val="sv-SE"/>
              </w:rPr>
            </w:pPr>
            <w:r w:rsidRPr="00800D1B">
              <w:rPr>
                <w:color w:val="000000"/>
                <w:sz w:val="20"/>
                <w:lang w:val="sv-SE"/>
              </w:rPr>
              <w:t>De yttersta randområdena eller de nordliga glesbefolkade områdena</w:t>
            </w:r>
          </w:p>
        </w:tc>
        <w:tc>
          <w:tcPr>
            <w:tcW w:w="0" w:type="auto"/>
          </w:tcPr>
          <w:p w14:paraId="2D065700" w14:textId="77777777" w:rsidR="00A77B3E" w:rsidRPr="00800D1B" w:rsidRDefault="00623E14">
            <w:pPr>
              <w:spacing w:before="100"/>
              <w:rPr>
                <w:color w:val="000000"/>
                <w:sz w:val="20"/>
                <w:lang w:val="sv-SE"/>
              </w:rPr>
            </w:pPr>
            <w:r w:rsidRPr="00800D1B">
              <w:rPr>
                <w:color w:val="000000"/>
                <w:sz w:val="20"/>
                <w:lang w:val="sv-SE"/>
              </w:rPr>
              <w:t>SWR05</w:t>
            </w:r>
          </w:p>
        </w:tc>
        <w:tc>
          <w:tcPr>
            <w:tcW w:w="0" w:type="auto"/>
          </w:tcPr>
          <w:p w14:paraId="2D065701" w14:textId="77777777" w:rsidR="00A77B3E" w:rsidRPr="00800D1B" w:rsidRDefault="00623E14" w:rsidP="00754A28">
            <w:pPr>
              <w:spacing w:before="60"/>
              <w:rPr>
                <w:color w:val="000000"/>
                <w:sz w:val="20"/>
                <w:lang w:val="sv-SE"/>
              </w:rPr>
            </w:pPr>
            <w:r w:rsidRPr="00800D1B">
              <w:rPr>
                <w:color w:val="000000"/>
                <w:sz w:val="20"/>
                <w:lang w:val="sv-SE"/>
              </w:rPr>
              <w:t>Användare av färdigställd miljö/infrastruktur</w:t>
            </w:r>
          </w:p>
        </w:tc>
        <w:tc>
          <w:tcPr>
            <w:tcW w:w="0" w:type="auto"/>
          </w:tcPr>
          <w:p w14:paraId="2D065702" w14:textId="77777777" w:rsidR="00A77B3E" w:rsidRPr="00800D1B" w:rsidRDefault="00623E14">
            <w:pPr>
              <w:spacing w:before="100"/>
              <w:rPr>
                <w:color w:val="000000"/>
                <w:sz w:val="20"/>
                <w:lang w:val="sv-SE"/>
              </w:rPr>
            </w:pPr>
            <w:r w:rsidRPr="00800D1B">
              <w:rPr>
                <w:color w:val="000000"/>
                <w:sz w:val="20"/>
                <w:lang w:val="sv-SE"/>
              </w:rPr>
              <w:t>Användare</w:t>
            </w:r>
          </w:p>
        </w:tc>
        <w:tc>
          <w:tcPr>
            <w:tcW w:w="0" w:type="auto"/>
          </w:tcPr>
          <w:p w14:paraId="2D065703" w14:textId="77777777" w:rsidR="00A77B3E" w:rsidRPr="00800D1B" w:rsidRDefault="00623E14">
            <w:pPr>
              <w:spacing w:before="100"/>
              <w:jc w:val="right"/>
              <w:rPr>
                <w:color w:val="000000"/>
                <w:sz w:val="20"/>
                <w:lang w:val="sv-SE"/>
              </w:rPr>
            </w:pPr>
            <w:r w:rsidRPr="00800D1B">
              <w:rPr>
                <w:color w:val="000000"/>
                <w:sz w:val="20"/>
                <w:lang w:val="sv-SE"/>
              </w:rPr>
              <w:t>0,00</w:t>
            </w:r>
          </w:p>
        </w:tc>
        <w:tc>
          <w:tcPr>
            <w:tcW w:w="0" w:type="auto"/>
          </w:tcPr>
          <w:p w14:paraId="2D065704" w14:textId="77777777" w:rsidR="00A77B3E" w:rsidRPr="00800D1B" w:rsidRDefault="00623E14">
            <w:pPr>
              <w:spacing w:before="100"/>
              <w:jc w:val="center"/>
              <w:rPr>
                <w:color w:val="000000"/>
                <w:sz w:val="20"/>
                <w:lang w:val="sv-SE"/>
              </w:rPr>
            </w:pPr>
            <w:r w:rsidRPr="00800D1B">
              <w:rPr>
                <w:color w:val="000000"/>
                <w:sz w:val="20"/>
                <w:lang w:val="sv-SE"/>
              </w:rPr>
              <w:t>2021</w:t>
            </w:r>
          </w:p>
        </w:tc>
        <w:tc>
          <w:tcPr>
            <w:tcW w:w="0" w:type="auto"/>
          </w:tcPr>
          <w:p w14:paraId="2D065705" w14:textId="77777777" w:rsidR="00A77B3E" w:rsidRPr="00800D1B" w:rsidRDefault="00623E14">
            <w:pPr>
              <w:spacing w:before="100"/>
              <w:jc w:val="right"/>
              <w:rPr>
                <w:color w:val="000000"/>
                <w:sz w:val="20"/>
                <w:lang w:val="sv-SE"/>
              </w:rPr>
            </w:pPr>
            <w:r w:rsidRPr="00800D1B">
              <w:rPr>
                <w:color w:val="000000"/>
                <w:sz w:val="20"/>
                <w:lang w:val="sv-SE"/>
              </w:rPr>
              <w:t>1,00</w:t>
            </w:r>
          </w:p>
        </w:tc>
        <w:tc>
          <w:tcPr>
            <w:tcW w:w="0" w:type="auto"/>
          </w:tcPr>
          <w:p w14:paraId="2D065706" w14:textId="77777777" w:rsidR="00A77B3E" w:rsidRPr="00800D1B" w:rsidRDefault="00623E14">
            <w:pPr>
              <w:spacing w:before="100"/>
              <w:rPr>
                <w:color w:val="000000"/>
                <w:sz w:val="20"/>
                <w:lang w:val="sv-SE"/>
              </w:rPr>
            </w:pPr>
            <w:r w:rsidRPr="00800D1B">
              <w:rPr>
                <w:color w:val="000000"/>
                <w:sz w:val="20"/>
                <w:lang w:val="sv-SE"/>
              </w:rPr>
              <w:t>Projekt</w:t>
            </w:r>
          </w:p>
        </w:tc>
        <w:tc>
          <w:tcPr>
            <w:tcW w:w="0" w:type="auto"/>
          </w:tcPr>
          <w:p w14:paraId="2D065707" w14:textId="77777777" w:rsidR="00A77B3E" w:rsidRPr="00800D1B" w:rsidRDefault="00A77B3E">
            <w:pPr>
              <w:spacing w:before="100"/>
              <w:rPr>
                <w:color w:val="000000"/>
                <w:sz w:val="20"/>
                <w:lang w:val="sv-SE"/>
              </w:rPr>
            </w:pPr>
          </w:p>
        </w:tc>
      </w:tr>
      <w:tr w:rsidR="003422DB" w:rsidRPr="00800D1B" w14:paraId="2D065715" w14:textId="77777777" w:rsidTr="0036018C">
        <w:trPr>
          <w:trHeight w:val="840"/>
        </w:trPr>
        <w:tc>
          <w:tcPr>
            <w:tcW w:w="0" w:type="auto"/>
          </w:tcPr>
          <w:p w14:paraId="2D065709" w14:textId="77777777" w:rsidR="00A77B3E" w:rsidRPr="00800D1B" w:rsidRDefault="00623E14">
            <w:pPr>
              <w:spacing w:before="100"/>
              <w:rPr>
                <w:color w:val="000000"/>
                <w:sz w:val="20"/>
                <w:lang w:val="sv-SE"/>
              </w:rPr>
            </w:pPr>
            <w:r w:rsidRPr="00800D1B">
              <w:rPr>
                <w:color w:val="000000"/>
                <w:sz w:val="20"/>
                <w:lang w:val="sv-SE"/>
              </w:rPr>
              <w:t>1</w:t>
            </w:r>
          </w:p>
        </w:tc>
        <w:tc>
          <w:tcPr>
            <w:tcW w:w="0" w:type="auto"/>
          </w:tcPr>
          <w:p w14:paraId="2D06570A" w14:textId="77777777" w:rsidR="00A77B3E" w:rsidRPr="00800D1B" w:rsidRDefault="00623E14">
            <w:pPr>
              <w:spacing w:before="100"/>
              <w:rPr>
                <w:color w:val="000000"/>
                <w:sz w:val="20"/>
                <w:lang w:val="sv-SE"/>
              </w:rPr>
            </w:pPr>
            <w:r w:rsidRPr="00800D1B">
              <w:rPr>
                <w:color w:val="000000"/>
                <w:sz w:val="20"/>
                <w:lang w:val="sv-SE"/>
              </w:rPr>
              <w:t>RSO1.1</w:t>
            </w:r>
          </w:p>
        </w:tc>
        <w:tc>
          <w:tcPr>
            <w:tcW w:w="0" w:type="auto"/>
          </w:tcPr>
          <w:p w14:paraId="2D06570B" w14:textId="77777777" w:rsidR="00A77B3E" w:rsidRPr="00800D1B" w:rsidRDefault="00623E14">
            <w:pPr>
              <w:spacing w:before="100"/>
              <w:rPr>
                <w:color w:val="000000"/>
                <w:sz w:val="20"/>
                <w:lang w:val="sv-SE"/>
              </w:rPr>
            </w:pPr>
            <w:r w:rsidRPr="00800D1B">
              <w:rPr>
                <w:color w:val="000000"/>
                <w:sz w:val="20"/>
                <w:lang w:val="sv-SE"/>
              </w:rPr>
              <w:t>Eruf</w:t>
            </w:r>
          </w:p>
        </w:tc>
        <w:tc>
          <w:tcPr>
            <w:tcW w:w="735" w:type="pct"/>
          </w:tcPr>
          <w:p w14:paraId="2D06570C" w14:textId="77777777" w:rsidR="00A77B3E" w:rsidRPr="00800D1B" w:rsidRDefault="00623E14" w:rsidP="00754A28">
            <w:pPr>
              <w:spacing w:before="60" w:after="100"/>
              <w:ind w:right="-72"/>
              <w:rPr>
                <w:color w:val="000000"/>
                <w:sz w:val="20"/>
                <w:lang w:val="sv-SE"/>
              </w:rPr>
            </w:pPr>
            <w:r w:rsidRPr="00800D1B">
              <w:rPr>
                <w:color w:val="000000"/>
                <w:sz w:val="20"/>
                <w:lang w:val="sv-SE"/>
              </w:rPr>
              <w:t>De yttersta randområdena eller de nordliga glesbefolkade områdena</w:t>
            </w:r>
          </w:p>
        </w:tc>
        <w:tc>
          <w:tcPr>
            <w:tcW w:w="0" w:type="auto"/>
          </w:tcPr>
          <w:p w14:paraId="2D06570D" w14:textId="77777777" w:rsidR="00A77B3E" w:rsidRPr="00800D1B" w:rsidRDefault="00623E14">
            <w:pPr>
              <w:spacing w:before="100"/>
              <w:rPr>
                <w:color w:val="000000"/>
                <w:sz w:val="20"/>
                <w:lang w:val="sv-SE"/>
              </w:rPr>
            </w:pPr>
            <w:r w:rsidRPr="00800D1B">
              <w:rPr>
                <w:color w:val="000000"/>
                <w:sz w:val="20"/>
                <w:lang w:val="sv-SE"/>
              </w:rPr>
              <w:t>SWR01</w:t>
            </w:r>
          </w:p>
        </w:tc>
        <w:tc>
          <w:tcPr>
            <w:tcW w:w="0" w:type="auto"/>
          </w:tcPr>
          <w:p w14:paraId="2D06570E" w14:textId="620B16CB" w:rsidR="00A77B3E" w:rsidRPr="00800D1B" w:rsidRDefault="00623E14" w:rsidP="00754A28">
            <w:pPr>
              <w:spacing w:before="60"/>
              <w:rPr>
                <w:color w:val="000000"/>
                <w:sz w:val="20"/>
                <w:lang w:val="sv-SE"/>
              </w:rPr>
            </w:pPr>
            <w:r w:rsidRPr="00800D1B">
              <w:rPr>
                <w:color w:val="000000"/>
                <w:sz w:val="20"/>
                <w:lang w:val="sv-SE"/>
              </w:rPr>
              <w:t>Antal företag som utvecklar produkter, processer och affärsmodeller</w:t>
            </w:r>
            <w:r w:rsidR="00CF74CB" w:rsidRPr="00800D1B">
              <w:rPr>
                <w:color w:val="000000"/>
                <w:sz w:val="20"/>
                <w:lang w:val="sv-SE"/>
              </w:rPr>
              <w:t xml:space="preserve"> </w:t>
            </w:r>
          </w:p>
        </w:tc>
        <w:tc>
          <w:tcPr>
            <w:tcW w:w="0" w:type="auto"/>
          </w:tcPr>
          <w:p w14:paraId="2D06570F" w14:textId="77777777" w:rsidR="00A77B3E" w:rsidRPr="00800D1B" w:rsidRDefault="00623E14">
            <w:pPr>
              <w:spacing w:before="100"/>
              <w:rPr>
                <w:color w:val="000000"/>
                <w:sz w:val="20"/>
                <w:lang w:val="sv-SE"/>
              </w:rPr>
            </w:pPr>
            <w:r w:rsidRPr="00800D1B">
              <w:rPr>
                <w:color w:val="000000"/>
                <w:sz w:val="20"/>
                <w:lang w:val="sv-SE"/>
              </w:rPr>
              <w:t>Företag</w:t>
            </w:r>
          </w:p>
        </w:tc>
        <w:tc>
          <w:tcPr>
            <w:tcW w:w="0" w:type="auto"/>
          </w:tcPr>
          <w:p w14:paraId="2D065710" w14:textId="77777777" w:rsidR="00A77B3E" w:rsidRPr="00800D1B" w:rsidRDefault="00623E14">
            <w:pPr>
              <w:spacing w:before="100"/>
              <w:jc w:val="right"/>
              <w:rPr>
                <w:color w:val="000000"/>
                <w:sz w:val="20"/>
                <w:lang w:val="sv-SE"/>
              </w:rPr>
            </w:pPr>
            <w:r w:rsidRPr="00800D1B">
              <w:rPr>
                <w:color w:val="000000"/>
                <w:sz w:val="20"/>
                <w:lang w:val="sv-SE"/>
              </w:rPr>
              <w:t>0,00</w:t>
            </w:r>
          </w:p>
        </w:tc>
        <w:tc>
          <w:tcPr>
            <w:tcW w:w="0" w:type="auto"/>
          </w:tcPr>
          <w:p w14:paraId="2D065711" w14:textId="77777777" w:rsidR="00A77B3E" w:rsidRPr="00800D1B" w:rsidRDefault="00623E14">
            <w:pPr>
              <w:spacing w:before="100"/>
              <w:jc w:val="center"/>
              <w:rPr>
                <w:color w:val="000000"/>
                <w:sz w:val="20"/>
                <w:lang w:val="sv-SE"/>
              </w:rPr>
            </w:pPr>
            <w:r w:rsidRPr="00800D1B">
              <w:rPr>
                <w:color w:val="000000"/>
                <w:sz w:val="20"/>
                <w:lang w:val="sv-SE"/>
              </w:rPr>
              <w:t>2021</w:t>
            </w:r>
          </w:p>
        </w:tc>
        <w:tc>
          <w:tcPr>
            <w:tcW w:w="0" w:type="auto"/>
          </w:tcPr>
          <w:p w14:paraId="2D065712" w14:textId="77777777" w:rsidR="00A77B3E" w:rsidRPr="00800D1B" w:rsidRDefault="00623E14">
            <w:pPr>
              <w:spacing w:before="100"/>
              <w:jc w:val="right"/>
              <w:rPr>
                <w:color w:val="000000"/>
                <w:sz w:val="20"/>
                <w:lang w:val="sv-SE"/>
              </w:rPr>
            </w:pPr>
            <w:r w:rsidRPr="00800D1B">
              <w:rPr>
                <w:color w:val="000000"/>
                <w:sz w:val="20"/>
                <w:lang w:val="sv-SE"/>
              </w:rPr>
              <w:t>16,00</w:t>
            </w:r>
          </w:p>
        </w:tc>
        <w:tc>
          <w:tcPr>
            <w:tcW w:w="0" w:type="auto"/>
          </w:tcPr>
          <w:p w14:paraId="2D065713" w14:textId="77777777" w:rsidR="00A77B3E" w:rsidRPr="00800D1B" w:rsidRDefault="00623E14">
            <w:pPr>
              <w:spacing w:before="100"/>
              <w:rPr>
                <w:color w:val="000000"/>
                <w:sz w:val="20"/>
                <w:lang w:val="sv-SE"/>
              </w:rPr>
            </w:pPr>
            <w:r w:rsidRPr="00800D1B">
              <w:rPr>
                <w:color w:val="000000"/>
                <w:sz w:val="20"/>
                <w:lang w:val="sv-SE"/>
              </w:rPr>
              <w:t>Projekt</w:t>
            </w:r>
          </w:p>
        </w:tc>
        <w:tc>
          <w:tcPr>
            <w:tcW w:w="0" w:type="auto"/>
          </w:tcPr>
          <w:p w14:paraId="2D065714" w14:textId="77777777" w:rsidR="00A77B3E" w:rsidRPr="00800D1B" w:rsidRDefault="00A77B3E">
            <w:pPr>
              <w:spacing w:before="100"/>
              <w:rPr>
                <w:color w:val="000000"/>
                <w:sz w:val="20"/>
                <w:lang w:val="sv-SE"/>
              </w:rPr>
            </w:pPr>
          </w:p>
        </w:tc>
      </w:tr>
    </w:tbl>
    <w:p w14:paraId="2D065717" w14:textId="1A278E66" w:rsidR="00A77B3E" w:rsidRPr="00800D1B" w:rsidRDefault="00623E14" w:rsidP="00754A28">
      <w:pPr>
        <w:pStyle w:val="Rubrik6"/>
        <w:numPr>
          <w:ilvl w:val="4"/>
          <w:numId w:val="4"/>
        </w:numPr>
        <w:spacing w:before="300"/>
        <w:ind w:left="360"/>
      </w:pPr>
      <w:bookmarkStart w:id="16" w:name="_Toc256000257"/>
      <w:r w:rsidRPr="00800D1B">
        <w:t>Preliminär fördelning av anslagna (EU-)medel efter interventionstyp</w:t>
      </w:r>
      <w:bookmarkEnd w:id="16"/>
    </w:p>
    <w:p w14:paraId="2D065718" w14:textId="77777777" w:rsidR="00A77B3E" w:rsidRPr="00800D1B" w:rsidRDefault="00A77B3E">
      <w:pPr>
        <w:spacing w:before="100"/>
        <w:rPr>
          <w:color w:val="000000"/>
          <w:sz w:val="0"/>
          <w:lang w:val="sv-SE"/>
        </w:rPr>
      </w:pPr>
    </w:p>
    <w:p w14:paraId="2D065719" w14:textId="77777777" w:rsidR="00A77B3E" w:rsidRPr="00800D1B" w:rsidRDefault="00623E14">
      <w:pPr>
        <w:spacing w:before="100"/>
        <w:rPr>
          <w:color w:val="000000"/>
          <w:sz w:val="0"/>
          <w:lang w:val="sv-SE"/>
        </w:rPr>
      </w:pPr>
      <w:r w:rsidRPr="00800D1B">
        <w:rPr>
          <w:color w:val="000000"/>
          <w:lang w:val="sv-SE"/>
        </w:rPr>
        <w:t>Referens: artikel 22.3 d viii i förordningen om gemensamma bestämmelser</w:t>
      </w:r>
    </w:p>
    <w:p w14:paraId="2D06571A" w14:textId="3FF0CEC5" w:rsidR="00A77B3E" w:rsidRPr="00800D1B" w:rsidRDefault="00623E14" w:rsidP="001130F2">
      <w:pPr>
        <w:spacing w:before="100"/>
        <w:rPr>
          <w:lang w:val="sv-SE"/>
        </w:rPr>
      </w:pPr>
      <w:bookmarkStart w:id="17" w:name="_Toc256000258"/>
      <w:r w:rsidRPr="00800D1B">
        <w:rPr>
          <w:lang w:val="sv-SE"/>
        </w:rPr>
        <w:t>Tabell 4: Dimension 1 – interventionsområde</w:t>
      </w:r>
      <w:bookmarkEnd w:id="17"/>
    </w:p>
    <w:p w14:paraId="2D06571B" w14:textId="77777777" w:rsidR="00A77B3E" w:rsidRPr="00800D1B" w:rsidRDefault="00A77B3E">
      <w:pPr>
        <w:spacing w:before="100"/>
        <w:rPr>
          <w:color w:val="000000"/>
          <w:sz w:val="0"/>
          <w:lang w:val="sv-SE"/>
        </w:rPr>
      </w:pPr>
    </w:p>
    <w:tbl>
      <w:tblPr>
        <w:tblStyle w:val="Tabellrutnt"/>
        <w:tblW w:w="5000" w:type="pct"/>
        <w:tblLook w:val="04A0" w:firstRow="1" w:lastRow="0" w:firstColumn="1" w:lastColumn="0" w:noHBand="0" w:noVBand="1"/>
        <w:tblDescription w:val="En tabell med sex kolumner: Prioritering; Specifikt mål; Fond; Regionkategori; Kod; Belopp (euro). Tabellen visar information om interventionsområde."/>
      </w:tblPr>
      <w:tblGrid>
        <w:gridCol w:w="1139"/>
        <w:gridCol w:w="1072"/>
        <w:gridCol w:w="694"/>
        <w:gridCol w:w="3050"/>
        <w:gridCol w:w="7851"/>
        <w:gridCol w:w="1366"/>
      </w:tblGrid>
      <w:tr w:rsidR="003422DB" w:rsidRPr="00800D1B" w14:paraId="2D065722" w14:textId="77777777" w:rsidTr="00315434">
        <w:tc>
          <w:tcPr>
            <w:tcW w:w="0" w:type="auto"/>
          </w:tcPr>
          <w:p w14:paraId="2D06571C" w14:textId="77777777" w:rsidR="00A77B3E" w:rsidRPr="00800D1B" w:rsidRDefault="00623E14">
            <w:pPr>
              <w:spacing w:before="100"/>
              <w:jc w:val="center"/>
              <w:rPr>
                <w:color w:val="000000"/>
                <w:sz w:val="20"/>
                <w:lang w:val="sv-SE"/>
              </w:rPr>
            </w:pPr>
            <w:r w:rsidRPr="00800D1B">
              <w:rPr>
                <w:color w:val="000000"/>
                <w:sz w:val="20"/>
                <w:lang w:val="sv-SE"/>
              </w:rPr>
              <w:t>Prioritering</w:t>
            </w:r>
          </w:p>
        </w:tc>
        <w:tc>
          <w:tcPr>
            <w:tcW w:w="0" w:type="auto"/>
          </w:tcPr>
          <w:p w14:paraId="2D06571D" w14:textId="77777777" w:rsidR="00A77B3E" w:rsidRPr="00800D1B" w:rsidRDefault="00623E14">
            <w:pPr>
              <w:spacing w:before="100"/>
              <w:jc w:val="center"/>
              <w:rPr>
                <w:color w:val="000000"/>
                <w:sz w:val="20"/>
                <w:lang w:val="sv-SE"/>
              </w:rPr>
            </w:pPr>
            <w:r w:rsidRPr="00800D1B">
              <w:rPr>
                <w:color w:val="000000"/>
                <w:sz w:val="20"/>
                <w:lang w:val="sv-SE"/>
              </w:rPr>
              <w:t>Specifikt mål</w:t>
            </w:r>
          </w:p>
        </w:tc>
        <w:tc>
          <w:tcPr>
            <w:tcW w:w="0" w:type="auto"/>
          </w:tcPr>
          <w:p w14:paraId="2D06571E" w14:textId="77777777" w:rsidR="00A77B3E" w:rsidRPr="00800D1B" w:rsidRDefault="00623E14">
            <w:pPr>
              <w:spacing w:before="100"/>
              <w:jc w:val="center"/>
              <w:rPr>
                <w:color w:val="000000"/>
                <w:sz w:val="20"/>
                <w:lang w:val="sv-SE"/>
              </w:rPr>
            </w:pPr>
            <w:r w:rsidRPr="00800D1B">
              <w:rPr>
                <w:color w:val="000000"/>
                <w:sz w:val="20"/>
                <w:lang w:val="sv-SE"/>
              </w:rPr>
              <w:t>Fond</w:t>
            </w:r>
          </w:p>
        </w:tc>
        <w:tc>
          <w:tcPr>
            <w:tcW w:w="0" w:type="auto"/>
          </w:tcPr>
          <w:p w14:paraId="2D06571F" w14:textId="77777777" w:rsidR="00A77B3E" w:rsidRPr="00800D1B" w:rsidRDefault="00623E14">
            <w:pPr>
              <w:spacing w:before="100"/>
              <w:jc w:val="center"/>
              <w:rPr>
                <w:color w:val="000000"/>
                <w:sz w:val="20"/>
                <w:lang w:val="sv-SE"/>
              </w:rPr>
            </w:pPr>
            <w:r w:rsidRPr="00800D1B">
              <w:rPr>
                <w:color w:val="000000"/>
                <w:sz w:val="20"/>
                <w:lang w:val="sv-SE"/>
              </w:rPr>
              <w:t>Regionkategori</w:t>
            </w:r>
          </w:p>
        </w:tc>
        <w:tc>
          <w:tcPr>
            <w:tcW w:w="0" w:type="auto"/>
          </w:tcPr>
          <w:p w14:paraId="2D065720" w14:textId="77777777" w:rsidR="00A77B3E" w:rsidRPr="00800D1B" w:rsidRDefault="00623E14">
            <w:pPr>
              <w:spacing w:before="100"/>
              <w:jc w:val="center"/>
              <w:rPr>
                <w:color w:val="000000"/>
                <w:sz w:val="20"/>
                <w:lang w:val="sv-SE"/>
              </w:rPr>
            </w:pPr>
            <w:r w:rsidRPr="00800D1B">
              <w:rPr>
                <w:color w:val="000000"/>
                <w:sz w:val="20"/>
                <w:lang w:val="sv-SE"/>
              </w:rPr>
              <w:t>Kod</w:t>
            </w:r>
          </w:p>
        </w:tc>
        <w:tc>
          <w:tcPr>
            <w:tcW w:w="0" w:type="auto"/>
          </w:tcPr>
          <w:p w14:paraId="2D065721" w14:textId="77777777" w:rsidR="00A77B3E" w:rsidRPr="00800D1B" w:rsidRDefault="00623E14">
            <w:pPr>
              <w:spacing w:before="100"/>
              <w:jc w:val="center"/>
              <w:rPr>
                <w:color w:val="000000"/>
                <w:sz w:val="20"/>
                <w:lang w:val="sv-SE"/>
              </w:rPr>
            </w:pPr>
            <w:r w:rsidRPr="00800D1B">
              <w:rPr>
                <w:color w:val="000000"/>
                <w:sz w:val="20"/>
                <w:lang w:val="sv-SE"/>
              </w:rPr>
              <w:t>Belopp (euro)</w:t>
            </w:r>
          </w:p>
        </w:tc>
      </w:tr>
      <w:tr w:rsidR="003422DB" w:rsidRPr="00800D1B" w14:paraId="2D065729" w14:textId="77777777" w:rsidTr="00315434">
        <w:tc>
          <w:tcPr>
            <w:tcW w:w="0" w:type="auto"/>
          </w:tcPr>
          <w:p w14:paraId="2D065723" w14:textId="77777777" w:rsidR="00A77B3E" w:rsidRPr="00800D1B" w:rsidRDefault="00623E14">
            <w:pPr>
              <w:spacing w:before="100"/>
              <w:rPr>
                <w:color w:val="000000"/>
                <w:sz w:val="20"/>
                <w:lang w:val="sv-SE"/>
              </w:rPr>
            </w:pPr>
            <w:r w:rsidRPr="00800D1B">
              <w:rPr>
                <w:color w:val="000000"/>
                <w:sz w:val="20"/>
                <w:lang w:val="sv-SE"/>
              </w:rPr>
              <w:t>1</w:t>
            </w:r>
          </w:p>
        </w:tc>
        <w:tc>
          <w:tcPr>
            <w:tcW w:w="0" w:type="auto"/>
          </w:tcPr>
          <w:p w14:paraId="2D065724" w14:textId="77777777" w:rsidR="00A77B3E" w:rsidRPr="00800D1B" w:rsidRDefault="00623E14">
            <w:pPr>
              <w:spacing w:before="100"/>
              <w:rPr>
                <w:color w:val="000000"/>
                <w:sz w:val="20"/>
                <w:lang w:val="sv-SE"/>
              </w:rPr>
            </w:pPr>
            <w:r w:rsidRPr="00800D1B">
              <w:rPr>
                <w:color w:val="000000"/>
                <w:sz w:val="20"/>
                <w:lang w:val="sv-SE"/>
              </w:rPr>
              <w:t>RSO1.1</w:t>
            </w:r>
          </w:p>
        </w:tc>
        <w:tc>
          <w:tcPr>
            <w:tcW w:w="0" w:type="auto"/>
          </w:tcPr>
          <w:p w14:paraId="2D065725" w14:textId="77777777" w:rsidR="00A77B3E" w:rsidRPr="00800D1B" w:rsidRDefault="00623E14">
            <w:pPr>
              <w:spacing w:before="100"/>
              <w:rPr>
                <w:color w:val="000000"/>
                <w:sz w:val="20"/>
                <w:lang w:val="sv-SE"/>
              </w:rPr>
            </w:pPr>
            <w:r w:rsidRPr="00800D1B">
              <w:rPr>
                <w:color w:val="000000"/>
                <w:sz w:val="20"/>
                <w:lang w:val="sv-SE"/>
              </w:rPr>
              <w:t>Eruf</w:t>
            </w:r>
          </w:p>
        </w:tc>
        <w:tc>
          <w:tcPr>
            <w:tcW w:w="0" w:type="auto"/>
          </w:tcPr>
          <w:p w14:paraId="2D065726" w14:textId="77777777" w:rsidR="00A77B3E" w:rsidRPr="00800D1B" w:rsidRDefault="00623E14">
            <w:pPr>
              <w:spacing w:before="100"/>
              <w:rPr>
                <w:color w:val="000000"/>
                <w:sz w:val="20"/>
                <w:lang w:val="sv-SE"/>
              </w:rPr>
            </w:pPr>
            <w:r w:rsidRPr="00800D1B">
              <w:rPr>
                <w:color w:val="000000"/>
                <w:sz w:val="20"/>
                <w:lang w:val="sv-SE"/>
              </w:rPr>
              <w:t>Mer utvecklade regioner</w:t>
            </w:r>
          </w:p>
        </w:tc>
        <w:tc>
          <w:tcPr>
            <w:tcW w:w="0" w:type="auto"/>
          </w:tcPr>
          <w:p w14:paraId="2D065727" w14:textId="77777777" w:rsidR="00A77B3E" w:rsidRPr="00800D1B" w:rsidRDefault="00623E14" w:rsidP="00315434">
            <w:pPr>
              <w:spacing w:before="100" w:after="60"/>
              <w:rPr>
                <w:color w:val="000000"/>
                <w:sz w:val="20"/>
                <w:lang w:val="sv-SE"/>
              </w:rPr>
            </w:pPr>
            <w:r w:rsidRPr="00800D1B">
              <w:rPr>
                <w:color w:val="000000"/>
                <w:sz w:val="20"/>
                <w:lang w:val="sv-SE"/>
              </w:rPr>
              <w:t>004. Investeringar i fasta tillgångar, inbegripet forskningsinfrastruktur, i offentliga forskningscentrum och högre utbildning, direkt kopplade till forskning och innovation</w:t>
            </w:r>
          </w:p>
        </w:tc>
        <w:tc>
          <w:tcPr>
            <w:tcW w:w="0" w:type="auto"/>
          </w:tcPr>
          <w:p w14:paraId="2D065728" w14:textId="77777777" w:rsidR="00A77B3E" w:rsidRPr="00800D1B" w:rsidRDefault="00623E14">
            <w:pPr>
              <w:spacing w:before="100"/>
              <w:jc w:val="right"/>
              <w:rPr>
                <w:color w:val="000000"/>
                <w:sz w:val="20"/>
                <w:lang w:val="sv-SE"/>
              </w:rPr>
            </w:pPr>
            <w:r w:rsidRPr="00800D1B">
              <w:rPr>
                <w:color w:val="000000"/>
                <w:sz w:val="20"/>
                <w:lang w:val="sv-SE"/>
              </w:rPr>
              <w:t>6 948 661,00</w:t>
            </w:r>
          </w:p>
        </w:tc>
      </w:tr>
      <w:tr w:rsidR="003422DB" w:rsidRPr="00800D1B" w14:paraId="2D065730" w14:textId="77777777" w:rsidTr="00315434">
        <w:tc>
          <w:tcPr>
            <w:tcW w:w="0" w:type="auto"/>
          </w:tcPr>
          <w:p w14:paraId="2D06572A" w14:textId="77777777" w:rsidR="00A77B3E" w:rsidRPr="00800D1B" w:rsidRDefault="00623E14">
            <w:pPr>
              <w:spacing w:before="100"/>
              <w:rPr>
                <w:color w:val="000000"/>
                <w:sz w:val="20"/>
                <w:lang w:val="sv-SE"/>
              </w:rPr>
            </w:pPr>
            <w:r w:rsidRPr="00800D1B">
              <w:rPr>
                <w:color w:val="000000"/>
                <w:sz w:val="20"/>
                <w:lang w:val="sv-SE"/>
              </w:rPr>
              <w:t>1</w:t>
            </w:r>
          </w:p>
        </w:tc>
        <w:tc>
          <w:tcPr>
            <w:tcW w:w="0" w:type="auto"/>
          </w:tcPr>
          <w:p w14:paraId="2D06572B" w14:textId="77777777" w:rsidR="00A77B3E" w:rsidRPr="00800D1B" w:rsidRDefault="00623E14">
            <w:pPr>
              <w:spacing w:before="100"/>
              <w:rPr>
                <w:color w:val="000000"/>
                <w:sz w:val="20"/>
                <w:lang w:val="sv-SE"/>
              </w:rPr>
            </w:pPr>
            <w:r w:rsidRPr="00800D1B">
              <w:rPr>
                <w:color w:val="000000"/>
                <w:sz w:val="20"/>
                <w:lang w:val="sv-SE"/>
              </w:rPr>
              <w:t>RSO1.1</w:t>
            </w:r>
          </w:p>
        </w:tc>
        <w:tc>
          <w:tcPr>
            <w:tcW w:w="0" w:type="auto"/>
          </w:tcPr>
          <w:p w14:paraId="2D06572C" w14:textId="77777777" w:rsidR="00A77B3E" w:rsidRPr="00800D1B" w:rsidRDefault="00623E14">
            <w:pPr>
              <w:spacing w:before="100"/>
              <w:rPr>
                <w:color w:val="000000"/>
                <w:sz w:val="20"/>
                <w:lang w:val="sv-SE"/>
              </w:rPr>
            </w:pPr>
            <w:r w:rsidRPr="00800D1B">
              <w:rPr>
                <w:color w:val="000000"/>
                <w:sz w:val="20"/>
                <w:lang w:val="sv-SE"/>
              </w:rPr>
              <w:t>Eruf</w:t>
            </w:r>
          </w:p>
        </w:tc>
        <w:tc>
          <w:tcPr>
            <w:tcW w:w="0" w:type="auto"/>
          </w:tcPr>
          <w:p w14:paraId="2D06572D" w14:textId="77777777" w:rsidR="00A77B3E" w:rsidRPr="00800D1B" w:rsidRDefault="00623E14">
            <w:pPr>
              <w:spacing w:before="100"/>
              <w:rPr>
                <w:color w:val="000000"/>
                <w:sz w:val="20"/>
                <w:lang w:val="sv-SE"/>
              </w:rPr>
            </w:pPr>
            <w:r w:rsidRPr="00800D1B">
              <w:rPr>
                <w:color w:val="000000"/>
                <w:sz w:val="20"/>
                <w:lang w:val="sv-SE"/>
              </w:rPr>
              <w:t>Mer utvecklade regioner</w:t>
            </w:r>
          </w:p>
        </w:tc>
        <w:tc>
          <w:tcPr>
            <w:tcW w:w="0" w:type="auto"/>
          </w:tcPr>
          <w:p w14:paraId="2D06572E" w14:textId="77777777" w:rsidR="00A77B3E" w:rsidRPr="00800D1B" w:rsidRDefault="00623E14" w:rsidP="00315434">
            <w:pPr>
              <w:spacing w:before="100" w:after="60"/>
              <w:rPr>
                <w:color w:val="000000"/>
                <w:sz w:val="20"/>
                <w:lang w:val="sv-SE"/>
              </w:rPr>
            </w:pPr>
            <w:r w:rsidRPr="00800D1B">
              <w:rPr>
                <w:color w:val="000000"/>
                <w:sz w:val="20"/>
                <w:lang w:val="sv-SE"/>
              </w:rPr>
              <w:t>010. Forskning och innovation i små och medelstora företag, inbegripet nätverkande</w:t>
            </w:r>
          </w:p>
        </w:tc>
        <w:tc>
          <w:tcPr>
            <w:tcW w:w="0" w:type="auto"/>
          </w:tcPr>
          <w:p w14:paraId="2D06572F" w14:textId="77777777" w:rsidR="00A77B3E" w:rsidRPr="00800D1B" w:rsidRDefault="00623E14">
            <w:pPr>
              <w:spacing w:before="100"/>
              <w:jc w:val="right"/>
              <w:rPr>
                <w:color w:val="000000"/>
                <w:sz w:val="20"/>
                <w:lang w:val="sv-SE"/>
              </w:rPr>
            </w:pPr>
            <w:r w:rsidRPr="00800D1B">
              <w:rPr>
                <w:color w:val="000000"/>
                <w:sz w:val="20"/>
                <w:lang w:val="sv-SE"/>
              </w:rPr>
              <w:t>6 948 661,00</w:t>
            </w:r>
          </w:p>
        </w:tc>
      </w:tr>
      <w:tr w:rsidR="003422DB" w:rsidRPr="00800D1B" w14:paraId="2D065737" w14:textId="77777777" w:rsidTr="00315434">
        <w:tc>
          <w:tcPr>
            <w:tcW w:w="0" w:type="auto"/>
          </w:tcPr>
          <w:p w14:paraId="2D065731" w14:textId="77777777" w:rsidR="00A77B3E" w:rsidRPr="00800D1B" w:rsidRDefault="00623E14">
            <w:pPr>
              <w:spacing w:before="100"/>
              <w:rPr>
                <w:color w:val="000000"/>
                <w:sz w:val="20"/>
                <w:lang w:val="sv-SE"/>
              </w:rPr>
            </w:pPr>
            <w:r w:rsidRPr="00800D1B">
              <w:rPr>
                <w:color w:val="000000"/>
                <w:sz w:val="20"/>
                <w:lang w:val="sv-SE"/>
              </w:rPr>
              <w:t>1</w:t>
            </w:r>
          </w:p>
        </w:tc>
        <w:tc>
          <w:tcPr>
            <w:tcW w:w="0" w:type="auto"/>
          </w:tcPr>
          <w:p w14:paraId="2D065732" w14:textId="77777777" w:rsidR="00A77B3E" w:rsidRPr="00800D1B" w:rsidRDefault="00623E14">
            <w:pPr>
              <w:spacing w:before="100"/>
              <w:rPr>
                <w:color w:val="000000"/>
                <w:sz w:val="20"/>
                <w:lang w:val="sv-SE"/>
              </w:rPr>
            </w:pPr>
            <w:r w:rsidRPr="00800D1B">
              <w:rPr>
                <w:color w:val="000000"/>
                <w:sz w:val="20"/>
                <w:lang w:val="sv-SE"/>
              </w:rPr>
              <w:t>RSO1.1</w:t>
            </w:r>
          </w:p>
        </w:tc>
        <w:tc>
          <w:tcPr>
            <w:tcW w:w="0" w:type="auto"/>
          </w:tcPr>
          <w:p w14:paraId="2D065733" w14:textId="77777777" w:rsidR="00A77B3E" w:rsidRPr="00800D1B" w:rsidRDefault="00623E14">
            <w:pPr>
              <w:spacing w:before="100"/>
              <w:rPr>
                <w:color w:val="000000"/>
                <w:sz w:val="20"/>
                <w:lang w:val="sv-SE"/>
              </w:rPr>
            </w:pPr>
            <w:r w:rsidRPr="00800D1B">
              <w:rPr>
                <w:color w:val="000000"/>
                <w:sz w:val="20"/>
                <w:lang w:val="sv-SE"/>
              </w:rPr>
              <w:t>Eruf</w:t>
            </w:r>
          </w:p>
        </w:tc>
        <w:tc>
          <w:tcPr>
            <w:tcW w:w="0" w:type="auto"/>
          </w:tcPr>
          <w:p w14:paraId="2D065734" w14:textId="77777777" w:rsidR="00A77B3E" w:rsidRPr="00800D1B" w:rsidRDefault="00623E14">
            <w:pPr>
              <w:spacing w:before="100"/>
              <w:rPr>
                <w:color w:val="000000"/>
                <w:sz w:val="20"/>
                <w:lang w:val="sv-SE"/>
              </w:rPr>
            </w:pPr>
            <w:r w:rsidRPr="00800D1B">
              <w:rPr>
                <w:color w:val="000000"/>
                <w:sz w:val="20"/>
                <w:lang w:val="sv-SE"/>
              </w:rPr>
              <w:t>Mer utvecklade regioner</w:t>
            </w:r>
          </w:p>
        </w:tc>
        <w:tc>
          <w:tcPr>
            <w:tcW w:w="0" w:type="auto"/>
          </w:tcPr>
          <w:p w14:paraId="2D065735" w14:textId="77777777" w:rsidR="00A77B3E" w:rsidRPr="00800D1B" w:rsidRDefault="00623E14" w:rsidP="00315434">
            <w:pPr>
              <w:spacing w:before="100" w:after="60"/>
              <w:rPr>
                <w:color w:val="000000"/>
                <w:sz w:val="20"/>
                <w:lang w:val="sv-SE"/>
              </w:rPr>
            </w:pPr>
            <w:r w:rsidRPr="00800D1B">
              <w:rPr>
                <w:color w:val="000000"/>
                <w:sz w:val="20"/>
                <w:lang w:val="sv-SE"/>
              </w:rPr>
              <w:t>026. Stöd till innovationskluster, även mellan företag, forskningsorganisationer och myndigheter, och företagsnätverk som i första hand gynnar små och medelstora företag</w:t>
            </w:r>
          </w:p>
        </w:tc>
        <w:tc>
          <w:tcPr>
            <w:tcW w:w="0" w:type="auto"/>
          </w:tcPr>
          <w:p w14:paraId="2D065736" w14:textId="77777777" w:rsidR="00A77B3E" w:rsidRPr="00800D1B" w:rsidRDefault="00623E14">
            <w:pPr>
              <w:spacing w:before="100"/>
              <w:jc w:val="right"/>
              <w:rPr>
                <w:color w:val="000000"/>
                <w:sz w:val="20"/>
                <w:lang w:val="sv-SE"/>
              </w:rPr>
            </w:pPr>
            <w:r w:rsidRPr="00800D1B">
              <w:rPr>
                <w:color w:val="000000"/>
                <w:sz w:val="20"/>
                <w:lang w:val="sv-SE"/>
              </w:rPr>
              <w:t>6 948 661,00</w:t>
            </w:r>
          </w:p>
        </w:tc>
      </w:tr>
      <w:tr w:rsidR="003422DB" w:rsidRPr="00800D1B" w14:paraId="2D06573E" w14:textId="77777777" w:rsidTr="00315434">
        <w:tc>
          <w:tcPr>
            <w:tcW w:w="0" w:type="auto"/>
          </w:tcPr>
          <w:p w14:paraId="2D065738" w14:textId="77777777" w:rsidR="00A77B3E" w:rsidRPr="00800D1B" w:rsidRDefault="00623E14">
            <w:pPr>
              <w:spacing w:before="100"/>
              <w:rPr>
                <w:color w:val="000000"/>
                <w:sz w:val="20"/>
                <w:lang w:val="sv-SE"/>
              </w:rPr>
            </w:pPr>
            <w:r w:rsidRPr="00800D1B">
              <w:rPr>
                <w:color w:val="000000"/>
                <w:sz w:val="20"/>
                <w:lang w:val="sv-SE"/>
              </w:rPr>
              <w:t>1</w:t>
            </w:r>
          </w:p>
        </w:tc>
        <w:tc>
          <w:tcPr>
            <w:tcW w:w="0" w:type="auto"/>
          </w:tcPr>
          <w:p w14:paraId="2D065739" w14:textId="77777777" w:rsidR="00A77B3E" w:rsidRPr="00800D1B" w:rsidRDefault="00623E14">
            <w:pPr>
              <w:spacing w:before="100"/>
              <w:rPr>
                <w:color w:val="000000"/>
                <w:sz w:val="20"/>
                <w:lang w:val="sv-SE"/>
              </w:rPr>
            </w:pPr>
            <w:r w:rsidRPr="00800D1B">
              <w:rPr>
                <w:color w:val="000000"/>
                <w:sz w:val="20"/>
                <w:lang w:val="sv-SE"/>
              </w:rPr>
              <w:t>RSO1.1</w:t>
            </w:r>
          </w:p>
        </w:tc>
        <w:tc>
          <w:tcPr>
            <w:tcW w:w="0" w:type="auto"/>
          </w:tcPr>
          <w:p w14:paraId="2D06573A" w14:textId="77777777" w:rsidR="00A77B3E" w:rsidRPr="00800D1B" w:rsidRDefault="00623E14">
            <w:pPr>
              <w:spacing w:before="100"/>
              <w:rPr>
                <w:color w:val="000000"/>
                <w:sz w:val="20"/>
                <w:lang w:val="sv-SE"/>
              </w:rPr>
            </w:pPr>
            <w:r w:rsidRPr="00800D1B">
              <w:rPr>
                <w:color w:val="000000"/>
                <w:sz w:val="20"/>
                <w:lang w:val="sv-SE"/>
              </w:rPr>
              <w:t>Eruf</w:t>
            </w:r>
          </w:p>
        </w:tc>
        <w:tc>
          <w:tcPr>
            <w:tcW w:w="0" w:type="auto"/>
          </w:tcPr>
          <w:p w14:paraId="2D06573B" w14:textId="77777777" w:rsidR="00A77B3E" w:rsidRPr="00800D1B" w:rsidRDefault="00623E14">
            <w:pPr>
              <w:spacing w:before="100"/>
              <w:rPr>
                <w:color w:val="000000"/>
                <w:sz w:val="20"/>
                <w:lang w:val="sv-SE"/>
              </w:rPr>
            </w:pPr>
            <w:r w:rsidRPr="00800D1B">
              <w:rPr>
                <w:color w:val="000000"/>
                <w:sz w:val="20"/>
                <w:lang w:val="sv-SE"/>
              </w:rPr>
              <w:t>Mer utvecklade regioner</w:t>
            </w:r>
          </w:p>
        </w:tc>
        <w:tc>
          <w:tcPr>
            <w:tcW w:w="0" w:type="auto"/>
          </w:tcPr>
          <w:p w14:paraId="2D06573C" w14:textId="77777777" w:rsidR="00A77B3E" w:rsidRPr="00800D1B" w:rsidRDefault="00623E14" w:rsidP="00315434">
            <w:pPr>
              <w:spacing w:before="100" w:after="60"/>
              <w:rPr>
                <w:color w:val="000000"/>
                <w:sz w:val="20"/>
                <w:lang w:val="sv-SE"/>
              </w:rPr>
            </w:pPr>
            <w:r w:rsidRPr="00800D1B">
              <w:rPr>
                <w:color w:val="000000"/>
                <w:sz w:val="20"/>
                <w:lang w:val="sv-SE"/>
              </w:rPr>
              <w:t>029. Forsknings- och innovationsprocesser, tekniköverföring och samarbete mellan företag, forskningscentrum och universitet med inriktning på en koldioxidsnål ekonomi, klimatresiliens och klimatanpassning</w:t>
            </w:r>
          </w:p>
        </w:tc>
        <w:tc>
          <w:tcPr>
            <w:tcW w:w="0" w:type="auto"/>
          </w:tcPr>
          <w:p w14:paraId="2D06573D" w14:textId="77777777" w:rsidR="00A77B3E" w:rsidRPr="00800D1B" w:rsidRDefault="00623E14">
            <w:pPr>
              <w:spacing w:before="100"/>
              <w:jc w:val="right"/>
              <w:rPr>
                <w:color w:val="000000"/>
                <w:sz w:val="20"/>
                <w:lang w:val="sv-SE"/>
              </w:rPr>
            </w:pPr>
            <w:r w:rsidRPr="00800D1B">
              <w:rPr>
                <w:color w:val="000000"/>
                <w:sz w:val="20"/>
                <w:lang w:val="sv-SE"/>
              </w:rPr>
              <w:t>6 948 661,00</w:t>
            </w:r>
          </w:p>
        </w:tc>
      </w:tr>
      <w:tr w:rsidR="003422DB" w:rsidRPr="00800D1B" w14:paraId="2D065745" w14:textId="77777777" w:rsidTr="00315434">
        <w:tc>
          <w:tcPr>
            <w:tcW w:w="0" w:type="auto"/>
          </w:tcPr>
          <w:p w14:paraId="2D06573F" w14:textId="77777777" w:rsidR="00A77B3E" w:rsidRPr="00800D1B" w:rsidRDefault="00623E14">
            <w:pPr>
              <w:spacing w:before="100"/>
              <w:rPr>
                <w:color w:val="000000"/>
                <w:sz w:val="20"/>
                <w:lang w:val="sv-SE"/>
              </w:rPr>
            </w:pPr>
            <w:r w:rsidRPr="00800D1B">
              <w:rPr>
                <w:color w:val="000000"/>
                <w:sz w:val="20"/>
                <w:lang w:val="sv-SE"/>
              </w:rPr>
              <w:t>1</w:t>
            </w:r>
          </w:p>
        </w:tc>
        <w:tc>
          <w:tcPr>
            <w:tcW w:w="0" w:type="auto"/>
          </w:tcPr>
          <w:p w14:paraId="2D065740" w14:textId="77777777" w:rsidR="00A77B3E" w:rsidRPr="00800D1B" w:rsidRDefault="00623E14">
            <w:pPr>
              <w:spacing w:before="100"/>
              <w:rPr>
                <w:color w:val="000000"/>
                <w:sz w:val="20"/>
                <w:lang w:val="sv-SE"/>
              </w:rPr>
            </w:pPr>
            <w:r w:rsidRPr="00800D1B">
              <w:rPr>
                <w:color w:val="000000"/>
                <w:sz w:val="20"/>
                <w:lang w:val="sv-SE"/>
              </w:rPr>
              <w:t>RSO1.1</w:t>
            </w:r>
          </w:p>
        </w:tc>
        <w:tc>
          <w:tcPr>
            <w:tcW w:w="0" w:type="auto"/>
          </w:tcPr>
          <w:p w14:paraId="2D065741" w14:textId="77777777" w:rsidR="00A77B3E" w:rsidRPr="00800D1B" w:rsidRDefault="00623E14">
            <w:pPr>
              <w:spacing w:before="100"/>
              <w:rPr>
                <w:color w:val="000000"/>
                <w:sz w:val="20"/>
                <w:lang w:val="sv-SE"/>
              </w:rPr>
            </w:pPr>
            <w:r w:rsidRPr="00800D1B">
              <w:rPr>
                <w:color w:val="000000"/>
                <w:sz w:val="20"/>
                <w:lang w:val="sv-SE"/>
              </w:rPr>
              <w:t>Eruf</w:t>
            </w:r>
          </w:p>
        </w:tc>
        <w:tc>
          <w:tcPr>
            <w:tcW w:w="0" w:type="auto"/>
          </w:tcPr>
          <w:p w14:paraId="2D065742" w14:textId="77777777" w:rsidR="00A77B3E" w:rsidRPr="00800D1B" w:rsidRDefault="00623E14" w:rsidP="00315434">
            <w:pPr>
              <w:spacing w:before="100" w:after="60"/>
              <w:rPr>
                <w:color w:val="000000"/>
                <w:sz w:val="20"/>
                <w:lang w:val="sv-SE"/>
              </w:rPr>
            </w:pPr>
            <w:r w:rsidRPr="00800D1B">
              <w:rPr>
                <w:color w:val="000000"/>
                <w:sz w:val="20"/>
                <w:lang w:val="sv-SE"/>
              </w:rPr>
              <w:t>De yttersta randområdena eller de nordliga glesbefolkade områdena</w:t>
            </w:r>
          </w:p>
        </w:tc>
        <w:tc>
          <w:tcPr>
            <w:tcW w:w="0" w:type="auto"/>
          </w:tcPr>
          <w:p w14:paraId="2D065743" w14:textId="77777777" w:rsidR="00A77B3E" w:rsidRPr="00800D1B" w:rsidRDefault="00623E14">
            <w:pPr>
              <w:spacing w:before="100"/>
              <w:rPr>
                <w:color w:val="000000"/>
                <w:sz w:val="20"/>
                <w:lang w:val="sv-SE"/>
              </w:rPr>
            </w:pPr>
            <w:r w:rsidRPr="00800D1B">
              <w:rPr>
                <w:color w:val="000000"/>
                <w:sz w:val="20"/>
                <w:lang w:val="sv-SE"/>
              </w:rPr>
              <w:t>004. Investeringar i fasta tillgångar, inbegripet forskningsinfrastruktur, i offentliga forskningscentrum och högre utbildning, direkt kopplade till forskning och innovation</w:t>
            </w:r>
          </w:p>
        </w:tc>
        <w:tc>
          <w:tcPr>
            <w:tcW w:w="0" w:type="auto"/>
          </w:tcPr>
          <w:p w14:paraId="2D065744" w14:textId="77777777" w:rsidR="00A77B3E" w:rsidRPr="00800D1B" w:rsidRDefault="00623E14">
            <w:pPr>
              <w:spacing w:before="100"/>
              <w:jc w:val="right"/>
              <w:rPr>
                <w:color w:val="000000"/>
                <w:sz w:val="20"/>
                <w:lang w:val="sv-SE"/>
              </w:rPr>
            </w:pPr>
            <w:r w:rsidRPr="00800D1B">
              <w:rPr>
                <w:color w:val="000000"/>
                <w:sz w:val="20"/>
                <w:lang w:val="sv-SE"/>
              </w:rPr>
              <w:t>1 336 394,00</w:t>
            </w:r>
          </w:p>
        </w:tc>
      </w:tr>
      <w:tr w:rsidR="003422DB" w:rsidRPr="00800D1B" w14:paraId="2D06574C" w14:textId="77777777" w:rsidTr="00315434">
        <w:tc>
          <w:tcPr>
            <w:tcW w:w="0" w:type="auto"/>
          </w:tcPr>
          <w:p w14:paraId="2D065746" w14:textId="77777777" w:rsidR="00A77B3E" w:rsidRPr="00800D1B" w:rsidRDefault="00623E14">
            <w:pPr>
              <w:spacing w:before="100"/>
              <w:rPr>
                <w:color w:val="000000"/>
                <w:sz w:val="20"/>
                <w:lang w:val="sv-SE"/>
              </w:rPr>
            </w:pPr>
            <w:r w:rsidRPr="00800D1B">
              <w:rPr>
                <w:color w:val="000000"/>
                <w:sz w:val="20"/>
                <w:lang w:val="sv-SE"/>
              </w:rPr>
              <w:t>1</w:t>
            </w:r>
          </w:p>
        </w:tc>
        <w:tc>
          <w:tcPr>
            <w:tcW w:w="0" w:type="auto"/>
          </w:tcPr>
          <w:p w14:paraId="2D065747" w14:textId="77777777" w:rsidR="00A77B3E" w:rsidRPr="00800D1B" w:rsidRDefault="00623E14">
            <w:pPr>
              <w:spacing w:before="100"/>
              <w:rPr>
                <w:color w:val="000000"/>
                <w:sz w:val="20"/>
                <w:lang w:val="sv-SE"/>
              </w:rPr>
            </w:pPr>
            <w:r w:rsidRPr="00800D1B">
              <w:rPr>
                <w:color w:val="000000"/>
                <w:sz w:val="20"/>
                <w:lang w:val="sv-SE"/>
              </w:rPr>
              <w:t>RSO1.1</w:t>
            </w:r>
          </w:p>
        </w:tc>
        <w:tc>
          <w:tcPr>
            <w:tcW w:w="0" w:type="auto"/>
          </w:tcPr>
          <w:p w14:paraId="2D065748" w14:textId="77777777" w:rsidR="00A77B3E" w:rsidRPr="00800D1B" w:rsidRDefault="00623E14">
            <w:pPr>
              <w:spacing w:before="100"/>
              <w:rPr>
                <w:color w:val="000000"/>
                <w:sz w:val="20"/>
                <w:lang w:val="sv-SE"/>
              </w:rPr>
            </w:pPr>
            <w:r w:rsidRPr="00800D1B">
              <w:rPr>
                <w:color w:val="000000"/>
                <w:sz w:val="20"/>
                <w:lang w:val="sv-SE"/>
              </w:rPr>
              <w:t>Eruf</w:t>
            </w:r>
          </w:p>
        </w:tc>
        <w:tc>
          <w:tcPr>
            <w:tcW w:w="0" w:type="auto"/>
          </w:tcPr>
          <w:p w14:paraId="2D065749" w14:textId="77777777" w:rsidR="00A77B3E" w:rsidRPr="00800D1B" w:rsidRDefault="00623E14" w:rsidP="00315434">
            <w:pPr>
              <w:spacing w:before="100" w:after="60"/>
              <w:rPr>
                <w:color w:val="000000"/>
                <w:sz w:val="20"/>
                <w:lang w:val="sv-SE"/>
              </w:rPr>
            </w:pPr>
            <w:r w:rsidRPr="00800D1B">
              <w:rPr>
                <w:color w:val="000000"/>
                <w:sz w:val="20"/>
                <w:lang w:val="sv-SE"/>
              </w:rPr>
              <w:t>De yttersta randområdena eller de nordliga glesbefolkade områdena</w:t>
            </w:r>
          </w:p>
        </w:tc>
        <w:tc>
          <w:tcPr>
            <w:tcW w:w="0" w:type="auto"/>
          </w:tcPr>
          <w:p w14:paraId="2D06574A" w14:textId="77777777" w:rsidR="00A77B3E" w:rsidRPr="00800D1B" w:rsidRDefault="00623E14">
            <w:pPr>
              <w:spacing w:before="100"/>
              <w:rPr>
                <w:color w:val="000000"/>
                <w:sz w:val="20"/>
                <w:lang w:val="sv-SE"/>
              </w:rPr>
            </w:pPr>
            <w:r w:rsidRPr="00800D1B">
              <w:rPr>
                <w:color w:val="000000"/>
                <w:sz w:val="20"/>
                <w:lang w:val="sv-SE"/>
              </w:rPr>
              <w:t>010. Forskning och innovation i små och medelstora företag, inbegripet nätverkande</w:t>
            </w:r>
          </w:p>
        </w:tc>
        <w:tc>
          <w:tcPr>
            <w:tcW w:w="0" w:type="auto"/>
          </w:tcPr>
          <w:p w14:paraId="2D06574B" w14:textId="77777777" w:rsidR="00A77B3E" w:rsidRPr="00800D1B" w:rsidRDefault="00623E14">
            <w:pPr>
              <w:spacing w:before="100"/>
              <w:jc w:val="right"/>
              <w:rPr>
                <w:color w:val="000000"/>
                <w:sz w:val="20"/>
                <w:lang w:val="sv-SE"/>
              </w:rPr>
            </w:pPr>
            <w:r w:rsidRPr="00800D1B">
              <w:rPr>
                <w:color w:val="000000"/>
                <w:sz w:val="20"/>
                <w:lang w:val="sv-SE"/>
              </w:rPr>
              <w:t>1 336 395,00</w:t>
            </w:r>
          </w:p>
        </w:tc>
      </w:tr>
      <w:tr w:rsidR="003422DB" w:rsidRPr="00800D1B" w14:paraId="2D065753" w14:textId="77777777" w:rsidTr="00315434">
        <w:tc>
          <w:tcPr>
            <w:tcW w:w="0" w:type="auto"/>
          </w:tcPr>
          <w:p w14:paraId="2D06574D" w14:textId="77777777" w:rsidR="00A77B3E" w:rsidRPr="00800D1B" w:rsidRDefault="00623E14">
            <w:pPr>
              <w:spacing w:before="100"/>
              <w:rPr>
                <w:color w:val="000000"/>
                <w:sz w:val="20"/>
                <w:lang w:val="sv-SE"/>
              </w:rPr>
            </w:pPr>
            <w:r w:rsidRPr="00800D1B">
              <w:rPr>
                <w:color w:val="000000"/>
                <w:sz w:val="20"/>
                <w:lang w:val="sv-SE"/>
              </w:rPr>
              <w:t>1</w:t>
            </w:r>
          </w:p>
        </w:tc>
        <w:tc>
          <w:tcPr>
            <w:tcW w:w="0" w:type="auto"/>
          </w:tcPr>
          <w:p w14:paraId="2D06574E" w14:textId="77777777" w:rsidR="00A77B3E" w:rsidRPr="00800D1B" w:rsidRDefault="00623E14">
            <w:pPr>
              <w:spacing w:before="100"/>
              <w:rPr>
                <w:color w:val="000000"/>
                <w:sz w:val="20"/>
                <w:lang w:val="sv-SE"/>
              </w:rPr>
            </w:pPr>
            <w:r w:rsidRPr="00800D1B">
              <w:rPr>
                <w:color w:val="000000"/>
                <w:sz w:val="20"/>
                <w:lang w:val="sv-SE"/>
              </w:rPr>
              <w:t>RSO1.1</w:t>
            </w:r>
          </w:p>
        </w:tc>
        <w:tc>
          <w:tcPr>
            <w:tcW w:w="0" w:type="auto"/>
          </w:tcPr>
          <w:p w14:paraId="2D06574F" w14:textId="77777777" w:rsidR="00A77B3E" w:rsidRPr="00800D1B" w:rsidRDefault="00623E14">
            <w:pPr>
              <w:spacing w:before="100"/>
              <w:rPr>
                <w:color w:val="000000"/>
                <w:sz w:val="20"/>
                <w:lang w:val="sv-SE"/>
              </w:rPr>
            </w:pPr>
            <w:r w:rsidRPr="00800D1B">
              <w:rPr>
                <w:color w:val="000000"/>
                <w:sz w:val="20"/>
                <w:lang w:val="sv-SE"/>
              </w:rPr>
              <w:t>Eruf</w:t>
            </w:r>
          </w:p>
        </w:tc>
        <w:tc>
          <w:tcPr>
            <w:tcW w:w="0" w:type="auto"/>
          </w:tcPr>
          <w:p w14:paraId="2D065750" w14:textId="77777777" w:rsidR="00A77B3E" w:rsidRPr="00800D1B" w:rsidRDefault="00623E14" w:rsidP="00315434">
            <w:pPr>
              <w:spacing w:before="100" w:after="60"/>
              <w:rPr>
                <w:color w:val="000000"/>
                <w:sz w:val="20"/>
                <w:lang w:val="sv-SE"/>
              </w:rPr>
            </w:pPr>
            <w:r w:rsidRPr="00800D1B">
              <w:rPr>
                <w:color w:val="000000"/>
                <w:sz w:val="20"/>
                <w:lang w:val="sv-SE"/>
              </w:rPr>
              <w:t>De yttersta randområdena eller de nordliga glesbefolkade områdena</w:t>
            </w:r>
          </w:p>
        </w:tc>
        <w:tc>
          <w:tcPr>
            <w:tcW w:w="0" w:type="auto"/>
          </w:tcPr>
          <w:p w14:paraId="2D065751" w14:textId="77777777" w:rsidR="00A77B3E" w:rsidRPr="00800D1B" w:rsidRDefault="00623E14">
            <w:pPr>
              <w:spacing w:before="100"/>
              <w:rPr>
                <w:color w:val="000000"/>
                <w:sz w:val="20"/>
                <w:lang w:val="sv-SE"/>
              </w:rPr>
            </w:pPr>
            <w:r w:rsidRPr="00800D1B">
              <w:rPr>
                <w:color w:val="000000"/>
                <w:sz w:val="20"/>
                <w:lang w:val="sv-SE"/>
              </w:rPr>
              <w:t>026. Stöd till innovationskluster, även mellan företag, forskningsorganisationer och myndigheter, och företagsnätverk som i första hand gynnar små och medelstora företag</w:t>
            </w:r>
          </w:p>
        </w:tc>
        <w:tc>
          <w:tcPr>
            <w:tcW w:w="0" w:type="auto"/>
          </w:tcPr>
          <w:p w14:paraId="2D065752" w14:textId="77777777" w:rsidR="00A77B3E" w:rsidRPr="00800D1B" w:rsidRDefault="00623E14">
            <w:pPr>
              <w:spacing w:before="100"/>
              <w:jc w:val="right"/>
              <w:rPr>
                <w:color w:val="000000"/>
                <w:sz w:val="20"/>
                <w:lang w:val="sv-SE"/>
              </w:rPr>
            </w:pPr>
            <w:r w:rsidRPr="00800D1B">
              <w:rPr>
                <w:color w:val="000000"/>
                <w:sz w:val="20"/>
                <w:lang w:val="sv-SE"/>
              </w:rPr>
              <w:t>1 336 395,00</w:t>
            </w:r>
          </w:p>
        </w:tc>
      </w:tr>
      <w:tr w:rsidR="003422DB" w:rsidRPr="00800D1B" w14:paraId="2D06575A" w14:textId="77777777" w:rsidTr="00315434">
        <w:tc>
          <w:tcPr>
            <w:tcW w:w="0" w:type="auto"/>
          </w:tcPr>
          <w:p w14:paraId="2D065754" w14:textId="77777777" w:rsidR="00A77B3E" w:rsidRPr="00800D1B" w:rsidRDefault="00623E14">
            <w:pPr>
              <w:spacing w:before="100"/>
              <w:rPr>
                <w:color w:val="000000"/>
                <w:sz w:val="20"/>
                <w:lang w:val="sv-SE"/>
              </w:rPr>
            </w:pPr>
            <w:r w:rsidRPr="00800D1B">
              <w:rPr>
                <w:color w:val="000000"/>
                <w:sz w:val="20"/>
                <w:lang w:val="sv-SE"/>
              </w:rPr>
              <w:t>1</w:t>
            </w:r>
          </w:p>
        </w:tc>
        <w:tc>
          <w:tcPr>
            <w:tcW w:w="0" w:type="auto"/>
          </w:tcPr>
          <w:p w14:paraId="2D065755" w14:textId="77777777" w:rsidR="00A77B3E" w:rsidRPr="00800D1B" w:rsidRDefault="00623E14">
            <w:pPr>
              <w:spacing w:before="100"/>
              <w:rPr>
                <w:color w:val="000000"/>
                <w:sz w:val="20"/>
                <w:lang w:val="sv-SE"/>
              </w:rPr>
            </w:pPr>
            <w:r w:rsidRPr="00800D1B">
              <w:rPr>
                <w:color w:val="000000"/>
                <w:sz w:val="20"/>
                <w:lang w:val="sv-SE"/>
              </w:rPr>
              <w:t>RSO1.1</w:t>
            </w:r>
          </w:p>
        </w:tc>
        <w:tc>
          <w:tcPr>
            <w:tcW w:w="0" w:type="auto"/>
          </w:tcPr>
          <w:p w14:paraId="2D065756" w14:textId="77777777" w:rsidR="00A77B3E" w:rsidRPr="00800D1B" w:rsidRDefault="00623E14">
            <w:pPr>
              <w:spacing w:before="100"/>
              <w:rPr>
                <w:color w:val="000000"/>
                <w:sz w:val="20"/>
                <w:lang w:val="sv-SE"/>
              </w:rPr>
            </w:pPr>
            <w:r w:rsidRPr="00800D1B">
              <w:rPr>
                <w:color w:val="000000"/>
                <w:sz w:val="20"/>
                <w:lang w:val="sv-SE"/>
              </w:rPr>
              <w:t>Eruf</w:t>
            </w:r>
          </w:p>
        </w:tc>
        <w:tc>
          <w:tcPr>
            <w:tcW w:w="0" w:type="auto"/>
          </w:tcPr>
          <w:p w14:paraId="2D065757" w14:textId="77777777" w:rsidR="00A77B3E" w:rsidRPr="00800D1B" w:rsidRDefault="00623E14">
            <w:pPr>
              <w:spacing w:before="100"/>
              <w:rPr>
                <w:color w:val="000000"/>
                <w:sz w:val="20"/>
                <w:lang w:val="sv-SE"/>
              </w:rPr>
            </w:pPr>
            <w:r w:rsidRPr="00800D1B">
              <w:rPr>
                <w:color w:val="000000"/>
                <w:sz w:val="20"/>
                <w:lang w:val="sv-SE"/>
              </w:rPr>
              <w:t>De yttersta randområdena eller de nordliga glesbefolkade områdena</w:t>
            </w:r>
          </w:p>
        </w:tc>
        <w:tc>
          <w:tcPr>
            <w:tcW w:w="0" w:type="auto"/>
          </w:tcPr>
          <w:p w14:paraId="2D065758" w14:textId="77777777" w:rsidR="00A77B3E" w:rsidRPr="00800D1B" w:rsidRDefault="00623E14">
            <w:pPr>
              <w:spacing w:before="100"/>
              <w:rPr>
                <w:color w:val="000000"/>
                <w:sz w:val="20"/>
                <w:lang w:val="sv-SE"/>
              </w:rPr>
            </w:pPr>
            <w:r w:rsidRPr="00800D1B">
              <w:rPr>
                <w:color w:val="000000"/>
                <w:sz w:val="20"/>
                <w:lang w:val="sv-SE"/>
              </w:rPr>
              <w:t>029. Forsknings- och innovationsprocesser, tekniköverföring och samarbete mellan företag, forskningscentrum och universitet med inriktning på en koldioxidsnål ekonomi, klimatresiliens och klimatanpassning</w:t>
            </w:r>
          </w:p>
        </w:tc>
        <w:tc>
          <w:tcPr>
            <w:tcW w:w="0" w:type="auto"/>
          </w:tcPr>
          <w:p w14:paraId="2D065759" w14:textId="77777777" w:rsidR="00A77B3E" w:rsidRPr="00800D1B" w:rsidRDefault="00623E14">
            <w:pPr>
              <w:spacing w:before="100"/>
              <w:jc w:val="right"/>
              <w:rPr>
                <w:color w:val="000000"/>
                <w:sz w:val="20"/>
                <w:lang w:val="sv-SE"/>
              </w:rPr>
            </w:pPr>
            <w:r w:rsidRPr="00800D1B">
              <w:rPr>
                <w:color w:val="000000"/>
                <w:sz w:val="20"/>
                <w:lang w:val="sv-SE"/>
              </w:rPr>
              <w:t>1 336 395,00</w:t>
            </w:r>
          </w:p>
        </w:tc>
      </w:tr>
      <w:tr w:rsidR="003422DB" w:rsidRPr="00800D1B" w14:paraId="2D065761" w14:textId="77777777" w:rsidTr="00315434">
        <w:tc>
          <w:tcPr>
            <w:tcW w:w="0" w:type="auto"/>
          </w:tcPr>
          <w:p w14:paraId="2D06575B" w14:textId="77777777" w:rsidR="00A77B3E" w:rsidRPr="00800D1B" w:rsidRDefault="00623E14">
            <w:pPr>
              <w:spacing w:before="100"/>
              <w:rPr>
                <w:color w:val="000000"/>
                <w:sz w:val="20"/>
                <w:lang w:val="sv-SE"/>
              </w:rPr>
            </w:pPr>
            <w:r w:rsidRPr="00800D1B">
              <w:rPr>
                <w:color w:val="000000"/>
                <w:sz w:val="20"/>
                <w:lang w:val="sv-SE"/>
              </w:rPr>
              <w:t>1</w:t>
            </w:r>
          </w:p>
        </w:tc>
        <w:tc>
          <w:tcPr>
            <w:tcW w:w="0" w:type="auto"/>
          </w:tcPr>
          <w:p w14:paraId="2D06575C" w14:textId="77777777" w:rsidR="00A77B3E" w:rsidRPr="00800D1B" w:rsidRDefault="00623E14">
            <w:pPr>
              <w:spacing w:before="100"/>
              <w:rPr>
                <w:color w:val="000000"/>
                <w:sz w:val="20"/>
                <w:lang w:val="sv-SE"/>
              </w:rPr>
            </w:pPr>
            <w:r w:rsidRPr="00800D1B">
              <w:rPr>
                <w:color w:val="000000"/>
                <w:sz w:val="20"/>
                <w:lang w:val="sv-SE"/>
              </w:rPr>
              <w:t>RSO1.1</w:t>
            </w:r>
          </w:p>
        </w:tc>
        <w:tc>
          <w:tcPr>
            <w:tcW w:w="0" w:type="auto"/>
          </w:tcPr>
          <w:p w14:paraId="2D06575D" w14:textId="77777777" w:rsidR="00A77B3E" w:rsidRPr="00800D1B" w:rsidRDefault="00623E14">
            <w:pPr>
              <w:spacing w:before="100"/>
              <w:rPr>
                <w:color w:val="000000"/>
                <w:sz w:val="20"/>
                <w:lang w:val="sv-SE"/>
              </w:rPr>
            </w:pPr>
            <w:r w:rsidRPr="00800D1B">
              <w:rPr>
                <w:color w:val="000000"/>
                <w:sz w:val="20"/>
                <w:lang w:val="sv-SE"/>
              </w:rPr>
              <w:t>Totalt</w:t>
            </w:r>
          </w:p>
        </w:tc>
        <w:tc>
          <w:tcPr>
            <w:tcW w:w="0" w:type="auto"/>
          </w:tcPr>
          <w:p w14:paraId="2D06575E" w14:textId="77777777" w:rsidR="00A77B3E" w:rsidRPr="00800D1B" w:rsidRDefault="00A77B3E">
            <w:pPr>
              <w:spacing w:before="100"/>
              <w:rPr>
                <w:color w:val="000000"/>
                <w:sz w:val="20"/>
                <w:lang w:val="sv-SE"/>
              </w:rPr>
            </w:pPr>
          </w:p>
        </w:tc>
        <w:tc>
          <w:tcPr>
            <w:tcW w:w="0" w:type="auto"/>
          </w:tcPr>
          <w:p w14:paraId="2D06575F" w14:textId="77777777" w:rsidR="00A77B3E" w:rsidRPr="00800D1B" w:rsidRDefault="00A77B3E">
            <w:pPr>
              <w:spacing w:before="100"/>
              <w:rPr>
                <w:color w:val="000000"/>
                <w:sz w:val="20"/>
                <w:lang w:val="sv-SE"/>
              </w:rPr>
            </w:pPr>
          </w:p>
        </w:tc>
        <w:tc>
          <w:tcPr>
            <w:tcW w:w="0" w:type="auto"/>
          </w:tcPr>
          <w:p w14:paraId="2D065760" w14:textId="77777777" w:rsidR="00A77B3E" w:rsidRPr="00800D1B" w:rsidRDefault="00623E14">
            <w:pPr>
              <w:spacing w:before="100"/>
              <w:jc w:val="right"/>
              <w:rPr>
                <w:color w:val="000000"/>
                <w:sz w:val="20"/>
                <w:lang w:val="sv-SE"/>
              </w:rPr>
            </w:pPr>
            <w:r w:rsidRPr="00800D1B">
              <w:rPr>
                <w:color w:val="000000"/>
                <w:sz w:val="20"/>
                <w:lang w:val="sv-SE"/>
              </w:rPr>
              <w:t>33 140 223,00</w:t>
            </w:r>
          </w:p>
        </w:tc>
      </w:tr>
    </w:tbl>
    <w:p w14:paraId="2D065763" w14:textId="7320B3FD" w:rsidR="00A77B3E" w:rsidRPr="00800D1B" w:rsidRDefault="00623E14" w:rsidP="00552F60">
      <w:pPr>
        <w:spacing w:before="360"/>
        <w:rPr>
          <w:lang w:val="sv-SE"/>
        </w:rPr>
      </w:pPr>
      <w:bookmarkStart w:id="18" w:name="_Toc256000259"/>
      <w:r w:rsidRPr="00800D1B">
        <w:rPr>
          <w:lang w:val="sv-SE"/>
        </w:rPr>
        <w:t>Tabell 5: Dimension 2 – finansieringsform</w:t>
      </w:r>
      <w:bookmarkEnd w:id="18"/>
    </w:p>
    <w:p w14:paraId="2D065764" w14:textId="77777777" w:rsidR="00A77B3E" w:rsidRPr="00800D1B" w:rsidRDefault="00A77B3E">
      <w:pPr>
        <w:spacing w:before="100"/>
        <w:rPr>
          <w:color w:val="000000"/>
          <w:sz w:val="0"/>
          <w:lang w:val="sv-SE"/>
        </w:rPr>
      </w:pPr>
    </w:p>
    <w:tbl>
      <w:tblPr>
        <w:tblStyle w:val="Tabellrutnt"/>
        <w:tblW w:w="5000" w:type="pct"/>
        <w:tblLook w:val="04A0" w:firstRow="1" w:lastRow="0" w:firstColumn="1" w:lastColumn="0" w:noHBand="0" w:noVBand="1"/>
        <w:tblDescription w:val="En tabell med sex kolumner: Prioritering; Specifikt mål; Fond; Regionkategori; Kod; Belopp (euro). Tabellen visar information om finansieringsform."/>
      </w:tblPr>
      <w:tblGrid>
        <w:gridCol w:w="1540"/>
        <w:gridCol w:w="1741"/>
        <w:gridCol w:w="938"/>
        <w:gridCol w:w="7627"/>
        <w:gridCol w:w="1479"/>
        <w:gridCol w:w="1847"/>
      </w:tblGrid>
      <w:tr w:rsidR="003422DB" w:rsidRPr="00800D1B" w14:paraId="2D06576B" w14:textId="77777777" w:rsidTr="00315434">
        <w:tc>
          <w:tcPr>
            <w:tcW w:w="0" w:type="auto"/>
          </w:tcPr>
          <w:p w14:paraId="2D065765" w14:textId="77777777" w:rsidR="00A77B3E" w:rsidRPr="00800D1B" w:rsidRDefault="00623E14" w:rsidP="00315434">
            <w:pPr>
              <w:spacing w:before="100" w:after="100"/>
              <w:jc w:val="center"/>
              <w:rPr>
                <w:color w:val="000000"/>
                <w:sz w:val="20"/>
                <w:lang w:val="sv-SE"/>
              </w:rPr>
            </w:pPr>
            <w:r w:rsidRPr="00800D1B">
              <w:rPr>
                <w:color w:val="000000"/>
                <w:sz w:val="20"/>
                <w:lang w:val="sv-SE"/>
              </w:rPr>
              <w:t>Prioritering</w:t>
            </w:r>
          </w:p>
        </w:tc>
        <w:tc>
          <w:tcPr>
            <w:tcW w:w="0" w:type="auto"/>
          </w:tcPr>
          <w:p w14:paraId="2D065766" w14:textId="77777777" w:rsidR="00A77B3E" w:rsidRPr="00800D1B" w:rsidRDefault="00623E14" w:rsidP="00315434">
            <w:pPr>
              <w:spacing w:before="100" w:after="100"/>
              <w:jc w:val="center"/>
              <w:rPr>
                <w:color w:val="000000"/>
                <w:sz w:val="20"/>
                <w:lang w:val="sv-SE"/>
              </w:rPr>
            </w:pPr>
            <w:r w:rsidRPr="00800D1B">
              <w:rPr>
                <w:color w:val="000000"/>
                <w:sz w:val="20"/>
                <w:lang w:val="sv-SE"/>
              </w:rPr>
              <w:t>Specifikt mål</w:t>
            </w:r>
          </w:p>
        </w:tc>
        <w:tc>
          <w:tcPr>
            <w:tcW w:w="0" w:type="auto"/>
          </w:tcPr>
          <w:p w14:paraId="2D065767" w14:textId="77777777" w:rsidR="00A77B3E" w:rsidRPr="00800D1B" w:rsidRDefault="00623E14" w:rsidP="00315434">
            <w:pPr>
              <w:spacing w:before="100" w:after="100"/>
              <w:jc w:val="center"/>
              <w:rPr>
                <w:color w:val="000000"/>
                <w:sz w:val="20"/>
                <w:lang w:val="sv-SE"/>
              </w:rPr>
            </w:pPr>
            <w:r w:rsidRPr="00800D1B">
              <w:rPr>
                <w:color w:val="000000"/>
                <w:sz w:val="20"/>
                <w:lang w:val="sv-SE"/>
              </w:rPr>
              <w:t>Fond</w:t>
            </w:r>
          </w:p>
        </w:tc>
        <w:tc>
          <w:tcPr>
            <w:tcW w:w="0" w:type="auto"/>
          </w:tcPr>
          <w:p w14:paraId="2D065768" w14:textId="77777777" w:rsidR="00A77B3E" w:rsidRPr="00800D1B" w:rsidRDefault="00623E14" w:rsidP="00315434">
            <w:pPr>
              <w:spacing w:before="100" w:after="100"/>
              <w:jc w:val="center"/>
              <w:rPr>
                <w:color w:val="000000"/>
                <w:sz w:val="20"/>
                <w:lang w:val="sv-SE"/>
              </w:rPr>
            </w:pPr>
            <w:r w:rsidRPr="00800D1B">
              <w:rPr>
                <w:color w:val="000000"/>
                <w:sz w:val="20"/>
                <w:lang w:val="sv-SE"/>
              </w:rPr>
              <w:t>Regionkategori</w:t>
            </w:r>
          </w:p>
        </w:tc>
        <w:tc>
          <w:tcPr>
            <w:tcW w:w="0" w:type="auto"/>
          </w:tcPr>
          <w:p w14:paraId="2D065769" w14:textId="77777777" w:rsidR="00A77B3E" w:rsidRPr="00800D1B" w:rsidRDefault="00623E14" w:rsidP="00315434">
            <w:pPr>
              <w:spacing w:before="100" w:after="100"/>
              <w:jc w:val="center"/>
              <w:rPr>
                <w:color w:val="000000"/>
                <w:sz w:val="20"/>
                <w:lang w:val="sv-SE"/>
              </w:rPr>
            </w:pPr>
            <w:r w:rsidRPr="00800D1B">
              <w:rPr>
                <w:color w:val="000000"/>
                <w:sz w:val="20"/>
                <w:lang w:val="sv-SE"/>
              </w:rPr>
              <w:t>Kod</w:t>
            </w:r>
          </w:p>
        </w:tc>
        <w:tc>
          <w:tcPr>
            <w:tcW w:w="0" w:type="auto"/>
          </w:tcPr>
          <w:p w14:paraId="2D06576A" w14:textId="77777777" w:rsidR="00A77B3E" w:rsidRPr="00800D1B" w:rsidRDefault="00623E14" w:rsidP="00315434">
            <w:pPr>
              <w:spacing w:before="100" w:after="100"/>
              <w:jc w:val="center"/>
              <w:rPr>
                <w:color w:val="000000"/>
                <w:sz w:val="20"/>
                <w:lang w:val="sv-SE"/>
              </w:rPr>
            </w:pPr>
            <w:r w:rsidRPr="00800D1B">
              <w:rPr>
                <w:color w:val="000000"/>
                <w:sz w:val="20"/>
                <w:lang w:val="sv-SE"/>
              </w:rPr>
              <w:t>Belopp (euro)</w:t>
            </w:r>
          </w:p>
        </w:tc>
      </w:tr>
      <w:tr w:rsidR="003422DB" w:rsidRPr="00800D1B" w14:paraId="2D065772" w14:textId="77777777" w:rsidTr="00315434">
        <w:tc>
          <w:tcPr>
            <w:tcW w:w="0" w:type="auto"/>
          </w:tcPr>
          <w:p w14:paraId="2D06576C" w14:textId="77777777" w:rsidR="00A77B3E" w:rsidRPr="00800D1B" w:rsidRDefault="00623E14" w:rsidP="00315434">
            <w:pPr>
              <w:spacing w:before="100" w:after="100"/>
              <w:rPr>
                <w:color w:val="000000"/>
                <w:sz w:val="20"/>
                <w:lang w:val="sv-SE"/>
              </w:rPr>
            </w:pPr>
            <w:r w:rsidRPr="00800D1B">
              <w:rPr>
                <w:color w:val="000000"/>
                <w:sz w:val="20"/>
                <w:lang w:val="sv-SE"/>
              </w:rPr>
              <w:t>1</w:t>
            </w:r>
          </w:p>
        </w:tc>
        <w:tc>
          <w:tcPr>
            <w:tcW w:w="0" w:type="auto"/>
          </w:tcPr>
          <w:p w14:paraId="2D06576D" w14:textId="77777777" w:rsidR="00A77B3E" w:rsidRPr="00800D1B" w:rsidRDefault="00623E14" w:rsidP="00315434">
            <w:pPr>
              <w:spacing w:before="100" w:after="100"/>
              <w:rPr>
                <w:color w:val="000000"/>
                <w:sz w:val="20"/>
                <w:lang w:val="sv-SE"/>
              </w:rPr>
            </w:pPr>
            <w:r w:rsidRPr="00800D1B">
              <w:rPr>
                <w:color w:val="000000"/>
                <w:sz w:val="20"/>
                <w:lang w:val="sv-SE"/>
              </w:rPr>
              <w:t>RSO1.1</w:t>
            </w:r>
          </w:p>
        </w:tc>
        <w:tc>
          <w:tcPr>
            <w:tcW w:w="0" w:type="auto"/>
          </w:tcPr>
          <w:p w14:paraId="2D06576E" w14:textId="77777777" w:rsidR="00A77B3E" w:rsidRPr="00800D1B" w:rsidRDefault="00623E14" w:rsidP="00315434">
            <w:pPr>
              <w:spacing w:before="100" w:after="100"/>
              <w:rPr>
                <w:color w:val="000000"/>
                <w:sz w:val="20"/>
                <w:lang w:val="sv-SE"/>
              </w:rPr>
            </w:pPr>
            <w:r w:rsidRPr="00800D1B">
              <w:rPr>
                <w:color w:val="000000"/>
                <w:sz w:val="20"/>
                <w:lang w:val="sv-SE"/>
              </w:rPr>
              <w:t>Eruf</w:t>
            </w:r>
          </w:p>
        </w:tc>
        <w:tc>
          <w:tcPr>
            <w:tcW w:w="0" w:type="auto"/>
          </w:tcPr>
          <w:p w14:paraId="2D06576F" w14:textId="77777777" w:rsidR="00A77B3E" w:rsidRPr="00800D1B" w:rsidRDefault="00623E14" w:rsidP="00315434">
            <w:pPr>
              <w:spacing w:before="100" w:after="100"/>
              <w:rPr>
                <w:color w:val="000000"/>
                <w:sz w:val="20"/>
                <w:lang w:val="sv-SE"/>
              </w:rPr>
            </w:pPr>
            <w:r w:rsidRPr="00800D1B">
              <w:rPr>
                <w:color w:val="000000"/>
                <w:sz w:val="20"/>
                <w:lang w:val="sv-SE"/>
              </w:rPr>
              <w:t>Mer utvecklade regioner</w:t>
            </w:r>
          </w:p>
        </w:tc>
        <w:tc>
          <w:tcPr>
            <w:tcW w:w="0" w:type="auto"/>
          </w:tcPr>
          <w:p w14:paraId="2D065770" w14:textId="77777777" w:rsidR="00A77B3E" w:rsidRPr="00800D1B" w:rsidRDefault="00623E14" w:rsidP="00315434">
            <w:pPr>
              <w:spacing w:before="100" w:after="100"/>
              <w:rPr>
                <w:color w:val="000000"/>
                <w:sz w:val="20"/>
                <w:lang w:val="sv-SE"/>
              </w:rPr>
            </w:pPr>
            <w:r w:rsidRPr="00800D1B">
              <w:rPr>
                <w:color w:val="000000"/>
                <w:sz w:val="20"/>
                <w:lang w:val="sv-SE"/>
              </w:rPr>
              <w:t>01. Bevilja</w:t>
            </w:r>
          </w:p>
        </w:tc>
        <w:tc>
          <w:tcPr>
            <w:tcW w:w="0" w:type="auto"/>
          </w:tcPr>
          <w:p w14:paraId="2D065771" w14:textId="77777777" w:rsidR="00A77B3E" w:rsidRPr="00800D1B" w:rsidRDefault="00623E14" w:rsidP="00315434">
            <w:pPr>
              <w:spacing w:before="100" w:after="100"/>
              <w:jc w:val="right"/>
              <w:rPr>
                <w:color w:val="000000"/>
                <w:sz w:val="20"/>
                <w:lang w:val="sv-SE"/>
              </w:rPr>
            </w:pPr>
            <w:r w:rsidRPr="00800D1B">
              <w:rPr>
                <w:color w:val="000000"/>
                <w:sz w:val="20"/>
                <w:lang w:val="sv-SE"/>
              </w:rPr>
              <w:t>27 794 644,00</w:t>
            </w:r>
          </w:p>
        </w:tc>
      </w:tr>
      <w:tr w:rsidR="003422DB" w:rsidRPr="00800D1B" w14:paraId="2D065779" w14:textId="77777777" w:rsidTr="00315434">
        <w:tc>
          <w:tcPr>
            <w:tcW w:w="0" w:type="auto"/>
          </w:tcPr>
          <w:p w14:paraId="2D065773" w14:textId="77777777" w:rsidR="00A77B3E" w:rsidRPr="00800D1B" w:rsidRDefault="00623E14" w:rsidP="00315434">
            <w:pPr>
              <w:spacing w:before="100" w:after="100"/>
              <w:rPr>
                <w:color w:val="000000"/>
                <w:sz w:val="20"/>
                <w:lang w:val="sv-SE"/>
              </w:rPr>
            </w:pPr>
            <w:r w:rsidRPr="00800D1B">
              <w:rPr>
                <w:color w:val="000000"/>
                <w:sz w:val="20"/>
                <w:lang w:val="sv-SE"/>
              </w:rPr>
              <w:t>1</w:t>
            </w:r>
          </w:p>
        </w:tc>
        <w:tc>
          <w:tcPr>
            <w:tcW w:w="0" w:type="auto"/>
          </w:tcPr>
          <w:p w14:paraId="2D065774" w14:textId="77777777" w:rsidR="00A77B3E" w:rsidRPr="00800D1B" w:rsidRDefault="00623E14" w:rsidP="00315434">
            <w:pPr>
              <w:spacing w:before="100" w:after="100"/>
              <w:rPr>
                <w:color w:val="000000"/>
                <w:sz w:val="20"/>
                <w:lang w:val="sv-SE"/>
              </w:rPr>
            </w:pPr>
            <w:r w:rsidRPr="00800D1B">
              <w:rPr>
                <w:color w:val="000000"/>
                <w:sz w:val="20"/>
                <w:lang w:val="sv-SE"/>
              </w:rPr>
              <w:t>RSO1.1</w:t>
            </w:r>
          </w:p>
        </w:tc>
        <w:tc>
          <w:tcPr>
            <w:tcW w:w="0" w:type="auto"/>
          </w:tcPr>
          <w:p w14:paraId="2D065775" w14:textId="77777777" w:rsidR="00A77B3E" w:rsidRPr="00800D1B" w:rsidRDefault="00623E14" w:rsidP="00315434">
            <w:pPr>
              <w:spacing w:before="100" w:after="100"/>
              <w:rPr>
                <w:color w:val="000000"/>
                <w:sz w:val="20"/>
                <w:lang w:val="sv-SE"/>
              </w:rPr>
            </w:pPr>
            <w:r w:rsidRPr="00800D1B">
              <w:rPr>
                <w:color w:val="000000"/>
                <w:sz w:val="20"/>
                <w:lang w:val="sv-SE"/>
              </w:rPr>
              <w:t>Eruf</w:t>
            </w:r>
          </w:p>
        </w:tc>
        <w:tc>
          <w:tcPr>
            <w:tcW w:w="0" w:type="auto"/>
          </w:tcPr>
          <w:p w14:paraId="2D065776" w14:textId="77777777" w:rsidR="00A77B3E" w:rsidRPr="00800D1B" w:rsidRDefault="00623E14" w:rsidP="00315434">
            <w:pPr>
              <w:spacing w:before="100" w:after="100"/>
              <w:rPr>
                <w:color w:val="000000"/>
                <w:sz w:val="20"/>
                <w:lang w:val="sv-SE"/>
              </w:rPr>
            </w:pPr>
            <w:r w:rsidRPr="00800D1B">
              <w:rPr>
                <w:color w:val="000000"/>
                <w:sz w:val="20"/>
                <w:lang w:val="sv-SE"/>
              </w:rPr>
              <w:t>De yttersta randområdena eller de nordliga glesbefolkade områdena</w:t>
            </w:r>
          </w:p>
        </w:tc>
        <w:tc>
          <w:tcPr>
            <w:tcW w:w="0" w:type="auto"/>
          </w:tcPr>
          <w:p w14:paraId="2D065777" w14:textId="77777777" w:rsidR="00A77B3E" w:rsidRPr="00800D1B" w:rsidRDefault="00623E14" w:rsidP="00315434">
            <w:pPr>
              <w:spacing w:before="100" w:after="100"/>
              <w:rPr>
                <w:color w:val="000000"/>
                <w:sz w:val="20"/>
                <w:lang w:val="sv-SE"/>
              </w:rPr>
            </w:pPr>
            <w:r w:rsidRPr="00800D1B">
              <w:rPr>
                <w:color w:val="000000"/>
                <w:sz w:val="20"/>
                <w:lang w:val="sv-SE"/>
              </w:rPr>
              <w:t>01. Bevilja</w:t>
            </w:r>
          </w:p>
        </w:tc>
        <w:tc>
          <w:tcPr>
            <w:tcW w:w="0" w:type="auto"/>
          </w:tcPr>
          <w:p w14:paraId="2D065778" w14:textId="77777777" w:rsidR="00A77B3E" w:rsidRPr="00800D1B" w:rsidRDefault="00623E14" w:rsidP="00315434">
            <w:pPr>
              <w:spacing w:before="100" w:after="100"/>
              <w:jc w:val="right"/>
              <w:rPr>
                <w:color w:val="000000"/>
                <w:sz w:val="20"/>
                <w:lang w:val="sv-SE"/>
              </w:rPr>
            </w:pPr>
            <w:r w:rsidRPr="00800D1B">
              <w:rPr>
                <w:color w:val="000000"/>
                <w:sz w:val="20"/>
                <w:lang w:val="sv-SE"/>
              </w:rPr>
              <w:t>5 345 579,00</w:t>
            </w:r>
          </w:p>
        </w:tc>
      </w:tr>
      <w:tr w:rsidR="003422DB" w:rsidRPr="00800D1B" w14:paraId="2D065780" w14:textId="77777777" w:rsidTr="00315434">
        <w:tc>
          <w:tcPr>
            <w:tcW w:w="0" w:type="auto"/>
          </w:tcPr>
          <w:p w14:paraId="2D06577A" w14:textId="77777777" w:rsidR="00A77B3E" w:rsidRPr="00800D1B" w:rsidRDefault="00623E14" w:rsidP="00315434">
            <w:pPr>
              <w:spacing w:before="100" w:after="100"/>
              <w:rPr>
                <w:color w:val="000000"/>
                <w:sz w:val="20"/>
                <w:lang w:val="sv-SE"/>
              </w:rPr>
            </w:pPr>
            <w:r w:rsidRPr="00800D1B">
              <w:rPr>
                <w:color w:val="000000"/>
                <w:sz w:val="20"/>
                <w:lang w:val="sv-SE"/>
              </w:rPr>
              <w:t>1</w:t>
            </w:r>
          </w:p>
        </w:tc>
        <w:tc>
          <w:tcPr>
            <w:tcW w:w="0" w:type="auto"/>
          </w:tcPr>
          <w:p w14:paraId="2D06577B" w14:textId="77777777" w:rsidR="00A77B3E" w:rsidRPr="00800D1B" w:rsidRDefault="00623E14" w:rsidP="00315434">
            <w:pPr>
              <w:spacing w:before="100" w:after="100"/>
              <w:rPr>
                <w:color w:val="000000"/>
                <w:sz w:val="20"/>
                <w:lang w:val="sv-SE"/>
              </w:rPr>
            </w:pPr>
            <w:r w:rsidRPr="00800D1B">
              <w:rPr>
                <w:color w:val="000000"/>
                <w:sz w:val="20"/>
                <w:lang w:val="sv-SE"/>
              </w:rPr>
              <w:t>RSO1.1</w:t>
            </w:r>
          </w:p>
        </w:tc>
        <w:tc>
          <w:tcPr>
            <w:tcW w:w="0" w:type="auto"/>
          </w:tcPr>
          <w:p w14:paraId="2D06577C" w14:textId="77777777" w:rsidR="00A77B3E" w:rsidRPr="00800D1B" w:rsidRDefault="00623E14" w:rsidP="00315434">
            <w:pPr>
              <w:spacing w:before="100" w:after="100"/>
              <w:rPr>
                <w:color w:val="000000"/>
                <w:sz w:val="20"/>
                <w:lang w:val="sv-SE"/>
              </w:rPr>
            </w:pPr>
            <w:r w:rsidRPr="00800D1B">
              <w:rPr>
                <w:color w:val="000000"/>
                <w:sz w:val="20"/>
                <w:lang w:val="sv-SE"/>
              </w:rPr>
              <w:t>Totalt</w:t>
            </w:r>
          </w:p>
        </w:tc>
        <w:tc>
          <w:tcPr>
            <w:tcW w:w="0" w:type="auto"/>
          </w:tcPr>
          <w:p w14:paraId="2D06577D" w14:textId="77777777" w:rsidR="00A77B3E" w:rsidRPr="00800D1B" w:rsidRDefault="00A77B3E" w:rsidP="00315434">
            <w:pPr>
              <w:spacing w:before="100" w:after="100"/>
              <w:rPr>
                <w:color w:val="000000"/>
                <w:sz w:val="20"/>
                <w:lang w:val="sv-SE"/>
              </w:rPr>
            </w:pPr>
          </w:p>
        </w:tc>
        <w:tc>
          <w:tcPr>
            <w:tcW w:w="0" w:type="auto"/>
          </w:tcPr>
          <w:p w14:paraId="2D06577E" w14:textId="77777777" w:rsidR="00A77B3E" w:rsidRPr="00800D1B" w:rsidRDefault="00A77B3E" w:rsidP="00315434">
            <w:pPr>
              <w:spacing w:before="100" w:after="100"/>
              <w:rPr>
                <w:color w:val="000000"/>
                <w:sz w:val="20"/>
                <w:lang w:val="sv-SE"/>
              </w:rPr>
            </w:pPr>
          </w:p>
        </w:tc>
        <w:tc>
          <w:tcPr>
            <w:tcW w:w="0" w:type="auto"/>
          </w:tcPr>
          <w:p w14:paraId="2D06577F" w14:textId="77777777" w:rsidR="00A77B3E" w:rsidRPr="00800D1B" w:rsidRDefault="00623E14" w:rsidP="00315434">
            <w:pPr>
              <w:spacing w:before="100" w:after="100"/>
              <w:jc w:val="right"/>
              <w:rPr>
                <w:color w:val="000000"/>
                <w:sz w:val="20"/>
                <w:lang w:val="sv-SE"/>
              </w:rPr>
            </w:pPr>
            <w:r w:rsidRPr="00800D1B">
              <w:rPr>
                <w:color w:val="000000"/>
                <w:sz w:val="20"/>
                <w:lang w:val="sv-SE"/>
              </w:rPr>
              <w:t>33 140 223,00</w:t>
            </w:r>
          </w:p>
        </w:tc>
      </w:tr>
    </w:tbl>
    <w:p w14:paraId="2D065782" w14:textId="49DE47AA" w:rsidR="00A77B3E" w:rsidRPr="00800D1B" w:rsidRDefault="00623E14" w:rsidP="00552F60">
      <w:pPr>
        <w:spacing w:before="360"/>
        <w:rPr>
          <w:lang w:val="sv-SE"/>
        </w:rPr>
      </w:pPr>
      <w:bookmarkStart w:id="19" w:name="_Toc256000260"/>
      <w:r w:rsidRPr="00800D1B">
        <w:rPr>
          <w:lang w:val="sv-SE"/>
        </w:rPr>
        <w:t>Tabell 6: Dimension 3 – territoriell genomförandemetod och territoriellt fokus</w:t>
      </w:r>
      <w:bookmarkEnd w:id="19"/>
    </w:p>
    <w:p w14:paraId="2D065783" w14:textId="77777777" w:rsidR="00A77B3E" w:rsidRPr="00800D1B" w:rsidRDefault="00A77B3E">
      <w:pPr>
        <w:spacing w:before="100"/>
        <w:rPr>
          <w:color w:val="000000"/>
          <w:sz w:val="0"/>
          <w:lang w:val="sv-SE"/>
        </w:rPr>
      </w:pPr>
    </w:p>
    <w:tbl>
      <w:tblPr>
        <w:tblStyle w:val="Tabellrutnt"/>
        <w:tblW w:w="5000" w:type="pct"/>
        <w:tblLook w:val="04A0" w:firstRow="1" w:lastRow="0" w:firstColumn="1" w:lastColumn="0" w:noHBand="0" w:noVBand="1"/>
        <w:tblDescription w:val="En tabell med sex kolumner: Prioritering; Specifikt mål; Fond; Regionkategori; Kod; Belopp (euro). Tabellen visar information om territoriell genomförandemetod och territoriellt fokus."/>
      </w:tblPr>
      <w:tblGrid>
        <w:gridCol w:w="1185"/>
        <w:gridCol w:w="1339"/>
        <w:gridCol w:w="721"/>
        <w:gridCol w:w="5865"/>
        <w:gridCol w:w="4642"/>
        <w:gridCol w:w="1420"/>
      </w:tblGrid>
      <w:tr w:rsidR="003422DB" w:rsidRPr="00800D1B" w14:paraId="2D06578A" w14:textId="77777777" w:rsidTr="00315434">
        <w:tc>
          <w:tcPr>
            <w:tcW w:w="0" w:type="auto"/>
          </w:tcPr>
          <w:p w14:paraId="2D065784" w14:textId="77777777" w:rsidR="00A77B3E" w:rsidRPr="00800D1B" w:rsidRDefault="00623E14" w:rsidP="00315434">
            <w:pPr>
              <w:spacing w:before="100" w:after="100"/>
              <w:jc w:val="center"/>
              <w:rPr>
                <w:color w:val="000000"/>
                <w:sz w:val="20"/>
                <w:lang w:val="sv-SE"/>
              </w:rPr>
            </w:pPr>
            <w:r w:rsidRPr="00800D1B">
              <w:rPr>
                <w:color w:val="000000"/>
                <w:sz w:val="20"/>
                <w:lang w:val="sv-SE"/>
              </w:rPr>
              <w:t>Prioritering</w:t>
            </w:r>
          </w:p>
        </w:tc>
        <w:tc>
          <w:tcPr>
            <w:tcW w:w="0" w:type="auto"/>
          </w:tcPr>
          <w:p w14:paraId="2D065785" w14:textId="77777777" w:rsidR="00A77B3E" w:rsidRPr="00800D1B" w:rsidRDefault="00623E14" w:rsidP="00315434">
            <w:pPr>
              <w:spacing w:before="100" w:after="100"/>
              <w:jc w:val="center"/>
              <w:rPr>
                <w:color w:val="000000"/>
                <w:sz w:val="20"/>
                <w:lang w:val="sv-SE"/>
              </w:rPr>
            </w:pPr>
            <w:r w:rsidRPr="00800D1B">
              <w:rPr>
                <w:color w:val="000000"/>
                <w:sz w:val="20"/>
                <w:lang w:val="sv-SE"/>
              </w:rPr>
              <w:t>Specifikt mål</w:t>
            </w:r>
          </w:p>
        </w:tc>
        <w:tc>
          <w:tcPr>
            <w:tcW w:w="0" w:type="auto"/>
          </w:tcPr>
          <w:p w14:paraId="2D065786" w14:textId="77777777" w:rsidR="00A77B3E" w:rsidRPr="00800D1B" w:rsidRDefault="00623E14" w:rsidP="00315434">
            <w:pPr>
              <w:spacing w:before="100" w:after="100"/>
              <w:jc w:val="center"/>
              <w:rPr>
                <w:color w:val="000000"/>
                <w:sz w:val="20"/>
                <w:lang w:val="sv-SE"/>
              </w:rPr>
            </w:pPr>
            <w:r w:rsidRPr="00800D1B">
              <w:rPr>
                <w:color w:val="000000"/>
                <w:sz w:val="20"/>
                <w:lang w:val="sv-SE"/>
              </w:rPr>
              <w:t>Fond</w:t>
            </w:r>
          </w:p>
        </w:tc>
        <w:tc>
          <w:tcPr>
            <w:tcW w:w="0" w:type="auto"/>
          </w:tcPr>
          <w:p w14:paraId="2D065787" w14:textId="77777777" w:rsidR="00A77B3E" w:rsidRPr="00800D1B" w:rsidRDefault="00623E14" w:rsidP="00315434">
            <w:pPr>
              <w:spacing w:before="100" w:after="100"/>
              <w:jc w:val="center"/>
              <w:rPr>
                <w:color w:val="000000"/>
                <w:sz w:val="20"/>
                <w:lang w:val="sv-SE"/>
              </w:rPr>
            </w:pPr>
            <w:r w:rsidRPr="00800D1B">
              <w:rPr>
                <w:color w:val="000000"/>
                <w:sz w:val="20"/>
                <w:lang w:val="sv-SE"/>
              </w:rPr>
              <w:t>Regionkategori</w:t>
            </w:r>
          </w:p>
        </w:tc>
        <w:tc>
          <w:tcPr>
            <w:tcW w:w="0" w:type="auto"/>
          </w:tcPr>
          <w:p w14:paraId="2D065788" w14:textId="77777777" w:rsidR="00A77B3E" w:rsidRPr="00800D1B" w:rsidRDefault="00623E14" w:rsidP="00315434">
            <w:pPr>
              <w:spacing w:before="100" w:after="100"/>
              <w:jc w:val="center"/>
              <w:rPr>
                <w:color w:val="000000"/>
                <w:sz w:val="20"/>
                <w:lang w:val="sv-SE"/>
              </w:rPr>
            </w:pPr>
            <w:r w:rsidRPr="00800D1B">
              <w:rPr>
                <w:color w:val="000000"/>
                <w:sz w:val="20"/>
                <w:lang w:val="sv-SE"/>
              </w:rPr>
              <w:t>Kod</w:t>
            </w:r>
          </w:p>
        </w:tc>
        <w:tc>
          <w:tcPr>
            <w:tcW w:w="0" w:type="auto"/>
          </w:tcPr>
          <w:p w14:paraId="2D065789" w14:textId="77777777" w:rsidR="00A77B3E" w:rsidRPr="00800D1B" w:rsidRDefault="00623E14" w:rsidP="00315434">
            <w:pPr>
              <w:spacing w:before="100" w:after="100"/>
              <w:jc w:val="center"/>
              <w:rPr>
                <w:color w:val="000000"/>
                <w:sz w:val="20"/>
                <w:lang w:val="sv-SE"/>
              </w:rPr>
            </w:pPr>
            <w:r w:rsidRPr="00800D1B">
              <w:rPr>
                <w:color w:val="000000"/>
                <w:sz w:val="20"/>
                <w:lang w:val="sv-SE"/>
              </w:rPr>
              <w:t>Belopp (euro)</w:t>
            </w:r>
          </w:p>
        </w:tc>
      </w:tr>
      <w:tr w:rsidR="003422DB" w:rsidRPr="00800D1B" w14:paraId="2D065791" w14:textId="77777777" w:rsidTr="00315434">
        <w:tc>
          <w:tcPr>
            <w:tcW w:w="0" w:type="auto"/>
          </w:tcPr>
          <w:p w14:paraId="2D06578B" w14:textId="77777777" w:rsidR="00A77B3E" w:rsidRPr="00800D1B" w:rsidRDefault="00623E14" w:rsidP="00315434">
            <w:pPr>
              <w:spacing w:before="100" w:after="100"/>
              <w:rPr>
                <w:color w:val="000000"/>
                <w:sz w:val="20"/>
                <w:lang w:val="sv-SE"/>
              </w:rPr>
            </w:pPr>
            <w:r w:rsidRPr="00800D1B">
              <w:rPr>
                <w:color w:val="000000"/>
                <w:sz w:val="20"/>
                <w:lang w:val="sv-SE"/>
              </w:rPr>
              <w:t>1</w:t>
            </w:r>
          </w:p>
        </w:tc>
        <w:tc>
          <w:tcPr>
            <w:tcW w:w="0" w:type="auto"/>
          </w:tcPr>
          <w:p w14:paraId="2D06578C" w14:textId="77777777" w:rsidR="00A77B3E" w:rsidRPr="00800D1B" w:rsidRDefault="00623E14" w:rsidP="00315434">
            <w:pPr>
              <w:spacing w:before="100" w:after="100"/>
              <w:rPr>
                <w:color w:val="000000"/>
                <w:sz w:val="20"/>
                <w:lang w:val="sv-SE"/>
              </w:rPr>
            </w:pPr>
            <w:r w:rsidRPr="00800D1B">
              <w:rPr>
                <w:color w:val="000000"/>
                <w:sz w:val="20"/>
                <w:lang w:val="sv-SE"/>
              </w:rPr>
              <w:t>RSO1.1</w:t>
            </w:r>
          </w:p>
        </w:tc>
        <w:tc>
          <w:tcPr>
            <w:tcW w:w="0" w:type="auto"/>
          </w:tcPr>
          <w:p w14:paraId="2D06578D" w14:textId="77777777" w:rsidR="00A77B3E" w:rsidRPr="00800D1B" w:rsidRDefault="00623E14" w:rsidP="00315434">
            <w:pPr>
              <w:spacing w:before="100" w:after="100"/>
              <w:rPr>
                <w:color w:val="000000"/>
                <w:sz w:val="20"/>
                <w:lang w:val="sv-SE"/>
              </w:rPr>
            </w:pPr>
            <w:r w:rsidRPr="00800D1B">
              <w:rPr>
                <w:color w:val="000000"/>
                <w:sz w:val="20"/>
                <w:lang w:val="sv-SE"/>
              </w:rPr>
              <w:t>Eruf</w:t>
            </w:r>
          </w:p>
        </w:tc>
        <w:tc>
          <w:tcPr>
            <w:tcW w:w="0" w:type="auto"/>
          </w:tcPr>
          <w:p w14:paraId="2D06578E" w14:textId="77777777" w:rsidR="00A77B3E" w:rsidRPr="00800D1B" w:rsidRDefault="00623E14" w:rsidP="00315434">
            <w:pPr>
              <w:spacing w:before="100" w:after="100"/>
              <w:rPr>
                <w:color w:val="000000"/>
                <w:sz w:val="20"/>
                <w:lang w:val="sv-SE"/>
              </w:rPr>
            </w:pPr>
            <w:r w:rsidRPr="00800D1B">
              <w:rPr>
                <w:color w:val="000000"/>
                <w:sz w:val="20"/>
                <w:lang w:val="sv-SE"/>
              </w:rPr>
              <w:t>Mer utvecklade regioner</w:t>
            </w:r>
          </w:p>
        </w:tc>
        <w:tc>
          <w:tcPr>
            <w:tcW w:w="0" w:type="auto"/>
          </w:tcPr>
          <w:p w14:paraId="2D06578F" w14:textId="77777777" w:rsidR="00A77B3E" w:rsidRPr="00800D1B" w:rsidRDefault="00623E14" w:rsidP="00315434">
            <w:pPr>
              <w:spacing w:before="100" w:after="100"/>
              <w:rPr>
                <w:color w:val="000000"/>
                <w:sz w:val="20"/>
                <w:lang w:val="sv-SE"/>
              </w:rPr>
            </w:pPr>
            <w:r w:rsidRPr="00800D1B">
              <w:rPr>
                <w:color w:val="000000"/>
                <w:sz w:val="20"/>
                <w:lang w:val="sv-SE"/>
              </w:rPr>
              <w:t>33. Andra strategier – Ingen territoriell målinriktning</w:t>
            </w:r>
          </w:p>
        </w:tc>
        <w:tc>
          <w:tcPr>
            <w:tcW w:w="0" w:type="auto"/>
          </w:tcPr>
          <w:p w14:paraId="2D065790" w14:textId="77777777" w:rsidR="00A77B3E" w:rsidRPr="00800D1B" w:rsidRDefault="00623E14" w:rsidP="00315434">
            <w:pPr>
              <w:spacing w:before="100" w:after="100"/>
              <w:jc w:val="right"/>
              <w:rPr>
                <w:color w:val="000000"/>
                <w:sz w:val="20"/>
                <w:lang w:val="sv-SE"/>
              </w:rPr>
            </w:pPr>
            <w:r w:rsidRPr="00800D1B">
              <w:rPr>
                <w:color w:val="000000"/>
                <w:sz w:val="20"/>
                <w:lang w:val="sv-SE"/>
              </w:rPr>
              <w:t>27 794 644,00</w:t>
            </w:r>
          </w:p>
        </w:tc>
      </w:tr>
      <w:tr w:rsidR="003422DB" w:rsidRPr="00800D1B" w14:paraId="2D065798" w14:textId="77777777" w:rsidTr="00315434">
        <w:tc>
          <w:tcPr>
            <w:tcW w:w="0" w:type="auto"/>
          </w:tcPr>
          <w:p w14:paraId="2D065792" w14:textId="77777777" w:rsidR="00A77B3E" w:rsidRPr="00800D1B" w:rsidRDefault="00623E14" w:rsidP="00315434">
            <w:pPr>
              <w:spacing w:before="100" w:after="100"/>
              <w:rPr>
                <w:color w:val="000000"/>
                <w:sz w:val="20"/>
                <w:lang w:val="sv-SE"/>
              </w:rPr>
            </w:pPr>
            <w:r w:rsidRPr="00800D1B">
              <w:rPr>
                <w:color w:val="000000"/>
                <w:sz w:val="20"/>
                <w:lang w:val="sv-SE"/>
              </w:rPr>
              <w:t>1</w:t>
            </w:r>
          </w:p>
        </w:tc>
        <w:tc>
          <w:tcPr>
            <w:tcW w:w="0" w:type="auto"/>
          </w:tcPr>
          <w:p w14:paraId="2D065793" w14:textId="77777777" w:rsidR="00A77B3E" w:rsidRPr="00800D1B" w:rsidRDefault="00623E14" w:rsidP="00315434">
            <w:pPr>
              <w:spacing w:before="100" w:after="100"/>
              <w:rPr>
                <w:color w:val="000000"/>
                <w:sz w:val="20"/>
                <w:lang w:val="sv-SE"/>
              </w:rPr>
            </w:pPr>
            <w:r w:rsidRPr="00800D1B">
              <w:rPr>
                <w:color w:val="000000"/>
                <w:sz w:val="20"/>
                <w:lang w:val="sv-SE"/>
              </w:rPr>
              <w:t>RSO1.1</w:t>
            </w:r>
          </w:p>
        </w:tc>
        <w:tc>
          <w:tcPr>
            <w:tcW w:w="0" w:type="auto"/>
          </w:tcPr>
          <w:p w14:paraId="2D065794" w14:textId="77777777" w:rsidR="00A77B3E" w:rsidRPr="00800D1B" w:rsidRDefault="00623E14" w:rsidP="00315434">
            <w:pPr>
              <w:spacing w:before="100" w:after="100"/>
              <w:rPr>
                <w:color w:val="000000"/>
                <w:sz w:val="20"/>
                <w:lang w:val="sv-SE"/>
              </w:rPr>
            </w:pPr>
            <w:r w:rsidRPr="00800D1B">
              <w:rPr>
                <w:color w:val="000000"/>
                <w:sz w:val="20"/>
                <w:lang w:val="sv-SE"/>
              </w:rPr>
              <w:t>Eruf</w:t>
            </w:r>
          </w:p>
        </w:tc>
        <w:tc>
          <w:tcPr>
            <w:tcW w:w="0" w:type="auto"/>
          </w:tcPr>
          <w:p w14:paraId="2D065795" w14:textId="77777777" w:rsidR="00A77B3E" w:rsidRPr="00800D1B" w:rsidRDefault="00623E14" w:rsidP="00315434">
            <w:pPr>
              <w:spacing w:before="100" w:after="100"/>
              <w:rPr>
                <w:color w:val="000000"/>
                <w:sz w:val="20"/>
                <w:lang w:val="sv-SE"/>
              </w:rPr>
            </w:pPr>
            <w:r w:rsidRPr="00800D1B">
              <w:rPr>
                <w:color w:val="000000"/>
                <w:sz w:val="20"/>
                <w:lang w:val="sv-SE"/>
              </w:rPr>
              <w:t>De yttersta randområdena eller de nordliga glesbefolkade områdena</w:t>
            </w:r>
          </w:p>
        </w:tc>
        <w:tc>
          <w:tcPr>
            <w:tcW w:w="0" w:type="auto"/>
          </w:tcPr>
          <w:p w14:paraId="2D065796" w14:textId="77777777" w:rsidR="00A77B3E" w:rsidRPr="00800D1B" w:rsidRDefault="00623E14" w:rsidP="00315434">
            <w:pPr>
              <w:spacing w:before="100" w:after="100"/>
              <w:rPr>
                <w:color w:val="000000"/>
                <w:sz w:val="20"/>
                <w:lang w:val="sv-SE"/>
              </w:rPr>
            </w:pPr>
            <w:r w:rsidRPr="00800D1B">
              <w:rPr>
                <w:color w:val="000000"/>
                <w:sz w:val="20"/>
                <w:lang w:val="sv-SE"/>
              </w:rPr>
              <w:t>31. Andra strategier – Glest befolkade områden</w:t>
            </w:r>
          </w:p>
        </w:tc>
        <w:tc>
          <w:tcPr>
            <w:tcW w:w="0" w:type="auto"/>
          </w:tcPr>
          <w:p w14:paraId="2D065797" w14:textId="77777777" w:rsidR="00A77B3E" w:rsidRPr="00800D1B" w:rsidRDefault="00623E14" w:rsidP="00315434">
            <w:pPr>
              <w:spacing w:before="100" w:after="100"/>
              <w:jc w:val="right"/>
              <w:rPr>
                <w:color w:val="000000"/>
                <w:sz w:val="20"/>
                <w:lang w:val="sv-SE"/>
              </w:rPr>
            </w:pPr>
            <w:r w:rsidRPr="00800D1B">
              <w:rPr>
                <w:color w:val="000000"/>
                <w:sz w:val="20"/>
                <w:lang w:val="sv-SE"/>
              </w:rPr>
              <w:t>5 345 579,00</w:t>
            </w:r>
          </w:p>
        </w:tc>
      </w:tr>
      <w:tr w:rsidR="003422DB" w:rsidRPr="00800D1B" w14:paraId="2D06579F" w14:textId="77777777" w:rsidTr="00315434">
        <w:tc>
          <w:tcPr>
            <w:tcW w:w="0" w:type="auto"/>
          </w:tcPr>
          <w:p w14:paraId="2D065799" w14:textId="77777777" w:rsidR="00A77B3E" w:rsidRPr="00800D1B" w:rsidRDefault="00623E14" w:rsidP="00315434">
            <w:pPr>
              <w:spacing w:before="100" w:after="100"/>
              <w:rPr>
                <w:color w:val="000000"/>
                <w:sz w:val="20"/>
                <w:lang w:val="sv-SE"/>
              </w:rPr>
            </w:pPr>
            <w:r w:rsidRPr="00800D1B">
              <w:rPr>
                <w:color w:val="000000"/>
                <w:sz w:val="20"/>
                <w:lang w:val="sv-SE"/>
              </w:rPr>
              <w:t>1</w:t>
            </w:r>
          </w:p>
        </w:tc>
        <w:tc>
          <w:tcPr>
            <w:tcW w:w="0" w:type="auto"/>
          </w:tcPr>
          <w:p w14:paraId="2D06579A" w14:textId="77777777" w:rsidR="00A77B3E" w:rsidRPr="00800D1B" w:rsidRDefault="00623E14" w:rsidP="00315434">
            <w:pPr>
              <w:spacing w:before="100" w:after="100"/>
              <w:rPr>
                <w:color w:val="000000"/>
                <w:sz w:val="20"/>
                <w:lang w:val="sv-SE"/>
              </w:rPr>
            </w:pPr>
            <w:r w:rsidRPr="00800D1B">
              <w:rPr>
                <w:color w:val="000000"/>
                <w:sz w:val="20"/>
                <w:lang w:val="sv-SE"/>
              </w:rPr>
              <w:t>RSO1.1</w:t>
            </w:r>
          </w:p>
        </w:tc>
        <w:tc>
          <w:tcPr>
            <w:tcW w:w="0" w:type="auto"/>
          </w:tcPr>
          <w:p w14:paraId="2D06579B" w14:textId="77777777" w:rsidR="00A77B3E" w:rsidRPr="00800D1B" w:rsidRDefault="00623E14" w:rsidP="00315434">
            <w:pPr>
              <w:spacing w:before="100" w:after="100"/>
              <w:rPr>
                <w:color w:val="000000"/>
                <w:sz w:val="20"/>
                <w:lang w:val="sv-SE"/>
              </w:rPr>
            </w:pPr>
            <w:r w:rsidRPr="00800D1B">
              <w:rPr>
                <w:color w:val="000000"/>
                <w:sz w:val="20"/>
                <w:lang w:val="sv-SE"/>
              </w:rPr>
              <w:t>Totalt</w:t>
            </w:r>
          </w:p>
        </w:tc>
        <w:tc>
          <w:tcPr>
            <w:tcW w:w="0" w:type="auto"/>
          </w:tcPr>
          <w:p w14:paraId="2D06579C" w14:textId="77777777" w:rsidR="00A77B3E" w:rsidRPr="00800D1B" w:rsidRDefault="00A77B3E" w:rsidP="00315434">
            <w:pPr>
              <w:spacing w:before="100" w:after="100"/>
              <w:rPr>
                <w:color w:val="000000"/>
                <w:sz w:val="20"/>
                <w:lang w:val="sv-SE"/>
              </w:rPr>
            </w:pPr>
          </w:p>
        </w:tc>
        <w:tc>
          <w:tcPr>
            <w:tcW w:w="0" w:type="auto"/>
          </w:tcPr>
          <w:p w14:paraId="2D06579D" w14:textId="77777777" w:rsidR="00A77B3E" w:rsidRPr="00800D1B" w:rsidRDefault="00A77B3E" w:rsidP="00315434">
            <w:pPr>
              <w:spacing w:before="100" w:after="100"/>
              <w:rPr>
                <w:color w:val="000000"/>
                <w:sz w:val="20"/>
                <w:lang w:val="sv-SE"/>
              </w:rPr>
            </w:pPr>
          </w:p>
        </w:tc>
        <w:tc>
          <w:tcPr>
            <w:tcW w:w="0" w:type="auto"/>
          </w:tcPr>
          <w:p w14:paraId="2D06579E" w14:textId="77777777" w:rsidR="00A77B3E" w:rsidRPr="00800D1B" w:rsidRDefault="00623E14" w:rsidP="00315434">
            <w:pPr>
              <w:spacing w:before="100" w:after="100"/>
              <w:jc w:val="right"/>
              <w:rPr>
                <w:color w:val="000000"/>
                <w:sz w:val="20"/>
                <w:lang w:val="sv-SE"/>
              </w:rPr>
            </w:pPr>
            <w:r w:rsidRPr="00800D1B">
              <w:rPr>
                <w:color w:val="000000"/>
                <w:sz w:val="20"/>
                <w:lang w:val="sv-SE"/>
              </w:rPr>
              <w:t>33 140 223,00</w:t>
            </w:r>
          </w:p>
        </w:tc>
      </w:tr>
    </w:tbl>
    <w:p w14:paraId="2D0657A1" w14:textId="3F7F1FB9" w:rsidR="00A77B3E" w:rsidRPr="00800D1B" w:rsidRDefault="00623E14" w:rsidP="00552F60">
      <w:pPr>
        <w:spacing w:before="360"/>
        <w:rPr>
          <w:lang w:val="sv-SE"/>
        </w:rPr>
      </w:pPr>
      <w:bookmarkStart w:id="20" w:name="_Toc256000261"/>
      <w:r w:rsidRPr="00800D1B">
        <w:rPr>
          <w:lang w:val="sv-SE"/>
        </w:rPr>
        <w:t>Tabell 7: Dimension 6 – ESF+-sekundärteman</w:t>
      </w:r>
      <w:bookmarkEnd w:id="20"/>
    </w:p>
    <w:p w14:paraId="2D0657A2" w14:textId="77777777" w:rsidR="00A77B3E" w:rsidRPr="00800D1B" w:rsidRDefault="00A77B3E">
      <w:pPr>
        <w:spacing w:before="100"/>
        <w:rPr>
          <w:color w:val="000000"/>
          <w:sz w:val="0"/>
          <w:lang w:val="sv-SE"/>
        </w:rPr>
      </w:pPr>
    </w:p>
    <w:tbl>
      <w:tblPr>
        <w:tblStyle w:val="Tabellrutnt"/>
        <w:tblW w:w="5000" w:type="pct"/>
        <w:tblLook w:val="04A0" w:firstRow="1" w:lastRow="0" w:firstColumn="1" w:lastColumn="0" w:noHBand="0" w:noVBand="1"/>
        <w:tblDescription w:val="En tabell med sex kolumner: Prioritering; Specifikt mål; Fond; Regionkategori; Kod; Belopp (euro). Tabellen visar information om ESF+-sekundärteman."/>
      </w:tblPr>
      <w:tblGrid>
        <w:gridCol w:w="2700"/>
        <w:gridCol w:w="3054"/>
        <w:gridCol w:w="1489"/>
        <w:gridCol w:w="3438"/>
        <w:gridCol w:w="1330"/>
        <w:gridCol w:w="3161"/>
      </w:tblGrid>
      <w:tr w:rsidR="003422DB" w:rsidRPr="00800D1B" w14:paraId="2D0657A9" w14:textId="77777777" w:rsidTr="00315434">
        <w:tc>
          <w:tcPr>
            <w:tcW w:w="0" w:type="auto"/>
          </w:tcPr>
          <w:p w14:paraId="2D0657A3" w14:textId="77777777" w:rsidR="00A77B3E" w:rsidRPr="00800D1B" w:rsidRDefault="00623E14" w:rsidP="00315434">
            <w:pPr>
              <w:spacing w:before="100" w:after="100"/>
              <w:jc w:val="center"/>
              <w:rPr>
                <w:color w:val="000000"/>
                <w:sz w:val="20"/>
                <w:lang w:val="sv-SE"/>
              </w:rPr>
            </w:pPr>
            <w:r w:rsidRPr="00800D1B">
              <w:rPr>
                <w:color w:val="000000"/>
                <w:sz w:val="20"/>
                <w:lang w:val="sv-SE"/>
              </w:rPr>
              <w:t>Prioritering</w:t>
            </w:r>
          </w:p>
        </w:tc>
        <w:tc>
          <w:tcPr>
            <w:tcW w:w="0" w:type="auto"/>
          </w:tcPr>
          <w:p w14:paraId="2D0657A4" w14:textId="77777777" w:rsidR="00A77B3E" w:rsidRPr="00800D1B" w:rsidRDefault="00623E14" w:rsidP="00315434">
            <w:pPr>
              <w:spacing w:before="100" w:after="100"/>
              <w:jc w:val="center"/>
              <w:rPr>
                <w:color w:val="000000"/>
                <w:sz w:val="20"/>
                <w:lang w:val="sv-SE"/>
              </w:rPr>
            </w:pPr>
            <w:r w:rsidRPr="00800D1B">
              <w:rPr>
                <w:color w:val="000000"/>
                <w:sz w:val="20"/>
                <w:lang w:val="sv-SE"/>
              </w:rPr>
              <w:t>Specifikt mål</w:t>
            </w:r>
          </w:p>
        </w:tc>
        <w:tc>
          <w:tcPr>
            <w:tcW w:w="0" w:type="auto"/>
          </w:tcPr>
          <w:p w14:paraId="2D0657A5" w14:textId="77777777" w:rsidR="00A77B3E" w:rsidRPr="00800D1B" w:rsidRDefault="00623E14" w:rsidP="00315434">
            <w:pPr>
              <w:spacing w:before="100" w:after="100"/>
              <w:jc w:val="center"/>
              <w:rPr>
                <w:color w:val="000000"/>
                <w:sz w:val="20"/>
                <w:lang w:val="sv-SE"/>
              </w:rPr>
            </w:pPr>
            <w:r w:rsidRPr="00800D1B">
              <w:rPr>
                <w:color w:val="000000"/>
                <w:sz w:val="20"/>
                <w:lang w:val="sv-SE"/>
              </w:rPr>
              <w:t>Fond</w:t>
            </w:r>
          </w:p>
        </w:tc>
        <w:tc>
          <w:tcPr>
            <w:tcW w:w="0" w:type="auto"/>
          </w:tcPr>
          <w:p w14:paraId="2D0657A6" w14:textId="77777777" w:rsidR="00A77B3E" w:rsidRPr="00800D1B" w:rsidRDefault="00623E14" w:rsidP="00315434">
            <w:pPr>
              <w:spacing w:before="100" w:after="100"/>
              <w:jc w:val="center"/>
              <w:rPr>
                <w:color w:val="000000"/>
                <w:sz w:val="20"/>
                <w:lang w:val="sv-SE"/>
              </w:rPr>
            </w:pPr>
            <w:r w:rsidRPr="00800D1B">
              <w:rPr>
                <w:color w:val="000000"/>
                <w:sz w:val="20"/>
                <w:lang w:val="sv-SE"/>
              </w:rPr>
              <w:t>Regionkategori</w:t>
            </w:r>
          </w:p>
        </w:tc>
        <w:tc>
          <w:tcPr>
            <w:tcW w:w="0" w:type="auto"/>
          </w:tcPr>
          <w:p w14:paraId="2D0657A7" w14:textId="77777777" w:rsidR="00A77B3E" w:rsidRPr="00800D1B" w:rsidRDefault="00623E14" w:rsidP="00315434">
            <w:pPr>
              <w:spacing w:before="100" w:after="100"/>
              <w:jc w:val="center"/>
              <w:rPr>
                <w:color w:val="000000"/>
                <w:sz w:val="20"/>
                <w:lang w:val="sv-SE"/>
              </w:rPr>
            </w:pPr>
            <w:r w:rsidRPr="00800D1B">
              <w:rPr>
                <w:color w:val="000000"/>
                <w:sz w:val="20"/>
                <w:lang w:val="sv-SE"/>
              </w:rPr>
              <w:t>Kod</w:t>
            </w:r>
          </w:p>
        </w:tc>
        <w:tc>
          <w:tcPr>
            <w:tcW w:w="0" w:type="auto"/>
          </w:tcPr>
          <w:p w14:paraId="2D0657A8" w14:textId="77777777" w:rsidR="00A77B3E" w:rsidRPr="00800D1B" w:rsidRDefault="00623E14" w:rsidP="00315434">
            <w:pPr>
              <w:spacing w:before="100" w:after="100"/>
              <w:jc w:val="center"/>
              <w:rPr>
                <w:color w:val="000000"/>
                <w:sz w:val="20"/>
                <w:lang w:val="sv-SE"/>
              </w:rPr>
            </w:pPr>
            <w:r w:rsidRPr="00800D1B">
              <w:rPr>
                <w:color w:val="000000"/>
                <w:sz w:val="20"/>
                <w:lang w:val="sv-SE"/>
              </w:rPr>
              <w:t>Belopp (euro)</w:t>
            </w:r>
          </w:p>
        </w:tc>
      </w:tr>
    </w:tbl>
    <w:p w14:paraId="42D202FD" w14:textId="61521B88" w:rsidR="00A77B3E" w:rsidRPr="00800D1B" w:rsidRDefault="001D014A" w:rsidP="00552F60">
      <w:pPr>
        <w:spacing w:before="360" w:after="100"/>
        <w:rPr>
          <w:color w:val="000000"/>
          <w:sz w:val="0"/>
          <w:lang w:val="sv-SE"/>
        </w:rPr>
      </w:pPr>
      <w:bookmarkStart w:id="21" w:name="_Toc256000262"/>
      <w:r w:rsidRPr="00800D1B">
        <w:rPr>
          <w:lang w:val="sv-SE"/>
        </w:rPr>
        <w:t>Tabell</w:t>
      </w:r>
      <w:r w:rsidRPr="00800D1B">
        <w:rPr>
          <w:color w:val="000000"/>
          <w:lang w:val="sv-SE"/>
        </w:rPr>
        <w:t xml:space="preserve"> 8: Dimension 7 – ESF+, Eruf, Sammanhållningsfonden och FRO, jämställdhetsdimensionen</w:t>
      </w:r>
      <w:bookmarkEnd w:id="21"/>
    </w:p>
    <w:tbl>
      <w:tblPr>
        <w:tblStyle w:val="Tabellrutnt"/>
        <w:tblW w:w="5000" w:type="pct"/>
        <w:tblLook w:val="04A0" w:firstRow="1" w:lastRow="0" w:firstColumn="1" w:lastColumn="0" w:noHBand="0" w:noVBand="1"/>
        <w:tblDescription w:val="En tabell med sex kolumner: Prioritering; Specifikt mål; Fond; Regionkategori; Kod; Belopp (euro). Tabellen visar information om ESF+, Eruf, Sammanhållningsfonden och FRO, jämställdhetsdimensionen."/>
      </w:tblPr>
      <w:tblGrid>
        <w:gridCol w:w="1371"/>
        <w:gridCol w:w="1551"/>
        <w:gridCol w:w="836"/>
        <w:gridCol w:w="6793"/>
        <w:gridCol w:w="2976"/>
        <w:gridCol w:w="1645"/>
      </w:tblGrid>
      <w:tr w:rsidR="003422DB" w:rsidRPr="00800D1B" w14:paraId="2D0657B3" w14:textId="77777777" w:rsidTr="00315434">
        <w:tc>
          <w:tcPr>
            <w:tcW w:w="0" w:type="auto"/>
          </w:tcPr>
          <w:p w14:paraId="2D0657AD" w14:textId="77777777" w:rsidR="00A77B3E" w:rsidRPr="00800D1B" w:rsidRDefault="00623E14" w:rsidP="00315434">
            <w:pPr>
              <w:spacing w:before="100" w:after="100"/>
              <w:jc w:val="center"/>
              <w:rPr>
                <w:color w:val="000000"/>
                <w:sz w:val="20"/>
                <w:lang w:val="sv-SE"/>
              </w:rPr>
            </w:pPr>
            <w:r w:rsidRPr="00800D1B">
              <w:rPr>
                <w:color w:val="000000"/>
                <w:sz w:val="20"/>
                <w:lang w:val="sv-SE"/>
              </w:rPr>
              <w:t>Prioritering</w:t>
            </w:r>
          </w:p>
        </w:tc>
        <w:tc>
          <w:tcPr>
            <w:tcW w:w="0" w:type="auto"/>
          </w:tcPr>
          <w:p w14:paraId="2D0657AE" w14:textId="77777777" w:rsidR="00A77B3E" w:rsidRPr="00800D1B" w:rsidRDefault="00623E14" w:rsidP="00315434">
            <w:pPr>
              <w:spacing w:before="100" w:after="100"/>
              <w:jc w:val="center"/>
              <w:rPr>
                <w:color w:val="000000"/>
                <w:sz w:val="20"/>
                <w:lang w:val="sv-SE"/>
              </w:rPr>
            </w:pPr>
            <w:r w:rsidRPr="00800D1B">
              <w:rPr>
                <w:color w:val="000000"/>
                <w:sz w:val="20"/>
                <w:lang w:val="sv-SE"/>
              </w:rPr>
              <w:t>Specifikt mål</w:t>
            </w:r>
          </w:p>
        </w:tc>
        <w:tc>
          <w:tcPr>
            <w:tcW w:w="0" w:type="auto"/>
          </w:tcPr>
          <w:p w14:paraId="2D0657AF" w14:textId="77777777" w:rsidR="00A77B3E" w:rsidRPr="00800D1B" w:rsidRDefault="00623E14" w:rsidP="00315434">
            <w:pPr>
              <w:spacing w:before="100" w:after="100"/>
              <w:jc w:val="center"/>
              <w:rPr>
                <w:color w:val="000000"/>
                <w:sz w:val="20"/>
                <w:lang w:val="sv-SE"/>
              </w:rPr>
            </w:pPr>
            <w:r w:rsidRPr="00800D1B">
              <w:rPr>
                <w:color w:val="000000"/>
                <w:sz w:val="20"/>
                <w:lang w:val="sv-SE"/>
              </w:rPr>
              <w:t>Fond</w:t>
            </w:r>
          </w:p>
        </w:tc>
        <w:tc>
          <w:tcPr>
            <w:tcW w:w="0" w:type="auto"/>
          </w:tcPr>
          <w:p w14:paraId="2D0657B0" w14:textId="77777777" w:rsidR="00A77B3E" w:rsidRPr="00800D1B" w:rsidRDefault="00623E14" w:rsidP="00315434">
            <w:pPr>
              <w:spacing w:before="100" w:after="100"/>
              <w:jc w:val="center"/>
              <w:rPr>
                <w:color w:val="000000"/>
                <w:sz w:val="20"/>
                <w:lang w:val="sv-SE"/>
              </w:rPr>
            </w:pPr>
            <w:r w:rsidRPr="00800D1B">
              <w:rPr>
                <w:color w:val="000000"/>
                <w:sz w:val="20"/>
                <w:lang w:val="sv-SE"/>
              </w:rPr>
              <w:t>Regionkategori</w:t>
            </w:r>
          </w:p>
        </w:tc>
        <w:tc>
          <w:tcPr>
            <w:tcW w:w="0" w:type="auto"/>
          </w:tcPr>
          <w:p w14:paraId="2D0657B1" w14:textId="77777777" w:rsidR="00A77B3E" w:rsidRPr="00800D1B" w:rsidRDefault="00623E14" w:rsidP="00315434">
            <w:pPr>
              <w:spacing w:before="100" w:after="100"/>
              <w:jc w:val="center"/>
              <w:rPr>
                <w:color w:val="000000"/>
                <w:sz w:val="20"/>
                <w:lang w:val="sv-SE"/>
              </w:rPr>
            </w:pPr>
            <w:r w:rsidRPr="00800D1B">
              <w:rPr>
                <w:color w:val="000000"/>
                <w:sz w:val="20"/>
                <w:lang w:val="sv-SE"/>
              </w:rPr>
              <w:t>Kod</w:t>
            </w:r>
          </w:p>
        </w:tc>
        <w:tc>
          <w:tcPr>
            <w:tcW w:w="0" w:type="auto"/>
          </w:tcPr>
          <w:p w14:paraId="2D0657B2" w14:textId="77777777" w:rsidR="00A77B3E" w:rsidRPr="00800D1B" w:rsidRDefault="00623E14" w:rsidP="00315434">
            <w:pPr>
              <w:spacing w:before="100" w:after="100"/>
              <w:jc w:val="center"/>
              <w:rPr>
                <w:color w:val="000000"/>
                <w:sz w:val="20"/>
                <w:lang w:val="sv-SE"/>
              </w:rPr>
            </w:pPr>
            <w:r w:rsidRPr="00800D1B">
              <w:rPr>
                <w:color w:val="000000"/>
                <w:sz w:val="20"/>
                <w:lang w:val="sv-SE"/>
              </w:rPr>
              <w:t>Belopp (euro)</w:t>
            </w:r>
          </w:p>
        </w:tc>
      </w:tr>
      <w:tr w:rsidR="003422DB" w:rsidRPr="00800D1B" w14:paraId="2D0657BA" w14:textId="77777777" w:rsidTr="00315434">
        <w:tc>
          <w:tcPr>
            <w:tcW w:w="0" w:type="auto"/>
          </w:tcPr>
          <w:p w14:paraId="2D0657B4" w14:textId="77777777" w:rsidR="00A77B3E" w:rsidRPr="00800D1B" w:rsidRDefault="00623E14" w:rsidP="00315434">
            <w:pPr>
              <w:spacing w:before="100" w:after="100"/>
              <w:rPr>
                <w:color w:val="000000"/>
                <w:sz w:val="20"/>
                <w:lang w:val="sv-SE"/>
              </w:rPr>
            </w:pPr>
            <w:r w:rsidRPr="00800D1B">
              <w:rPr>
                <w:color w:val="000000"/>
                <w:sz w:val="20"/>
                <w:lang w:val="sv-SE"/>
              </w:rPr>
              <w:t>1</w:t>
            </w:r>
          </w:p>
        </w:tc>
        <w:tc>
          <w:tcPr>
            <w:tcW w:w="0" w:type="auto"/>
          </w:tcPr>
          <w:p w14:paraId="2D0657B5" w14:textId="77777777" w:rsidR="00A77B3E" w:rsidRPr="00800D1B" w:rsidRDefault="00623E14" w:rsidP="00315434">
            <w:pPr>
              <w:spacing w:before="100" w:after="100"/>
              <w:rPr>
                <w:color w:val="000000"/>
                <w:sz w:val="20"/>
                <w:lang w:val="sv-SE"/>
              </w:rPr>
            </w:pPr>
            <w:r w:rsidRPr="00800D1B">
              <w:rPr>
                <w:color w:val="000000"/>
                <w:sz w:val="20"/>
                <w:lang w:val="sv-SE"/>
              </w:rPr>
              <w:t>RSO1.1</w:t>
            </w:r>
          </w:p>
        </w:tc>
        <w:tc>
          <w:tcPr>
            <w:tcW w:w="0" w:type="auto"/>
          </w:tcPr>
          <w:p w14:paraId="2D0657B6" w14:textId="77777777" w:rsidR="00A77B3E" w:rsidRPr="00800D1B" w:rsidRDefault="00623E14" w:rsidP="00315434">
            <w:pPr>
              <w:spacing w:before="100" w:after="100"/>
              <w:rPr>
                <w:color w:val="000000"/>
                <w:sz w:val="20"/>
                <w:lang w:val="sv-SE"/>
              </w:rPr>
            </w:pPr>
            <w:r w:rsidRPr="00800D1B">
              <w:rPr>
                <w:color w:val="000000"/>
                <w:sz w:val="20"/>
                <w:lang w:val="sv-SE"/>
              </w:rPr>
              <w:t>Eruf</w:t>
            </w:r>
          </w:p>
        </w:tc>
        <w:tc>
          <w:tcPr>
            <w:tcW w:w="0" w:type="auto"/>
          </w:tcPr>
          <w:p w14:paraId="2D0657B7" w14:textId="77777777" w:rsidR="00A77B3E" w:rsidRPr="00800D1B" w:rsidRDefault="00623E14" w:rsidP="00315434">
            <w:pPr>
              <w:spacing w:before="100" w:after="100"/>
              <w:rPr>
                <w:color w:val="000000"/>
                <w:sz w:val="20"/>
                <w:lang w:val="sv-SE"/>
              </w:rPr>
            </w:pPr>
            <w:r w:rsidRPr="00800D1B">
              <w:rPr>
                <w:color w:val="000000"/>
                <w:sz w:val="20"/>
                <w:lang w:val="sv-SE"/>
              </w:rPr>
              <w:t>Mer utvecklade regioner</w:t>
            </w:r>
          </w:p>
        </w:tc>
        <w:tc>
          <w:tcPr>
            <w:tcW w:w="0" w:type="auto"/>
          </w:tcPr>
          <w:p w14:paraId="2D0657B8" w14:textId="77777777" w:rsidR="00A77B3E" w:rsidRPr="00800D1B" w:rsidRDefault="00623E14" w:rsidP="00315434">
            <w:pPr>
              <w:spacing w:before="100" w:after="100"/>
              <w:rPr>
                <w:color w:val="000000"/>
                <w:sz w:val="20"/>
                <w:lang w:val="sv-SE"/>
              </w:rPr>
            </w:pPr>
            <w:r w:rsidRPr="00800D1B">
              <w:rPr>
                <w:color w:val="000000"/>
                <w:sz w:val="20"/>
                <w:lang w:val="sv-SE"/>
              </w:rPr>
              <w:t>02. Jämställdhetsintegrering</w:t>
            </w:r>
          </w:p>
        </w:tc>
        <w:tc>
          <w:tcPr>
            <w:tcW w:w="0" w:type="auto"/>
          </w:tcPr>
          <w:p w14:paraId="2D0657B9" w14:textId="77777777" w:rsidR="00A77B3E" w:rsidRPr="00800D1B" w:rsidRDefault="00623E14" w:rsidP="00315434">
            <w:pPr>
              <w:spacing w:before="100" w:after="100"/>
              <w:jc w:val="right"/>
              <w:rPr>
                <w:color w:val="000000"/>
                <w:sz w:val="20"/>
                <w:lang w:val="sv-SE"/>
              </w:rPr>
            </w:pPr>
            <w:r w:rsidRPr="00800D1B">
              <w:rPr>
                <w:color w:val="000000"/>
                <w:sz w:val="20"/>
                <w:lang w:val="sv-SE"/>
              </w:rPr>
              <w:t>11 117 857,00</w:t>
            </w:r>
          </w:p>
        </w:tc>
      </w:tr>
      <w:tr w:rsidR="003422DB" w:rsidRPr="00800D1B" w14:paraId="2D0657C1" w14:textId="77777777" w:rsidTr="00315434">
        <w:tc>
          <w:tcPr>
            <w:tcW w:w="0" w:type="auto"/>
          </w:tcPr>
          <w:p w14:paraId="2D0657BB" w14:textId="77777777" w:rsidR="00A77B3E" w:rsidRPr="00800D1B" w:rsidRDefault="00623E14" w:rsidP="00315434">
            <w:pPr>
              <w:spacing w:before="100" w:after="100"/>
              <w:rPr>
                <w:color w:val="000000"/>
                <w:sz w:val="20"/>
                <w:lang w:val="sv-SE"/>
              </w:rPr>
            </w:pPr>
            <w:r w:rsidRPr="00800D1B">
              <w:rPr>
                <w:color w:val="000000"/>
                <w:sz w:val="20"/>
                <w:lang w:val="sv-SE"/>
              </w:rPr>
              <w:t>1</w:t>
            </w:r>
          </w:p>
        </w:tc>
        <w:tc>
          <w:tcPr>
            <w:tcW w:w="0" w:type="auto"/>
          </w:tcPr>
          <w:p w14:paraId="2D0657BC" w14:textId="77777777" w:rsidR="00A77B3E" w:rsidRPr="00800D1B" w:rsidRDefault="00623E14" w:rsidP="00315434">
            <w:pPr>
              <w:spacing w:before="100" w:after="100"/>
              <w:rPr>
                <w:color w:val="000000"/>
                <w:sz w:val="20"/>
                <w:lang w:val="sv-SE"/>
              </w:rPr>
            </w:pPr>
            <w:r w:rsidRPr="00800D1B">
              <w:rPr>
                <w:color w:val="000000"/>
                <w:sz w:val="20"/>
                <w:lang w:val="sv-SE"/>
              </w:rPr>
              <w:t>RSO1.1</w:t>
            </w:r>
          </w:p>
        </w:tc>
        <w:tc>
          <w:tcPr>
            <w:tcW w:w="0" w:type="auto"/>
          </w:tcPr>
          <w:p w14:paraId="2D0657BD" w14:textId="77777777" w:rsidR="00A77B3E" w:rsidRPr="00800D1B" w:rsidRDefault="00623E14" w:rsidP="00315434">
            <w:pPr>
              <w:spacing w:before="100" w:after="100"/>
              <w:rPr>
                <w:color w:val="000000"/>
                <w:sz w:val="20"/>
                <w:lang w:val="sv-SE"/>
              </w:rPr>
            </w:pPr>
            <w:r w:rsidRPr="00800D1B">
              <w:rPr>
                <w:color w:val="000000"/>
                <w:sz w:val="20"/>
                <w:lang w:val="sv-SE"/>
              </w:rPr>
              <w:t>Eruf</w:t>
            </w:r>
          </w:p>
        </w:tc>
        <w:tc>
          <w:tcPr>
            <w:tcW w:w="0" w:type="auto"/>
          </w:tcPr>
          <w:p w14:paraId="2D0657BE" w14:textId="77777777" w:rsidR="00A77B3E" w:rsidRPr="00800D1B" w:rsidRDefault="00623E14" w:rsidP="00315434">
            <w:pPr>
              <w:spacing w:before="100" w:after="100"/>
              <w:rPr>
                <w:color w:val="000000"/>
                <w:sz w:val="20"/>
                <w:lang w:val="sv-SE"/>
              </w:rPr>
            </w:pPr>
            <w:r w:rsidRPr="00800D1B">
              <w:rPr>
                <w:color w:val="000000"/>
                <w:sz w:val="20"/>
                <w:lang w:val="sv-SE"/>
              </w:rPr>
              <w:t>Mer utvecklade regioner</w:t>
            </w:r>
          </w:p>
        </w:tc>
        <w:tc>
          <w:tcPr>
            <w:tcW w:w="0" w:type="auto"/>
          </w:tcPr>
          <w:p w14:paraId="2D0657BF" w14:textId="77777777" w:rsidR="00A77B3E" w:rsidRPr="00800D1B" w:rsidRDefault="00623E14" w:rsidP="00315434">
            <w:pPr>
              <w:spacing w:before="100" w:after="100"/>
              <w:rPr>
                <w:color w:val="000000"/>
                <w:sz w:val="20"/>
                <w:lang w:val="sv-SE"/>
              </w:rPr>
            </w:pPr>
            <w:r w:rsidRPr="00800D1B">
              <w:rPr>
                <w:color w:val="000000"/>
                <w:sz w:val="20"/>
                <w:lang w:val="sv-SE"/>
              </w:rPr>
              <w:t>03. Könsneutralitet</w:t>
            </w:r>
          </w:p>
        </w:tc>
        <w:tc>
          <w:tcPr>
            <w:tcW w:w="0" w:type="auto"/>
          </w:tcPr>
          <w:p w14:paraId="2D0657C0" w14:textId="77777777" w:rsidR="00A77B3E" w:rsidRPr="00800D1B" w:rsidRDefault="00623E14" w:rsidP="00315434">
            <w:pPr>
              <w:spacing w:before="100" w:after="100"/>
              <w:jc w:val="right"/>
              <w:rPr>
                <w:color w:val="000000"/>
                <w:sz w:val="20"/>
                <w:lang w:val="sv-SE"/>
              </w:rPr>
            </w:pPr>
            <w:r w:rsidRPr="00800D1B">
              <w:rPr>
                <w:color w:val="000000"/>
                <w:sz w:val="20"/>
                <w:lang w:val="sv-SE"/>
              </w:rPr>
              <w:t>16 676 787,00</w:t>
            </w:r>
          </w:p>
        </w:tc>
      </w:tr>
      <w:tr w:rsidR="003422DB" w:rsidRPr="00800D1B" w14:paraId="2D0657C8" w14:textId="77777777" w:rsidTr="00315434">
        <w:tc>
          <w:tcPr>
            <w:tcW w:w="0" w:type="auto"/>
          </w:tcPr>
          <w:p w14:paraId="2D0657C2" w14:textId="77777777" w:rsidR="00A77B3E" w:rsidRPr="00800D1B" w:rsidRDefault="00623E14" w:rsidP="00315434">
            <w:pPr>
              <w:spacing w:before="100" w:after="100"/>
              <w:rPr>
                <w:color w:val="000000"/>
                <w:sz w:val="20"/>
                <w:lang w:val="sv-SE"/>
              </w:rPr>
            </w:pPr>
            <w:r w:rsidRPr="00800D1B">
              <w:rPr>
                <w:color w:val="000000"/>
                <w:sz w:val="20"/>
                <w:lang w:val="sv-SE"/>
              </w:rPr>
              <w:t>1</w:t>
            </w:r>
          </w:p>
        </w:tc>
        <w:tc>
          <w:tcPr>
            <w:tcW w:w="0" w:type="auto"/>
          </w:tcPr>
          <w:p w14:paraId="2D0657C3" w14:textId="77777777" w:rsidR="00A77B3E" w:rsidRPr="00800D1B" w:rsidRDefault="00623E14" w:rsidP="00315434">
            <w:pPr>
              <w:spacing w:before="100" w:after="100"/>
              <w:rPr>
                <w:color w:val="000000"/>
                <w:sz w:val="20"/>
                <w:lang w:val="sv-SE"/>
              </w:rPr>
            </w:pPr>
            <w:r w:rsidRPr="00800D1B">
              <w:rPr>
                <w:color w:val="000000"/>
                <w:sz w:val="20"/>
                <w:lang w:val="sv-SE"/>
              </w:rPr>
              <w:t>RSO1.1</w:t>
            </w:r>
          </w:p>
        </w:tc>
        <w:tc>
          <w:tcPr>
            <w:tcW w:w="0" w:type="auto"/>
          </w:tcPr>
          <w:p w14:paraId="2D0657C4" w14:textId="77777777" w:rsidR="00A77B3E" w:rsidRPr="00800D1B" w:rsidRDefault="00623E14" w:rsidP="00315434">
            <w:pPr>
              <w:spacing w:before="100" w:after="100"/>
              <w:rPr>
                <w:color w:val="000000"/>
                <w:sz w:val="20"/>
                <w:lang w:val="sv-SE"/>
              </w:rPr>
            </w:pPr>
            <w:r w:rsidRPr="00800D1B">
              <w:rPr>
                <w:color w:val="000000"/>
                <w:sz w:val="20"/>
                <w:lang w:val="sv-SE"/>
              </w:rPr>
              <w:t>Eruf</w:t>
            </w:r>
          </w:p>
        </w:tc>
        <w:tc>
          <w:tcPr>
            <w:tcW w:w="0" w:type="auto"/>
          </w:tcPr>
          <w:p w14:paraId="2D0657C5" w14:textId="77777777" w:rsidR="00A77B3E" w:rsidRPr="00800D1B" w:rsidRDefault="00623E14" w:rsidP="00315434">
            <w:pPr>
              <w:spacing w:before="100" w:after="100"/>
              <w:rPr>
                <w:color w:val="000000"/>
                <w:sz w:val="20"/>
                <w:lang w:val="sv-SE"/>
              </w:rPr>
            </w:pPr>
            <w:r w:rsidRPr="00800D1B">
              <w:rPr>
                <w:color w:val="000000"/>
                <w:sz w:val="20"/>
                <w:lang w:val="sv-SE"/>
              </w:rPr>
              <w:t>De yttersta randområdena eller de nordliga glesbefolkade områdena</w:t>
            </w:r>
          </w:p>
        </w:tc>
        <w:tc>
          <w:tcPr>
            <w:tcW w:w="0" w:type="auto"/>
          </w:tcPr>
          <w:p w14:paraId="2D0657C6" w14:textId="77777777" w:rsidR="00A77B3E" w:rsidRPr="00800D1B" w:rsidRDefault="00623E14" w:rsidP="00315434">
            <w:pPr>
              <w:spacing w:before="100" w:after="100"/>
              <w:rPr>
                <w:color w:val="000000"/>
                <w:sz w:val="20"/>
                <w:lang w:val="sv-SE"/>
              </w:rPr>
            </w:pPr>
            <w:r w:rsidRPr="00800D1B">
              <w:rPr>
                <w:color w:val="000000"/>
                <w:sz w:val="20"/>
                <w:lang w:val="sv-SE"/>
              </w:rPr>
              <w:t>02. Jämställdhetsintegrering</w:t>
            </w:r>
          </w:p>
        </w:tc>
        <w:tc>
          <w:tcPr>
            <w:tcW w:w="0" w:type="auto"/>
          </w:tcPr>
          <w:p w14:paraId="2D0657C7" w14:textId="77777777" w:rsidR="00A77B3E" w:rsidRPr="00800D1B" w:rsidRDefault="00623E14" w:rsidP="00315434">
            <w:pPr>
              <w:spacing w:before="100" w:after="100"/>
              <w:jc w:val="right"/>
              <w:rPr>
                <w:color w:val="000000"/>
                <w:sz w:val="20"/>
                <w:lang w:val="sv-SE"/>
              </w:rPr>
            </w:pPr>
            <w:r w:rsidRPr="00800D1B">
              <w:rPr>
                <w:color w:val="000000"/>
                <w:sz w:val="20"/>
                <w:lang w:val="sv-SE"/>
              </w:rPr>
              <w:t>2 138 232,00</w:t>
            </w:r>
          </w:p>
        </w:tc>
      </w:tr>
      <w:tr w:rsidR="003422DB" w:rsidRPr="00800D1B" w14:paraId="2D0657CF" w14:textId="77777777" w:rsidTr="00315434">
        <w:tc>
          <w:tcPr>
            <w:tcW w:w="0" w:type="auto"/>
          </w:tcPr>
          <w:p w14:paraId="2D0657C9" w14:textId="77777777" w:rsidR="00A77B3E" w:rsidRPr="00800D1B" w:rsidRDefault="00623E14" w:rsidP="00315434">
            <w:pPr>
              <w:spacing w:before="100" w:after="100"/>
              <w:rPr>
                <w:color w:val="000000"/>
                <w:sz w:val="20"/>
                <w:lang w:val="sv-SE"/>
              </w:rPr>
            </w:pPr>
            <w:r w:rsidRPr="00800D1B">
              <w:rPr>
                <w:color w:val="000000"/>
                <w:sz w:val="20"/>
                <w:lang w:val="sv-SE"/>
              </w:rPr>
              <w:t>1</w:t>
            </w:r>
          </w:p>
        </w:tc>
        <w:tc>
          <w:tcPr>
            <w:tcW w:w="0" w:type="auto"/>
          </w:tcPr>
          <w:p w14:paraId="2D0657CA" w14:textId="77777777" w:rsidR="00A77B3E" w:rsidRPr="00800D1B" w:rsidRDefault="00623E14" w:rsidP="00315434">
            <w:pPr>
              <w:spacing w:before="100" w:after="100"/>
              <w:rPr>
                <w:color w:val="000000"/>
                <w:sz w:val="20"/>
                <w:lang w:val="sv-SE"/>
              </w:rPr>
            </w:pPr>
            <w:r w:rsidRPr="00800D1B">
              <w:rPr>
                <w:color w:val="000000"/>
                <w:sz w:val="20"/>
                <w:lang w:val="sv-SE"/>
              </w:rPr>
              <w:t>RSO1.1</w:t>
            </w:r>
          </w:p>
        </w:tc>
        <w:tc>
          <w:tcPr>
            <w:tcW w:w="0" w:type="auto"/>
          </w:tcPr>
          <w:p w14:paraId="2D0657CB" w14:textId="77777777" w:rsidR="00A77B3E" w:rsidRPr="00800D1B" w:rsidRDefault="00623E14" w:rsidP="00315434">
            <w:pPr>
              <w:spacing w:before="100" w:after="100"/>
              <w:rPr>
                <w:color w:val="000000"/>
                <w:sz w:val="20"/>
                <w:lang w:val="sv-SE"/>
              </w:rPr>
            </w:pPr>
            <w:r w:rsidRPr="00800D1B">
              <w:rPr>
                <w:color w:val="000000"/>
                <w:sz w:val="20"/>
                <w:lang w:val="sv-SE"/>
              </w:rPr>
              <w:t>Eruf</w:t>
            </w:r>
          </w:p>
        </w:tc>
        <w:tc>
          <w:tcPr>
            <w:tcW w:w="0" w:type="auto"/>
          </w:tcPr>
          <w:p w14:paraId="2D0657CC" w14:textId="77777777" w:rsidR="00A77B3E" w:rsidRPr="00800D1B" w:rsidRDefault="00623E14" w:rsidP="00315434">
            <w:pPr>
              <w:spacing w:before="100" w:after="100"/>
              <w:rPr>
                <w:color w:val="000000"/>
                <w:sz w:val="20"/>
                <w:lang w:val="sv-SE"/>
              </w:rPr>
            </w:pPr>
            <w:r w:rsidRPr="00800D1B">
              <w:rPr>
                <w:color w:val="000000"/>
                <w:sz w:val="20"/>
                <w:lang w:val="sv-SE"/>
              </w:rPr>
              <w:t>De yttersta randområdena eller de nordliga glesbefolkade områdena</w:t>
            </w:r>
          </w:p>
        </w:tc>
        <w:tc>
          <w:tcPr>
            <w:tcW w:w="0" w:type="auto"/>
          </w:tcPr>
          <w:p w14:paraId="2D0657CD" w14:textId="77777777" w:rsidR="00A77B3E" w:rsidRPr="00800D1B" w:rsidRDefault="00623E14" w:rsidP="00315434">
            <w:pPr>
              <w:spacing w:before="100" w:after="100"/>
              <w:rPr>
                <w:color w:val="000000"/>
                <w:sz w:val="20"/>
                <w:lang w:val="sv-SE"/>
              </w:rPr>
            </w:pPr>
            <w:r w:rsidRPr="00800D1B">
              <w:rPr>
                <w:color w:val="000000"/>
                <w:sz w:val="20"/>
                <w:lang w:val="sv-SE"/>
              </w:rPr>
              <w:t>03. Könsneutralitet</w:t>
            </w:r>
          </w:p>
        </w:tc>
        <w:tc>
          <w:tcPr>
            <w:tcW w:w="0" w:type="auto"/>
          </w:tcPr>
          <w:p w14:paraId="2D0657CE" w14:textId="77777777" w:rsidR="00A77B3E" w:rsidRPr="00800D1B" w:rsidRDefault="00623E14" w:rsidP="00315434">
            <w:pPr>
              <w:spacing w:before="100" w:after="100"/>
              <w:jc w:val="right"/>
              <w:rPr>
                <w:color w:val="000000"/>
                <w:sz w:val="20"/>
                <w:lang w:val="sv-SE"/>
              </w:rPr>
            </w:pPr>
            <w:r w:rsidRPr="00800D1B">
              <w:rPr>
                <w:color w:val="000000"/>
                <w:sz w:val="20"/>
                <w:lang w:val="sv-SE"/>
              </w:rPr>
              <w:t>3 207 347,00</w:t>
            </w:r>
          </w:p>
        </w:tc>
      </w:tr>
      <w:tr w:rsidR="003422DB" w:rsidRPr="00800D1B" w14:paraId="2D0657D6" w14:textId="77777777" w:rsidTr="00315434">
        <w:tc>
          <w:tcPr>
            <w:tcW w:w="0" w:type="auto"/>
          </w:tcPr>
          <w:p w14:paraId="2D0657D0" w14:textId="77777777" w:rsidR="00A77B3E" w:rsidRPr="00800D1B" w:rsidRDefault="00623E14" w:rsidP="00315434">
            <w:pPr>
              <w:spacing w:before="100" w:after="100"/>
              <w:rPr>
                <w:color w:val="000000"/>
                <w:sz w:val="20"/>
                <w:lang w:val="sv-SE"/>
              </w:rPr>
            </w:pPr>
            <w:r w:rsidRPr="00800D1B">
              <w:rPr>
                <w:color w:val="000000"/>
                <w:sz w:val="20"/>
                <w:lang w:val="sv-SE"/>
              </w:rPr>
              <w:t>1</w:t>
            </w:r>
          </w:p>
        </w:tc>
        <w:tc>
          <w:tcPr>
            <w:tcW w:w="0" w:type="auto"/>
          </w:tcPr>
          <w:p w14:paraId="2D0657D1" w14:textId="77777777" w:rsidR="00A77B3E" w:rsidRPr="00800D1B" w:rsidRDefault="00623E14" w:rsidP="00315434">
            <w:pPr>
              <w:spacing w:before="100" w:after="100"/>
              <w:rPr>
                <w:color w:val="000000"/>
                <w:sz w:val="20"/>
                <w:lang w:val="sv-SE"/>
              </w:rPr>
            </w:pPr>
            <w:r w:rsidRPr="00800D1B">
              <w:rPr>
                <w:color w:val="000000"/>
                <w:sz w:val="20"/>
                <w:lang w:val="sv-SE"/>
              </w:rPr>
              <w:t>RSO1.1</w:t>
            </w:r>
          </w:p>
        </w:tc>
        <w:tc>
          <w:tcPr>
            <w:tcW w:w="0" w:type="auto"/>
          </w:tcPr>
          <w:p w14:paraId="2D0657D2" w14:textId="77777777" w:rsidR="00A77B3E" w:rsidRPr="00800D1B" w:rsidRDefault="00623E14" w:rsidP="00315434">
            <w:pPr>
              <w:spacing w:before="100" w:after="100"/>
              <w:rPr>
                <w:color w:val="000000"/>
                <w:sz w:val="20"/>
                <w:lang w:val="sv-SE"/>
              </w:rPr>
            </w:pPr>
            <w:r w:rsidRPr="00800D1B">
              <w:rPr>
                <w:color w:val="000000"/>
                <w:sz w:val="20"/>
                <w:lang w:val="sv-SE"/>
              </w:rPr>
              <w:t>Totalt</w:t>
            </w:r>
          </w:p>
        </w:tc>
        <w:tc>
          <w:tcPr>
            <w:tcW w:w="0" w:type="auto"/>
          </w:tcPr>
          <w:p w14:paraId="2D0657D3" w14:textId="77777777" w:rsidR="00A77B3E" w:rsidRPr="00800D1B" w:rsidRDefault="00A77B3E" w:rsidP="00315434">
            <w:pPr>
              <w:spacing w:before="100" w:after="100"/>
              <w:rPr>
                <w:color w:val="000000"/>
                <w:sz w:val="20"/>
                <w:lang w:val="sv-SE"/>
              </w:rPr>
            </w:pPr>
          </w:p>
        </w:tc>
        <w:tc>
          <w:tcPr>
            <w:tcW w:w="0" w:type="auto"/>
          </w:tcPr>
          <w:p w14:paraId="2D0657D4" w14:textId="77777777" w:rsidR="00A77B3E" w:rsidRPr="00800D1B" w:rsidRDefault="00A77B3E" w:rsidP="00315434">
            <w:pPr>
              <w:spacing w:before="100" w:after="100"/>
              <w:rPr>
                <w:color w:val="000000"/>
                <w:sz w:val="20"/>
                <w:lang w:val="sv-SE"/>
              </w:rPr>
            </w:pPr>
          </w:p>
        </w:tc>
        <w:tc>
          <w:tcPr>
            <w:tcW w:w="0" w:type="auto"/>
          </w:tcPr>
          <w:p w14:paraId="2D0657D5" w14:textId="77777777" w:rsidR="00A77B3E" w:rsidRPr="00800D1B" w:rsidRDefault="00623E14" w:rsidP="00315434">
            <w:pPr>
              <w:spacing w:before="100" w:after="100"/>
              <w:jc w:val="right"/>
              <w:rPr>
                <w:color w:val="000000"/>
                <w:sz w:val="20"/>
                <w:lang w:val="sv-SE"/>
              </w:rPr>
            </w:pPr>
            <w:r w:rsidRPr="00800D1B">
              <w:rPr>
                <w:color w:val="000000"/>
                <w:sz w:val="20"/>
                <w:lang w:val="sv-SE"/>
              </w:rPr>
              <w:t>33 140 223,00</w:t>
            </w:r>
          </w:p>
        </w:tc>
      </w:tr>
    </w:tbl>
    <w:p w14:paraId="15C23CC4" w14:textId="229146BB" w:rsidR="00547E58" w:rsidRPr="00800D1B" w:rsidRDefault="00623E14" w:rsidP="00E80029">
      <w:pPr>
        <w:spacing w:before="100"/>
        <w:rPr>
          <w:color w:val="000000"/>
          <w:sz w:val="20"/>
          <w:lang w:val="sv-SE"/>
        </w:rPr>
      </w:pPr>
      <w:r w:rsidRPr="00800D1B">
        <w:rPr>
          <w:color w:val="000000"/>
          <w:sz w:val="20"/>
          <w:lang w:val="sv-SE"/>
        </w:rPr>
        <w:t>* För ESF+ bidrar i princip 40 % av ESF+-medlen till uppföljning av jämställdheten. 100 % är tillämpligt när medlemsstaten väljer att använda artikel 6 i ESF+</w:t>
      </w:r>
    </w:p>
    <w:p w14:paraId="1C9927CF" w14:textId="77777777" w:rsidR="00547E58" w:rsidRPr="00800D1B" w:rsidRDefault="00547E58" w:rsidP="00547E58">
      <w:pPr>
        <w:rPr>
          <w:lang w:val="sv-SE"/>
        </w:rPr>
        <w:sectPr w:rsidR="00547E58" w:rsidRPr="00800D1B" w:rsidSect="001D014A">
          <w:pgSz w:w="16838" w:h="11906" w:orient="landscape" w:code="9"/>
          <w:pgMar w:top="720" w:right="720" w:bottom="864" w:left="936" w:header="288" w:footer="72" w:gutter="0"/>
          <w:cols w:space="720"/>
          <w:noEndnote/>
          <w:docGrid w:linePitch="360"/>
        </w:sectPr>
      </w:pPr>
    </w:p>
    <w:p w14:paraId="2D0657D8" w14:textId="3C3B1829" w:rsidR="00A77B3E" w:rsidRPr="00800D1B" w:rsidRDefault="00623E14">
      <w:pPr>
        <w:pStyle w:val="Rubrik4"/>
        <w:numPr>
          <w:ilvl w:val="2"/>
          <w:numId w:val="90"/>
        </w:numPr>
        <w:tabs>
          <w:tab w:val="clear" w:pos="720"/>
          <w:tab w:val="left" w:pos="540"/>
        </w:tabs>
        <w:spacing w:before="200"/>
        <w:ind w:left="360"/>
      </w:pPr>
      <w:bookmarkStart w:id="22" w:name="_Toc256000263"/>
      <w:r w:rsidRPr="00800D1B">
        <w:t>Prioritering: 2. Utveckla bredbandskapaciteten (Det specifika målet för digital konnektivitet i artikel 3.1 a v i förordningen om Eruf och Sammanhållningsfonden) (Det specifika målet för digital konnektivitet i artikel 3.1 a v i förordningen om Eruf och Sammanhållningsfonden)</w:t>
      </w:r>
      <w:bookmarkEnd w:id="22"/>
    </w:p>
    <w:p w14:paraId="2D0657D9" w14:textId="77777777" w:rsidR="00A77B3E" w:rsidRPr="00800D1B" w:rsidRDefault="00A77B3E">
      <w:pPr>
        <w:spacing w:before="100"/>
        <w:rPr>
          <w:color w:val="000000"/>
          <w:sz w:val="0"/>
          <w:lang w:val="sv-SE"/>
        </w:rPr>
      </w:pPr>
    </w:p>
    <w:p w14:paraId="2D0657DA" w14:textId="31113FBC" w:rsidR="00A77B3E" w:rsidRPr="00800D1B" w:rsidRDefault="00623E14">
      <w:pPr>
        <w:pStyle w:val="Rubrik5"/>
        <w:numPr>
          <w:ilvl w:val="3"/>
          <w:numId w:val="47"/>
        </w:numPr>
        <w:ind w:left="360"/>
      </w:pPr>
      <w:bookmarkStart w:id="23" w:name="_Toc256000264"/>
      <w:r w:rsidRPr="00800D1B">
        <w:t>Specifikt mål: RSO1.5. Förbättra den digitala konnektiviteten (Eruf)</w:t>
      </w:r>
      <w:bookmarkEnd w:id="23"/>
    </w:p>
    <w:p w14:paraId="2D0657DB" w14:textId="77777777" w:rsidR="00A77B3E" w:rsidRPr="00800D1B" w:rsidRDefault="00A77B3E">
      <w:pPr>
        <w:spacing w:before="100"/>
        <w:rPr>
          <w:color w:val="000000"/>
          <w:sz w:val="0"/>
          <w:lang w:val="sv-SE"/>
        </w:rPr>
      </w:pPr>
    </w:p>
    <w:p w14:paraId="2D0657DC" w14:textId="4EA2DC3F" w:rsidR="00A77B3E" w:rsidRPr="00800D1B" w:rsidRDefault="00623E14">
      <w:pPr>
        <w:pStyle w:val="Rubrik6"/>
        <w:numPr>
          <w:ilvl w:val="4"/>
          <w:numId w:val="7"/>
        </w:numPr>
        <w:ind w:left="360"/>
      </w:pPr>
      <w:bookmarkStart w:id="24" w:name="_Toc256000265"/>
      <w:r w:rsidRPr="00800D1B">
        <w:t>Interventioner inom ramen för fonderna</w:t>
      </w:r>
      <w:bookmarkEnd w:id="24"/>
    </w:p>
    <w:p w14:paraId="2D0657DD" w14:textId="77777777" w:rsidR="00A77B3E" w:rsidRPr="00800D1B" w:rsidRDefault="00A77B3E">
      <w:pPr>
        <w:spacing w:before="100"/>
        <w:rPr>
          <w:color w:val="000000"/>
          <w:sz w:val="0"/>
          <w:lang w:val="sv-SE"/>
        </w:rPr>
      </w:pPr>
    </w:p>
    <w:p w14:paraId="2D0657DE" w14:textId="77777777" w:rsidR="00A77B3E" w:rsidRPr="00800D1B" w:rsidRDefault="00623E14" w:rsidP="001A61EA">
      <w:pPr>
        <w:spacing w:before="90"/>
        <w:rPr>
          <w:color w:val="000000"/>
          <w:sz w:val="0"/>
          <w:lang w:val="sv-SE"/>
        </w:rPr>
      </w:pPr>
      <w:r w:rsidRPr="00800D1B">
        <w:rPr>
          <w:color w:val="000000"/>
          <w:lang w:val="sv-SE"/>
        </w:rPr>
        <w:t>Referens: artikel 22.3 d i, iii, iv, v, vi och vii i förordningen om gemensamma bestämmelser</w:t>
      </w:r>
    </w:p>
    <w:p w14:paraId="2D0657DF" w14:textId="30B0EFFF" w:rsidR="00A77B3E" w:rsidRPr="00800D1B" w:rsidRDefault="00623E14" w:rsidP="003D08B5">
      <w:pPr>
        <w:spacing w:before="100"/>
        <w:rPr>
          <w:lang w:val="sv-SE"/>
        </w:rPr>
      </w:pPr>
      <w:bookmarkStart w:id="25" w:name="_Toc256000266"/>
      <w:r w:rsidRPr="00800D1B">
        <w:rPr>
          <w:lang w:val="sv-SE"/>
        </w:rPr>
        <w:t>Relaterade typer av åtgärder – artikel 22.3 d i i förordningen om gemensamma bestämmelser och artikel 6 i ESF+-förordningen</w:t>
      </w:r>
      <w:bookmarkEnd w:id="25"/>
    </w:p>
    <w:p w14:paraId="0E2B786B" w14:textId="77777777" w:rsidR="003C1A26" w:rsidRPr="00800D1B" w:rsidRDefault="003C1A26" w:rsidP="006909A3">
      <w:pPr>
        <w:pBdr>
          <w:top w:val="single" w:sz="4" w:space="10" w:color="auto"/>
          <w:left w:val="single" w:sz="4" w:space="4" w:color="auto"/>
          <w:right w:val="single" w:sz="4" w:space="4" w:color="auto"/>
        </w:pBdr>
        <w:spacing w:before="240"/>
        <w:ind w:left="101" w:right="86"/>
        <w:rPr>
          <w:color w:val="000000"/>
          <w:lang w:val="sv-SE"/>
        </w:rPr>
      </w:pPr>
      <w:r w:rsidRPr="00800D1B">
        <w:rPr>
          <w:color w:val="000000"/>
          <w:lang w:val="sv-SE"/>
        </w:rPr>
        <w:t>I en glest befolkad NUTS-2 region som ÖN, är tillgången till en fungerande och hög digital täckningskapacitet en viktig förutsättning för att skapa och upprätthålla en hållbar samhällsstruktur och samhällsservice. En hög digital täckningskapacitet är en förutsättning för att säkra god utbildning, anständiga arbetsvillkor, en hållbar ekonomisk utveckling och inte minst för att öka jämställdheten och mångfalden i samhället.</w:t>
      </w:r>
    </w:p>
    <w:p w14:paraId="34B760DC" w14:textId="77777777" w:rsidR="003C1A26" w:rsidRPr="00800D1B" w:rsidRDefault="003C1A26" w:rsidP="006909A3">
      <w:pPr>
        <w:pBdr>
          <w:top w:val="single" w:sz="4" w:space="10" w:color="auto"/>
          <w:left w:val="single" w:sz="4" w:space="4" w:color="auto"/>
          <w:right w:val="single" w:sz="4" w:space="4" w:color="auto"/>
        </w:pBdr>
        <w:spacing w:before="100"/>
        <w:ind w:left="101" w:right="86"/>
        <w:rPr>
          <w:color w:val="000000"/>
          <w:lang w:val="sv-SE"/>
        </w:rPr>
      </w:pPr>
      <w:r w:rsidRPr="00800D1B">
        <w:rPr>
          <w:color w:val="000000"/>
          <w:lang w:val="sv-SE"/>
        </w:rPr>
        <w:t xml:space="preserve">Bredband med mycket hög kapacitet ger bättre möjligheter för utvecklingen av innovativa lösningar och företag. Det kan skapa stabila förutsättningar för ett globalt partnerskap och för fortsatt utveckling av regionens attraktionskraft. </w:t>
      </w:r>
    </w:p>
    <w:p w14:paraId="7A0BB667" w14:textId="77777777" w:rsidR="003C1A26" w:rsidRPr="00800D1B" w:rsidRDefault="003C1A26" w:rsidP="006909A3">
      <w:pPr>
        <w:pBdr>
          <w:top w:val="single" w:sz="4" w:space="10" w:color="auto"/>
          <w:left w:val="single" w:sz="4" w:space="4" w:color="auto"/>
          <w:right w:val="single" w:sz="4" w:space="4" w:color="auto"/>
        </w:pBdr>
        <w:spacing w:before="100"/>
        <w:ind w:left="101" w:right="86"/>
        <w:rPr>
          <w:color w:val="000000"/>
          <w:lang w:val="sv-SE"/>
        </w:rPr>
      </w:pPr>
      <w:r w:rsidRPr="00800D1B">
        <w:rPr>
          <w:color w:val="000000"/>
          <w:lang w:val="sv-SE"/>
        </w:rPr>
        <w:t>Digitalisering är viktigt för ÖNs framtida hållbara utveckling, konkurrenssituation och sysselsättning. I NUTS-2 regionen ÖN, som är ett glest befolkad område, är tillgången till bredband med mycket hög kapacitet av stor betydelse för möjligheten att arbeta, driva och utveckla företag samt för att tillhandahålla en god samhällsservice. Genom digitalisering kan avstånd, såväl fysiska som ekonomiska och sociala, förkortas både inom regionen samt till övriga regioner inom EU.</w:t>
      </w:r>
    </w:p>
    <w:p w14:paraId="2E618F7F" w14:textId="77777777" w:rsidR="003C1A26" w:rsidRPr="00800D1B" w:rsidRDefault="003C1A26" w:rsidP="006909A3">
      <w:pPr>
        <w:pBdr>
          <w:top w:val="single" w:sz="4" w:space="10" w:color="auto"/>
          <w:left w:val="single" w:sz="4" w:space="4" w:color="auto"/>
          <w:right w:val="single" w:sz="4" w:space="4" w:color="auto"/>
        </w:pBdr>
        <w:spacing w:before="100"/>
        <w:ind w:left="101" w:right="86"/>
        <w:rPr>
          <w:color w:val="000000"/>
          <w:lang w:val="sv-SE"/>
        </w:rPr>
      </w:pPr>
      <w:r w:rsidRPr="00800D1B">
        <w:rPr>
          <w:color w:val="000000"/>
          <w:lang w:val="sv-SE"/>
        </w:rPr>
        <w:t>Tillgång till bredband med högre kvalitet och kapacitet ska skapa bättre förutsättningar för utveckling av regionens existerande branscher, marknader och företag men också ge möjligheter för etablering av helt nya företag och näringar. Tillgång till bredband ger fler innovatörer, entreprenörer och företag i regionen stabilare och långsiktiga förutsättningar att utveckla effektiva, attraktiva och hållbara metoder, affärsmodeller, tjänster och produkter med syfte att nå en global marknad.</w:t>
      </w:r>
    </w:p>
    <w:p w14:paraId="6FCABB33" w14:textId="77777777" w:rsidR="003C1A26" w:rsidRPr="00800D1B" w:rsidRDefault="003C1A26" w:rsidP="006909A3">
      <w:pPr>
        <w:pBdr>
          <w:top w:val="single" w:sz="4" w:space="10" w:color="auto"/>
          <w:left w:val="single" w:sz="4" w:space="4" w:color="auto"/>
          <w:right w:val="single" w:sz="4" w:space="4" w:color="auto"/>
        </w:pBdr>
        <w:spacing w:before="100"/>
        <w:ind w:left="101" w:right="86"/>
        <w:rPr>
          <w:color w:val="000000"/>
          <w:lang w:val="sv-SE"/>
        </w:rPr>
      </w:pPr>
      <w:r w:rsidRPr="00800D1B">
        <w:rPr>
          <w:color w:val="000000"/>
          <w:lang w:val="sv-SE"/>
        </w:rPr>
        <w:t>I ÖN finns stora områden och platser som helt saknar tillgång till bredband av god kvalitet och med hög överföringskapacitet. Dessa områden präglas av få boende och långa avstånd. Det gör att aktörer inte satsar i dessa områden då det inte finns någon marknadsmässig förutsättning för utbyggnad av bredband med hög kapacitet. Investeringskostnaderna i dessa områden kommer sannolikt inte att täckas av nyttjandet vilket innebär ett marknadsmisslyckande där den fria marknaden saknar ekonomiskt underlag för en rimlig affär/investering.</w:t>
      </w:r>
    </w:p>
    <w:p w14:paraId="4F7C78FB" w14:textId="77777777" w:rsidR="003C1A26" w:rsidRPr="00800D1B" w:rsidRDefault="003C1A26" w:rsidP="006909A3">
      <w:pPr>
        <w:pBdr>
          <w:top w:val="single" w:sz="4" w:space="10" w:color="auto"/>
          <w:left w:val="single" w:sz="4" w:space="4" w:color="auto"/>
          <w:right w:val="single" w:sz="4" w:space="4" w:color="auto"/>
        </w:pBdr>
        <w:spacing w:before="100"/>
        <w:ind w:left="101" w:right="86"/>
        <w:rPr>
          <w:color w:val="000000"/>
          <w:lang w:val="sv-SE"/>
        </w:rPr>
      </w:pPr>
      <w:r w:rsidRPr="00800D1B">
        <w:rPr>
          <w:color w:val="000000"/>
          <w:lang w:val="sv-SE"/>
        </w:rPr>
        <w:t>Detta beror till stor del på att marknadsmässiga förutsättningar för utbyggnad av IT-infrastruktur saknas. En fortsatt utbyggnad av IT-infrastruktur med hög överföringskapacitet handlar om att öka tillgången till IT-infrastruktur men också att arbeta för att bibehålla, utveckla och höja kapaciteten och kvaliteten på redan etablerad infrastruktur.</w:t>
      </w:r>
    </w:p>
    <w:p w14:paraId="753A0CEC" w14:textId="77777777" w:rsidR="003C1A26" w:rsidRPr="00800D1B" w:rsidRDefault="003C1A26" w:rsidP="008E139F">
      <w:pPr>
        <w:pBdr>
          <w:left w:val="single" w:sz="4" w:space="4" w:color="auto"/>
          <w:bottom w:val="single" w:sz="4" w:space="1" w:color="auto"/>
          <w:right w:val="single" w:sz="4" w:space="4" w:color="auto"/>
        </w:pBdr>
        <w:spacing w:before="100"/>
        <w:ind w:left="101" w:right="86"/>
        <w:rPr>
          <w:color w:val="000000"/>
          <w:lang w:val="sv-SE"/>
        </w:rPr>
      </w:pPr>
      <w:r w:rsidRPr="00800D1B">
        <w:rPr>
          <w:color w:val="000000"/>
          <w:lang w:val="sv-SE"/>
        </w:rPr>
        <w:t>Eruf-medel till bredbandsutbyggnad både i access- och ortssammanbindande nät med mycket hög kapacitet är väsentligt för utvecklingen i ÖN. Stödet avser komplettera det stöd som idag kan lämnas via PTS och avses användas, t.ex. för att stödja turism och annat lokalt näringsliv i länet, eller för fastboende i ekonomiskt svaga glesbygdsområden, med negativ befolkningstillväxt. Stödet ska bidra till att nå målen i regeringens bredbandsstrategi.</w:t>
      </w:r>
    </w:p>
    <w:p w14:paraId="4F0EAE79" w14:textId="77777777" w:rsidR="003C1A26" w:rsidRPr="00800D1B" w:rsidRDefault="003C1A26" w:rsidP="009B358D">
      <w:pPr>
        <w:pBdr>
          <w:top w:val="single" w:sz="4" w:space="1" w:color="auto"/>
          <w:left w:val="single" w:sz="4" w:space="4" w:color="auto"/>
          <w:bottom w:val="single" w:sz="4" w:space="20" w:color="auto"/>
          <w:right w:val="single" w:sz="4" w:space="4" w:color="auto"/>
        </w:pBdr>
        <w:spacing w:before="100"/>
        <w:ind w:left="101" w:right="86"/>
        <w:rPr>
          <w:color w:val="000000"/>
          <w:lang w:val="sv-SE"/>
        </w:rPr>
      </w:pPr>
      <w:r w:rsidRPr="00800D1B">
        <w:rPr>
          <w:color w:val="000000"/>
          <w:lang w:val="sv-SE"/>
        </w:rPr>
        <w:t>Avsaknaden av ortssammanbindande och accessnät i programområdets glesa områden är en följd av att i delar av landet kan utbyggnad av den digitala infrastrukturen inte ske på marknadsmässig grund. Särskilt gäller detta de mer glest befolkade områdena där människor bor och arbetar. Tillgängliga offentliga medel kan dock bidra till utbyggnaden i dessa områden. Programmets investeringar i ortsammanbindande nät innebär att intäkterna, om det finns sådana, är mycket begränsade. När det gäller accessnät så är intäkterna även där begränsade p.g.a. regionens glesa struktur. Därför kommer insatser inom detta särskilda mål att finansieras genom bidrag.</w:t>
      </w:r>
    </w:p>
    <w:p w14:paraId="014831CD" w14:textId="77777777" w:rsidR="003C1A26" w:rsidRPr="00800D1B" w:rsidRDefault="003C1A26" w:rsidP="009B358D">
      <w:pPr>
        <w:pBdr>
          <w:top w:val="single" w:sz="4" w:space="1" w:color="auto"/>
          <w:left w:val="single" w:sz="4" w:space="4" w:color="auto"/>
          <w:bottom w:val="single" w:sz="4" w:space="20" w:color="auto"/>
          <w:right w:val="single" w:sz="4" w:space="4" w:color="auto"/>
        </w:pBdr>
        <w:spacing w:before="100"/>
        <w:ind w:left="101" w:right="86"/>
        <w:rPr>
          <w:color w:val="000000"/>
          <w:lang w:val="sv-SE"/>
        </w:rPr>
      </w:pPr>
      <w:r w:rsidRPr="00800D1B">
        <w:rPr>
          <w:color w:val="000000"/>
          <w:lang w:val="sv-SE"/>
        </w:rPr>
        <w:t xml:space="preserve">Exempel på konkreta åtgärder: </w:t>
      </w:r>
    </w:p>
    <w:p w14:paraId="49AB30C8" w14:textId="77777777" w:rsidR="003C1A26" w:rsidRPr="00800D1B" w:rsidRDefault="003C1A26">
      <w:pPr>
        <w:pStyle w:val="Liststycke"/>
        <w:numPr>
          <w:ilvl w:val="0"/>
          <w:numId w:val="48"/>
        </w:numPr>
        <w:pBdr>
          <w:top w:val="single" w:sz="4" w:space="1" w:color="auto"/>
          <w:left w:val="single" w:sz="4" w:space="4" w:color="auto"/>
          <w:bottom w:val="single" w:sz="4" w:space="20" w:color="auto"/>
          <w:right w:val="single" w:sz="4" w:space="4" w:color="auto"/>
        </w:pBdr>
        <w:spacing w:before="100"/>
        <w:ind w:left="461" w:right="86"/>
        <w:contextualSpacing w:val="0"/>
        <w:rPr>
          <w:color w:val="000000"/>
          <w:lang w:val="sv-SE"/>
        </w:rPr>
      </w:pPr>
      <w:r w:rsidRPr="00800D1B">
        <w:rPr>
          <w:color w:val="000000"/>
          <w:lang w:val="sv-SE"/>
        </w:rPr>
        <w:t>Förstudier</w:t>
      </w:r>
    </w:p>
    <w:p w14:paraId="477B420C" w14:textId="77777777" w:rsidR="003C1A26" w:rsidRPr="00800D1B" w:rsidRDefault="003C1A26">
      <w:pPr>
        <w:pStyle w:val="Liststycke"/>
        <w:numPr>
          <w:ilvl w:val="0"/>
          <w:numId w:val="48"/>
        </w:numPr>
        <w:pBdr>
          <w:top w:val="single" w:sz="4" w:space="1" w:color="auto"/>
          <w:left w:val="single" w:sz="4" w:space="4" w:color="auto"/>
          <w:bottom w:val="single" w:sz="4" w:space="20" w:color="auto"/>
          <w:right w:val="single" w:sz="4" w:space="4" w:color="auto"/>
        </w:pBdr>
        <w:spacing w:before="100"/>
        <w:ind w:left="461" w:right="86"/>
        <w:contextualSpacing w:val="0"/>
        <w:rPr>
          <w:color w:val="000000"/>
          <w:lang w:val="sv-SE"/>
        </w:rPr>
      </w:pPr>
      <w:r w:rsidRPr="00800D1B">
        <w:rPr>
          <w:color w:val="000000"/>
          <w:lang w:val="sv-SE"/>
        </w:rPr>
        <w:t xml:space="preserve">Insatser som ökar tillgången till bredband med hög överföringskapacitet. </w:t>
      </w:r>
    </w:p>
    <w:p w14:paraId="5EA1A00C" w14:textId="77777777" w:rsidR="003C1A26" w:rsidRPr="00800D1B" w:rsidRDefault="003C1A26">
      <w:pPr>
        <w:pStyle w:val="Liststycke"/>
        <w:numPr>
          <w:ilvl w:val="0"/>
          <w:numId w:val="48"/>
        </w:numPr>
        <w:pBdr>
          <w:top w:val="single" w:sz="4" w:space="1" w:color="auto"/>
          <w:left w:val="single" w:sz="4" w:space="4" w:color="auto"/>
          <w:bottom w:val="single" w:sz="4" w:space="20" w:color="auto"/>
          <w:right w:val="single" w:sz="4" w:space="4" w:color="auto"/>
        </w:pBdr>
        <w:spacing w:before="100"/>
        <w:ind w:left="461" w:right="86"/>
        <w:contextualSpacing w:val="0"/>
        <w:rPr>
          <w:color w:val="000000"/>
          <w:lang w:val="sv-SE"/>
        </w:rPr>
      </w:pPr>
      <w:r w:rsidRPr="00800D1B">
        <w:rPr>
          <w:color w:val="000000"/>
          <w:lang w:val="sv-SE"/>
        </w:rPr>
        <w:t>Insatser som höjer överföringskapacitet och kvaliteten på redan existerande IT-infrastruktur i regionen. </w:t>
      </w:r>
    </w:p>
    <w:p w14:paraId="7985D674" w14:textId="77777777" w:rsidR="003C1A26" w:rsidRPr="00800D1B" w:rsidRDefault="003C1A26" w:rsidP="009B358D">
      <w:pPr>
        <w:pBdr>
          <w:top w:val="single" w:sz="4" w:space="1" w:color="auto"/>
          <w:left w:val="single" w:sz="4" w:space="4" w:color="auto"/>
          <w:bottom w:val="single" w:sz="4" w:space="20" w:color="auto"/>
          <w:right w:val="single" w:sz="4" w:space="4" w:color="auto"/>
        </w:pBdr>
        <w:spacing w:before="100"/>
        <w:ind w:left="101" w:right="86"/>
        <w:rPr>
          <w:color w:val="000000"/>
          <w:lang w:val="sv-SE"/>
        </w:rPr>
      </w:pPr>
      <w:r w:rsidRPr="00800D1B">
        <w:rPr>
          <w:color w:val="000000"/>
          <w:u w:val="single"/>
          <w:lang w:val="sv-SE"/>
        </w:rPr>
        <w:t>Förenlighet med principen om att inte orsaka betydande skada (art. 9.4 i förordningen om gemensamma bestämmelser</w:t>
      </w:r>
      <w:r w:rsidRPr="00800D1B">
        <w:rPr>
          <w:color w:val="000000"/>
          <w:lang w:val="sv-SE"/>
        </w:rPr>
        <w:t>)</w:t>
      </w:r>
    </w:p>
    <w:p w14:paraId="1E812823" w14:textId="77777777" w:rsidR="003C1A26" w:rsidRPr="00800D1B" w:rsidRDefault="003C1A26" w:rsidP="009B358D">
      <w:pPr>
        <w:pBdr>
          <w:top w:val="single" w:sz="4" w:space="1" w:color="auto"/>
          <w:left w:val="single" w:sz="4" w:space="4" w:color="auto"/>
          <w:bottom w:val="single" w:sz="4" w:space="20" w:color="auto"/>
          <w:right w:val="single" w:sz="4" w:space="4" w:color="auto"/>
        </w:pBdr>
        <w:spacing w:before="100" w:after="300"/>
        <w:ind w:left="101" w:right="86"/>
        <w:rPr>
          <w:color w:val="000000"/>
          <w:lang w:val="sv-SE"/>
        </w:rPr>
      </w:pPr>
      <w:r w:rsidRPr="00800D1B">
        <w:rPr>
          <w:color w:val="000000"/>
          <w:lang w:val="sv-SE"/>
        </w:rPr>
        <w:t>Insatserna har bedömts vara förenliga med principen om att inte orsaka betydande skada eftersom de har bedömts i enlighet med kommissionens tekniska vägledning om tillämpningen av principen om att inte orsaka betydande skada inom ramen för förordningen om faciliteten för återhämtning och resiliens.</w:t>
      </w:r>
    </w:p>
    <w:p w14:paraId="2D0657F3" w14:textId="4A378522" w:rsidR="00A77B3E" w:rsidRPr="00800D1B" w:rsidRDefault="00623E14" w:rsidP="003D08B5">
      <w:pPr>
        <w:spacing w:before="360"/>
        <w:rPr>
          <w:lang w:val="sv-SE"/>
        </w:rPr>
      </w:pPr>
      <w:bookmarkStart w:id="26" w:name="_Toc256000267"/>
      <w:r w:rsidRPr="00800D1B">
        <w:rPr>
          <w:lang w:val="sv-SE"/>
        </w:rPr>
        <w:t>Huvudsakliga målgrupper – artikel 22.3 d iii i förordningen om gemensamma bestämmelser</w:t>
      </w:r>
      <w:bookmarkEnd w:id="26"/>
    </w:p>
    <w:p w14:paraId="41F11AEF" w14:textId="77777777" w:rsidR="003C1A26" w:rsidRPr="00800D1B" w:rsidRDefault="003C1A26" w:rsidP="006909A3">
      <w:pPr>
        <w:pBdr>
          <w:top w:val="single" w:sz="4" w:space="8" w:color="auto"/>
          <w:left w:val="single" w:sz="4" w:space="4" w:color="auto"/>
          <w:bottom w:val="single" w:sz="4" w:space="20" w:color="auto"/>
          <w:right w:val="single" w:sz="4" w:space="4" w:color="auto"/>
        </w:pBdr>
        <w:spacing w:before="100" w:after="300"/>
        <w:ind w:left="101" w:right="101"/>
        <w:rPr>
          <w:color w:val="000000"/>
          <w:lang w:val="sv-SE"/>
        </w:rPr>
      </w:pPr>
      <w:r w:rsidRPr="00800D1B">
        <w:rPr>
          <w:color w:val="000000"/>
          <w:lang w:val="sv-SE"/>
        </w:rPr>
        <w:t>De huvudsakliga målgrupperna är offentliga aktörer, små och medelstora företag, ekonomiska föreningar och civilsamhället. Särskilt fokus bör läggas på att säkerställa att insatserna bidrar till att inkludera underrepresenterade grupper såsom kvinnor och personer med utländsk bakgrund samt att nå en bredd av organisationer och företag. Vid utformandet av insatser är det viktigt att använda ett jämställdhets- och mångfaldsperspektiv.</w:t>
      </w:r>
    </w:p>
    <w:p w14:paraId="2D0657FA" w14:textId="39E192F1" w:rsidR="00A77B3E" w:rsidRPr="00800D1B" w:rsidRDefault="00623E14" w:rsidP="003D08B5">
      <w:pPr>
        <w:spacing w:before="360"/>
        <w:rPr>
          <w:lang w:val="sv-SE"/>
        </w:rPr>
      </w:pPr>
      <w:bookmarkStart w:id="27" w:name="_Toc256000268"/>
      <w:r w:rsidRPr="00800D1B">
        <w:rPr>
          <w:lang w:val="sv-SE"/>
        </w:rPr>
        <w:t>Åtgärder för säkerställande av jämställdhet, inkludering och icke-diskriminering – artikel 22.3 d iv i förordningen om gemensamma bestämmelser och artikel 6 i ESF+-förordningen</w:t>
      </w:r>
      <w:bookmarkEnd w:id="27"/>
    </w:p>
    <w:p w14:paraId="306977F8" w14:textId="77777777" w:rsidR="003C1A26" w:rsidRPr="00800D1B" w:rsidRDefault="003C1A26" w:rsidP="009B358D">
      <w:pPr>
        <w:pBdr>
          <w:top w:val="single" w:sz="4" w:space="10" w:color="auto"/>
          <w:left w:val="single" w:sz="4" w:space="4" w:color="auto"/>
          <w:bottom w:val="single" w:sz="4" w:space="20" w:color="auto"/>
          <w:right w:val="single" w:sz="4" w:space="4" w:color="auto"/>
        </w:pBdr>
        <w:spacing w:before="100" w:after="300"/>
        <w:ind w:left="101" w:right="115"/>
        <w:rPr>
          <w:color w:val="000000"/>
          <w:lang w:val="sv-SE"/>
        </w:rPr>
      </w:pPr>
      <w:r w:rsidRPr="00800D1B">
        <w:rPr>
          <w:color w:val="000000"/>
          <w:lang w:val="sv-SE"/>
        </w:rPr>
        <w:t>Jämställdhet, icke- diskriminering och tillgänglighet ska genomsyra insatserna i programmet, det vill säga, jämställdhetsintegrering är ett krav. Ingen får diskrimineras på grund av kön, könsöverskridande identitet eller uttryck, etnisk tillhörighet, religion eller annan trosuppfattning, funktionsnedsättning, sexuell läggning eller ålder. Projekten ska innehålla särskilda insatser för jämställdhet även om huvudsyftet är ett annat. Det ska tydligt beskrivas förväntade resultat kopplat till jämställdhet. Vid ansökningsförfarandet genomförs en jämställdhetsanalys som synkroniseras med övriga hållbarhetsaspekter att ta hänsyn till. Analysen ska visa hur framtagandet av insatser påverkar jämställdheten och det ska finnas minst ett mål som adresserar detsamma. Detta betyder att samtliga insatser i detta särskilda mål minst möter kraven för kod 02 i tabell 8.</w:t>
      </w:r>
    </w:p>
    <w:p w14:paraId="592C2EF9" w14:textId="21CA2FB5" w:rsidR="003C1A26" w:rsidRPr="00800D1B" w:rsidRDefault="0049557B" w:rsidP="0049557B">
      <w:pPr>
        <w:spacing w:before="360"/>
        <w:ind w:left="101" w:right="115"/>
        <w:rPr>
          <w:color w:val="000000"/>
          <w:lang w:val="sv-SE"/>
        </w:rPr>
      </w:pPr>
      <w:r w:rsidRPr="00800D1B">
        <w:rPr>
          <w:color w:val="000000"/>
          <w:lang w:val="sv-SE"/>
        </w:rPr>
        <mc:AlternateContent>
          <mc:Choice Requires="wps">
            <w:drawing>
              <wp:anchor distT="0" distB="0" distL="114300" distR="114300" simplePos="0" relativeHeight="251694080" behindDoc="0" locked="0" layoutInCell="1" allowOverlap="1" wp14:anchorId="6494F750" wp14:editId="46A4C41D">
                <wp:simplePos x="0" y="0"/>
                <wp:positionH relativeFrom="column">
                  <wp:posOffset>15240</wp:posOffset>
                </wp:positionH>
                <wp:positionV relativeFrom="page">
                  <wp:posOffset>381000</wp:posOffset>
                </wp:positionV>
                <wp:extent cx="9578975" cy="1262380"/>
                <wp:effectExtent l="0" t="0" r="22225" b="13970"/>
                <wp:wrapNone/>
                <wp:docPr id="31" name="Rectangle 3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578975" cy="126238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A16D04" id="Rectangle 31" o:spid="_x0000_s1026" alt="&quot;&quot;" style="position:absolute;margin-left:1.2pt;margin-top:30pt;width:754.25pt;height:99.4pt;z-index:251694080;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" filled="f" strokecolor="black [3213]" strokeweight=".5pt">
                <w10:wrap anchory="page"/>
              </v:rect>
            </w:pict>
          </mc:Fallback>
        </mc:AlternateContent>
      </w:r>
      <w:r w:rsidR="003C1A26" w:rsidRPr="00800D1B">
        <w:rPr>
          <w:color w:val="000000"/>
          <w:lang w:val="sv-SE"/>
        </w:rPr>
        <w:t>Förutom att alla insatser inom detta särskilda mål ska möta kod 02 ser vi även att flera projekt ska innehålla särskilda insatser för jämställdhet. Särskilda insatser innebär att projektets huvudsakliga mål är att förbättra jämställdhet mellan kvinnor och män. Analysen ska därmed visa hur utmaningar och problem inom jämställdhetsområdet ligger till grund varför projektet behövs och målen tar tydligt fasta på en förflyttning mot ökad jämställdhet. Projekten bidrar därmed direkt till det globala målet 5.</w:t>
      </w:r>
    </w:p>
    <w:p w14:paraId="0F12E40C" w14:textId="77777777" w:rsidR="003C1A26" w:rsidRPr="00800D1B" w:rsidRDefault="003C1A26" w:rsidP="0049557B">
      <w:pPr>
        <w:spacing w:before="400" w:after="200"/>
        <w:ind w:left="101" w:right="115"/>
        <w:rPr>
          <w:color w:val="000000"/>
          <w:lang w:val="sv-SE"/>
        </w:rPr>
      </w:pPr>
      <w:r w:rsidRPr="00800D1B">
        <w:rPr>
          <w:color w:val="000000"/>
          <w:lang w:val="sv-SE"/>
        </w:rPr>
        <w:t>Samtliga projekt ska vid rapportering påvisa hur resultatet bidragit till att framsteg gjorts gentemot en ökad jämställdhet.</w:t>
      </w:r>
    </w:p>
    <w:p w14:paraId="2D065805" w14:textId="2C3F31F1" w:rsidR="00A77B3E" w:rsidRPr="00800D1B" w:rsidRDefault="00623E14" w:rsidP="00552F60">
      <w:pPr>
        <w:spacing w:before="600"/>
        <w:rPr>
          <w:lang w:val="sv-SE"/>
        </w:rPr>
      </w:pPr>
      <w:bookmarkStart w:id="28" w:name="_Toc256000269"/>
      <w:r w:rsidRPr="00800D1B">
        <w:rPr>
          <w:lang w:val="sv-SE"/>
        </w:rPr>
        <w:t>Angivande av de specifika målterritorierna, inbegripet planerad användning av territoriella verktyg – artikel 22.3 d v i förordningen om gemensamma bestämmelser</w:t>
      </w:r>
      <w:bookmarkEnd w:id="28"/>
    </w:p>
    <w:p w14:paraId="3F141A57" w14:textId="77777777" w:rsidR="008E139F" w:rsidRPr="00800D1B" w:rsidRDefault="008E139F" w:rsidP="001C4055">
      <w:pPr>
        <w:pBdr>
          <w:top w:val="single" w:sz="4" w:space="10" w:color="auto"/>
          <w:left w:val="single" w:sz="4" w:space="4" w:color="auto"/>
          <w:bottom w:val="single" w:sz="4" w:space="20" w:color="auto"/>
          <w:right w:val="single" w:sz="4" w:space="4" w:color="auto"/>
        </w:pBdr>
        <w:spacing w:before="100" w:after="300"/>
        <w:ind w:left="101" w:right="115"/>
        <w:rPr>
          <w:color w:val="000000"/>
          <w:lang w:val="sv-SE"/>
        </w:rPr>
      </w:pPr>
      <w:r w:rsidRPr="00800D1B">
        <w:rPr>
          <w:color w:val="000000"/>
          <w:lang w:val="sv-SE"/>
        </w:rPr>
        <w:t>Nej</w:t>
      </w:r>
    </w:p>
    <w:p w14:paraId="2D06580C" w14:textId="444D9C5A" w:rsidR="00A77B3E" w:rsidRPr="00800D1B" w:rsidRDefault="00623E14" w:rsidP="003D08B5">
      <w:pPr>
        <w:spacing w:before="440"/>
        <w:rPr>
          <w:lang w:val="sv-SE"/>
        </w:rPr>
      </w:pPr>
      <w:bookmarkStart w:id="29" w:name="_Toc256000270"/>
      <w:r w:rsidRPr="00800D1B">
        <w:rPr>
          <w:lang w:val="sv-SE"/>
        </w:rPr>
        <w:t>Interregionala, gränsregionala och transnationella åtgärder – artikel 22.3 d vi i förordningen om gemensamma bestämmelser</w:t>
      </w:r>
      <w:bookmarkEnd w:id="29"/>
    </w:p>
    <w:p w14:paraId="36B1B9BF" w14:textId="77777777" w:rsidR="00980D35" w:rsidRPr="00800D1B" w:rsidRDefault="00980D35" w:rsidP="00D40ECC">
      <w:pPr>
        <w:pBdr>
          <w:top w:val="single" w:sz="4" w:space="10" w:color="auto"/>
          <w:left w:val="single" w:sz="4" w:space="4" w:color="auto"/>
          <w:bottom w:val="single" w:sz="4" w:space="20" w:color="auto"/>
          <w:right w:val="single" w:sz="4" w:space="4" w:color="auto"/>
        </w:pBdr>
        <w:spacing w:before="120"/>
        <w:ind w:left="101" w:right="115"/>
        <w:rPr>
          <w:color w:val="000000"/>
          <w:lang w:val="sv-SE"/>
        </w:rPr>
      </w:pPr>
      <w:r w:rsidRPr="00800D1B">
        <w:rPr>
          <w:color w:val="000000"/>
          <w:lang w:val="sv-SE"/>
        </w:rPr>
        <w:t>En intervention får helt eller delvis genomföras i annat land, även utanför EU, under förutsättning att insatsen bidrar till det särskilda målet. Samarbete med aktörer i ett eller flera andra länder kan vara integrerat i ett projekt för att stärka arbetet mot projektmålet. För att stärka arbetet mot projektmålet kan samarbete med aktörer i ett eller flera andra länder också läggas till ett redan pågående projekt i form av ett påbyggnadsprojekt.</w:t>
      </w:r>
    </w:p>
    <w:p w14:paraId="5B2F950C" w14:textId="77777777" w:rsidR="00980D35" w:rsidRPr="00800D1B" w:rsidRDefault="00980D35" w:rsidP="00D40ECC">
      <w:pPr>
        <w:pBdr>
          <w:top w:val="single" w:sz="4" w:space="10" w:color="auto"/>
          <w:left w:val="single" w:sz="4" w:space="4" w:color="auto"/>
          <w:bottom w:val="single" w:sz="4" w:space="20" w:color="auto"/>
          <w:right w:val="single" w:sz="4" w:space="4" w:color="auto"/>
        </w:pBdr>
        <w:spacing w:before="100"/>
        <w:ind w:left="101" w:right="115"/>
        <w:rPr>
          <w:color w:val="000000"/>
          <w:lang w:val="sv-SE"/>
        </w:rPr>
      </w:pPr>
      <w:r w:rsidRPr="00800D1B">
        <w:rPr>
          <w:color w:val="000000"/>
          <w:lang w:val="sv-SE"/>
        </w:rPr>
        <w:t>Båda alternativen kan användas för insatser i linje med exempelvis lokala och regionala klimatanpassningsstrategier. Åtgärder som särskilt kan komma i fråga är utbyte av kunskap och goda exempel samt samverkan mellan strategiskt viktiga aktörer, nätverk och plattformar.</w:t>
      </w:r>
    </w:p>
    <w:p w14:paraId="4B75E432" w14:textId="77777777" w:rsidR="00980D35" w:rsidRPr="00800D1B" w:rsidRDefault="00980D35" w:rsidP="00D40ECC">
      <w:pPr>
        <w:pBdr>
          <w:top w:val="single" w:sz="4" w:space="10" w:color="auto"/>
          <w:left w:val="single" w:sz="4" w:space="4" w:color="auto"/>
          <w:bottom w:val="single" w:sz="4" w:space="20" w:color="auto"/>
          <w:right w:val="single" w:sz="4" w:space="4" w:color="auto"/>
        </w:pBdr>
        <w:spacing w:before="100"/>
        <w:ind w:left="101" w:right="115"/>
        <w:rPr>
          <w:color w:val="000000"/>
          <w:lang w:val="sv-SE"/>
        </w:rPr>
      </w:pPr>
      <w:r w:rsidRPr="00800D1B">
        <w:rPr>
          <w:color w:val="000000"/>
          <w:lang w:val="sv-SE"/>
        </w:rPr>
        <w:t>Regionen samarbetar med omgivande parter i Norge, Nordland och Troms- och Finnmarks fylkeskommuner, samt i Finland med landskapsförbunden för Lappland, Norra Österbotten, Mellersta Österbotten, Österbotten och Södra Österbotten. Samarbetet sker dels direkt, dels via framför allt samverkansorganisationerna Nordkalottrådet, Bottenviksbågen, Kvarkenrådet och Mittskandia.</w:t>
      </w:r>
    </w:p>
    <w:p w14:paraId="04C02F27" w14:textId="77777777" w:rsidR="00980D35" w:rsidRPr="00800D1B" w:rsidRDefault="00980D35" w:rsidP="00D40ECC">
      <w:pPr>
        <w:pBdr>
          <w:top w:val="single" w:sz="4" w:space="10" w:color="auto"/>
          <w:left w:val="single" w:sz="4" w:space="4" w:color="auto"/>
          <w:bottom w:val="single" w:sz="4" w:space="20" w:color="auto"/>
          <w:right w:val="single" w:sz="4" w:space="4" w:color="auto"/>
        </w:pBdr>
        <w:spacing w:before="100"/>
        <w:ind w:left="101" w:right="115"/>
        <w:rPr>
          <w:color w:val="000000"/>
          <w:lang w:val="sv-SE"/>
        </w:rPr>
      </w:pPr>
      <w:r w:rsidRPr="00800D1B">
        <w:rPr>
          <w:color w:val="000000"/>
          <w:lang w:val="sv-SE"/>
        </w:rPr>
        <w:t>EU:s strategi för Östersjöregionen ger en viktig vägledning för valet av insatser och bidrar till att det regionala strukturfondsprogrammet kan användas på ett målmedvetet och fokuserat sätt för att möta gemensamma utmaningar i regionen. </w:t>
      </w:r>
    </w:p>
    <w:p w14:paraId="5BDDAE9A" w14:textId="77777777" w:rsidR="00980D35" w:rsidRPr="00800D1B" w:rsidRDefault="00980D35" w:rsidP="00D40ECC">
      <w:pPr>
        <w:pBdr>
          <w:top w:val="single" w:sz="4" w:space="10" w:color="auto"/>
          <w:left w:val="single" w:sz="4" w:space="4" w:color="auto"/>
          <w:bottom w:val="single" w:sz="4" w:space="20" w:color="auto"/>
          <w:right w:val="single" w:sz="4" w:space="4" w:color="auto"/>
        </w:pBdr>
        <w:spacing w:before="100" w:after="340"/>
        <w:ind w:left="101" w:right="115"/>
        <w:rPr>
          <w:color w:val="000000"/>
          <w:lang w:val="sv-SE"/>
        </w:rPr>
      </w:pPr>
      <w:r w:rsidRPr="00800D1B">
        <w:rPr>
          <w:color w:val="000000"/>
          <w:lang w:val="sv-SE"/>
        </w:rPr>
        <w:t>Den nya teknologin öppnar möjligheter för att jobba platsoberoende. Multilokalitet är närvarande i vardagen för allt fler människor och innebär möjligheter att utveckla landsbygden. Bredbandstäckningen behöver byggas ut till fler på glesbygden för att invånare ska kunna arbeta på distans och för att digitala välfärdstjänster kan tas i bruk.</w:t>
      </w:r>
    </w:p>
    <w:p w14:paraId="2D065818" w14:textId="408134C9" w:rsidR="00A77B3E" w:rsidRPr="00800D1B" w:rsidRDefault="00623E14" w:rsidP="003D08B5">
      <w:pPr>
        <w:spacing w:before="1560"/>
        <w:rPr>
          <w:lang w:val="sv-SE"/>
        </w:rPr>
      </w:pPr>
      <w:bookmarkStart w:id="30" w:name="_Toc256000271"/>
      <w:r w:rsidRPr="00800D1B">
        <w:rPr>
          <w:lang w:val="sv-SE"/>
        </w:rPr>
        <w:t>Planerad användning av finansieringsinstrument – artikel 22.3 d vii i förordningen om gemensamma bestämmelser</w:t>
      </w:r>
      <w:bookmarkEnd w:id="30"/>
    </w:p>
    <w:p w14:paraId="38AA119E" w14:textId="77777777" w:rsidR="005D0334" w:rsidRPr="00800D1B" w:rsidRDefault="005D0334" w:rsidP="001C4055">
      <w:pPr>
        <w:pBdr>
          <w:top w:val="single" w:sz="4" w:space="10" w:color="auto"/>
          <w:left w:val="single" w:sz="4" w:space="4" w:color="auto"/>
          <w:bottom w:val="single" w:sz="4" w:space="20" w:color="auto"/>
          <w:right w:val="single" w:sz="4" w:space="4" w:color="auto"/>
        </w:pBdr>
        <w:spacing w:before="100" w:after="300"/>
        <w:ind w:left="101" w:right="115"/>
        <w:rPr>
          <w:color w:val="000000"/>
          <w:lang w:val="sv-SE"/>
        </w:rPr>
      </w:pPr>
      <w:r w:rsidRPr="00800D1B">
        <w:rPr>
          <w:color w:val="000000"/>
          <w:lang w:val="sv-SE"/>
        </w:rPr>
        <w:t>Nej</w:t>
      </w:r>
    </w:p>
    <w:p w14:paraId="2D06581E" w14:textId="1E136796" w:rsidR="00A77B3E" w:rsidRPr="00800D1B" w:rsidRDefault="00623E14" w:rsidP="00315434">
      <w:pPr>
        <w:pStyle w:val="Rubrik6"/>
        <w:numPr>
          <w:ilvl w:val="4"/>
          <w:numId w:val="8"/>
        </w:numPr>
        <w:ind w:left="360"/>
      </w:pPr>
      <w:bookmarkStart w:id="31" w:name="_Toc256000272"/>
      <w:r w:rsidRPr="00800D1B">
        <w:t>Indikatorer</w:t>
      </w:r>
      <w:bookmarkEnd w:id="31"/>
    </w:p>
    <w:p w14:paraId="2D065820" w14:textId="77777777" w:rsidR="00A77B3E" w:rsidRPr="00800D1B" w:rsidRDefault="00623E14" w:rsidP="003D08B5">
      <w:pPr>
        <w:spacing w:before="200"/>
        <w:rPr>
          <w:color w:val="000000"/>
          <w:sz w:val="0"/>
          <w:lang w:val="sv-SE"/>
        </w:rPr>
      </w:pPr>
      <w:r w:rsidRPr="00800D1B">
        <w:rPr>
          <w:color w:val="000000"/>
          <w:lang w:val="sv-SE"/>
        </w:rPr>
        <w:t>Referens: Artikel 22.3 d ii i förordningen om gemensamma bestämmelser och artikel 8 i Eruf-förordningen och förordningen om Sammanhållningsfonden</w:t>
      </w:r>
    </w:p>
    <w:p w14:paraId="2D065821" w14:textId="33A5AF70" w:rsidR="00A77B3E" w:rsidRPr="00800D1B" w:rsidRDefault="00623E14" w:rsidP="00431BFA">
      <w:pPr>
        <w:spacing w:before="100" w:after="100"/>
        <w:rPr>
          <w:lang w:val="sv-SE"/>
        </w:rPr>
      </w:pPr>
      <w:bookmarkStart w:id="32" w:name="_Toc256000273"/>
      <w:r w:rsidRPr="00800D1B">
        <w:rPr>
          <w:lang w:val="sv-SE"/>
        </w:rPr>
        <w:t>Tabell 2: Utfallsindikatorer</w:t>
      </w:r>
      <w:bookmarkEnd w:id="32"/>
    </w:p>
    <w:tbl>
      <w:tblPr>
        <w:tblStyle w:val="Tabellrutnt"/>
        <w:tblW w:w="5000" w:type="pct"/>
        <w:tblLook w:val="04A0" w:firstRow="1" w:lastRow="0" w:firstColumn="1" w:lastColumn="0" w:noHBand="0" w:noVBand="1"/>
        <w:tblDescription w:val="En tabell med nio kolumner: Prioritering; Specifikt mål; Fond; Regionkategori; ID; Indikator; Mätenhet; Delmål (2024); Mål (2029). Tabellen visar information om Utfallsindikatorer."/>
      </w:tblPr>
      <w:tblGrid>
        <w:gridCol w:w="1134"/>
        <w:gridCol w:w="1171"/>
        <w:gridCol w:w="624"/>
        <w:gridCol w:w="4284"/>
        <w:gridCol w:w="879"/>
        <w:gridCol w:w="3914"/>
        <w:gridCol w:w="968"/>
        <w:gridCol w:w="1195"/>
        <w:gridCol w:w="1003"/>
      </w:tblGrid>
      <w:tr w:rsidR="003422DB" w:rsidRPr="00800D1B" w14:paraId="2D06582C" w14:textId="77777777" w:rsidTr="00975A92">
        <w:tc>
          <w:tcPr>
            <w:tcW w:w="0" w:type="auto"/>
          </w:tcPr>
          <w:p w14:paraId="2D065823" w14:textId="77777777" w:rsidR="00A77B3E" w:rsidRPr="00800D1B" w:rsidRDefault="00623E14" w:rsidP="00975A92">
            <w:pPr>
              <w:spacing w:before="100" w:after="100"/>
              <w:ind w:left="-72"/>
              <w:jc w:val="center"/>
              <w:rPr>
                <w:color w:val="000000"/>
                <w:sz w:val="20"/>
                <w:lang w:val="sv-SE"/>
              </w:rPr>
            </w:pPr>
            <w:r w:rsidRPr="00800D1B">
              <w:rPr>
                <w:color w:val="000000"/>
                <w:sz w:val="20"/>
                <w:lang w:val="sv-SE"/>
              </w:rPr>
              <w:t>Prioritering</w:t>
            </w:r>
          </w:p>
        </w:tc>
        <w:tc>
          <w:tcPr>
            <w:tcW w:w="0" w:type="auto"/>
          </w:tcPr>
          <w:p w14:paraId="2D065824" w14:textId="77777777" w:rsidR="00A77B3E" w:rsidRPr="00800D1B" w:rsidRDefault="00623E14" w:rsidP="00975A92">
            <w:pPr>
              <w:spacing w:before="100" w:after="100"/>
              <w:ind w:left="-72"/>
              <w:jc w:val="center"/>
              <w:rPr>
                <w:color w:val="000000"/>
                <w:sz w:val="20"/>
                <w:lang w:val="sv-SE"/>
              </w:rPr>
            </w:pPr>
            <w:r w:rsidRPr="00800D1B">
              <w:rPr>
                <w:color w:val="000000"/>
                <w:sz w:val="20"/>
                <w:lang w:val="sv-SE"/>
              </w:rPr>
              <w:t>Specifikt mål</w:t>
            </w:r>
          </w:p>
        </w:tc>
        <w:tc>
          <w:tcPr>
            <w:tcW w:w="0" w:type="auto"/>
          </w:tcPr>
          <w:p w14:paraId="2D065825" w14:textId="77777777" w:rsidR="00A77B3E" w:rsidRPr="00800D1B" w:rsidRDefault="00623E14" w:rsidP="00975A92">
            <w:pPr>
              <w:spacing w:before="100" w:after="100"/>
              <w:ind w:left="-72"/>
              <w:jc w:val="center"/>
              <w:rPr>
                <w:color w:val="000000"/>
                <w:sz w:val="20"/>
                <w:lang w:val="sv-SE"/>
              </w:rPr>
            </w:pPr>
            <w:r w:rsidRPr="00800D1B">
              <w:rPr>
                <w:color w:val="000000"/>
                <w:sz w:val="20"/>
                <w:lang w:val="sv-SE"/>
              </w:rPr>
              <w:t>Fond</w:t>
            </w:r>
          </w:p>
        </w:tc>
        <w:tc>
          <w:tcPr>
            <w:tcW w:w="0" w:type="auto"/>
          </w:tcPr>
          <w:p w14:paraId="2D065826" w14:textId="77777777" w:rsidR="00A77B3E" w:rsidRPr="00800D1B" w:rsidRDefault="00623E14" w:rsidP="00975A92">
            <w:pPr>
              <w:spacing w:before="100" w:after="100"/>
              <w:ind w:left="-72"/>
              <w:jc w:val="center"/>
              <w:rPr>
                <w:color w:val="000000"/>
                <w:sz w:val="20"/>
                <w:lang w:val="sv-SE"/>
              </w:rPr>
            </w:pPr>
            <w:r w:rsidRPr="00800D1B">
              <w:rPr>
                <w:color w:val="000000"/>
                <w:sz w:val="20"/>
                <w:lang w:val="sv-SE"/>
              </w:rPr>
              <w:t>Regionkategori</w:t>
            </w:r>
          </w:p>
        </w:tc>
        <w:tc>
          <w:tcPr>
            <w:tcW w:w="0" w:type="auto"/>
          </w:tcPr>
          <w:p w14:paraId="2D065827" w14:textId="77777777" w:rsidR="00A77B3E" w:rsidRPr="00800D1B" w:rsidRDefault="00623E14" w:rsidP="00975A92">
            <w:pPr>
              <w:spacing w:before="100" w:after="100"/>
              <w:ind w:left="-72"/>
              <w:jc w:val="center"/>
              <w:rPr>
                <w:color w:val="000000"/>
                <w:sz w:val="20"/>
                <w:lang w:val="sv-SE"/>
              </w:rPr>
            </w:pPr>
            <w:r w:rsidRPr="00800D1B">
              <w:rPr>
                <w:color w:val="000000"/>
                <w:sz w:val="20"/>
                <w:lang w:val="sv-SE"/>
              </w:rPr>
              <w:t>ID</w:t>
            </w:r>
          </w:p>
        </w:tc>
        <w:tc>
          <w:tcPr>
            <w:tcW w:w="0" w:type="auto"/>
          </w:tcPr>
          <w:p w14:paraId="2D065828" w14:textId="77777777" w:rsidR="00A77B3E" w:rsidRPr="00800D1B" w:rsidRDefault="00623E14" w:rsidP="00975A92">
            <w:pPr>
              <w:spacing w:before="100" w:after="100"/>
              <w:ind w:left="-72"/>
              <w:jc w:val="center"/>
              <w:rPr>
                <w:color w:val="000000"/>
                <w:sz w:val="20"/>
                <w:lang w:val="sv-SE"/>
              </w:rPr>
            </w:pPr>
            <w:r w:rsidRPr="00800D1B">
              <w:rPr>
                <w:color w:val="000000"/>
                <w:sz w:val="20"/>
                <w:lang w:val="sv-SE"/>
              </w:rPr>
              <w:t>Indikator</w:t>
            </w:r>
          </w:p>
        </w:tc>
        <w:tc>
          <w:tcPr>
            <w:tcW w:w="0" w:type="auto"/>
          </w:tcPr>
          <w:p w14:paraId="2D065829" w14:textId="77777777" w:rsidR="00A77B3E" w:rsidRPr="00800D1B" w:rsidRDefault="00623E14" w:rsidP="00975A92">
            <w:pPr>
              <w:spacing w:before="100" w:after="100"/>
              <w:ind w:left="-72"/>
              <w:jc w:val="center"/>
              <w:rPr>
                <w:color w:val="000000"/>
                <w:sz w:val="20"/>
                <w:lang w:val="sv-SE"/>
              </w:rPr>
            </w:pPr>
            <w:r w:rsidRPr="00800D1B">
              <w:rPr>
                <w:color w:val="000000"/>
                <w:sz w:val="20"/>
                <w:lang w:val="sv-SE"/>
              </w:rPr>
              <w:t>Mätenhet</w:t>
            </w:r>
          </w:p>
        </w:tc>
        <w:tc>
          <w:tcPr>
            <w:tcW w:w="0" w:type="auto"/>
          </w:tcPr>
          <w:p w14:paraId="2D06582A" w14:textId="77777777" w:rsidR="00A77B3E" w:rsidRPr="00800D1B" w:rsidRDefault="00623E14" w:rsidP="00975A92">
            <w:pPr>
              <w:spacing w:before="100" w:after="100"/>
              <w:ind w:left="-72"/>
              <w:jc w:val="center"/>
              <w:rPr>
                <w:color w:val="000000"/>
                <w:sz w:val="20"/>
                <w:lang w:val="sv-SE"/>
              </w:rPr>
            </w:pPr>
            <w:r w:rsidRPr="00800D1B">
              <w:rPr>
                <w:color w:val="000000"/>
                <w:sz w:val="20"/>
                <w:lang w:val="sv-SE"/>
              </w:rPr>
              <w:t>Delmål (2024)</w:t>
            </w:r>
          </w:p>
        </w:tc>
        <w:tc>
          <w:tcPr>
            <w:tcW w:w="0" w:type="auto"/>
          </w:tcPr>
          <w:p w14:paraId="2D06582B" w14:textId="77777777" w:rsidR="00A77B3E" w:rsidRPr="00800D1B" w:rsidRDefault="00623E14" w:rsidP="00975A92">
            <w:pPr>
              <w:spacing w:before="100" w:after="100"/>
              <w:ind w:left="-72"/>
              <w:jc w:val="center"/>
              <w:rPr>
                <w:color w:val="000000"/>
                <w:sz w:val="20"/>
                <w:lang w:val="sv-SE"/>
              </w:rPr>
            </w:pPr>
            <w:r w:rsidRPr="00800D1B">
              <w:rPr>
                <w:color w:val="000000"/>
                <w:sz w:val="20"/>
                <w:lang w:val="sv-SE"/>
              </w:rPr>
              <w:t>Mål (2029)</w:t>
            </w:r>
          </w:p>
        </w:tc>
      </w:tr>
      <w:tr w:rsidR="003422DB" w:rsidRPr="00800D1B" w14:paraId="2D065836" w14:textId="77777777" w:rsidTr="00975A92">
        <w:tc>
          <w:tcPr>
            <w:tcW w:w="0" w:type="auto"/>
          </w:tcPr>
          <w:p w14:paraId="2D06582D" w14:textId="77777777" w:rsidR="00A77B3E" w:rsidRPr="00800D1B" w:rsidRDefault="00623E14" w:rsidP="00975A92">
            <w:pPr>
              <w:spacing w:before="100" w:after="100"/>
              <w:ind w:left="-72"/>
              <w:rPr>
                <w:color w:val="000000"/>
                <w:sz w:val="20"/>
                <w:lang w:val="sv-SE"/>
              </w:rPr>
            </w:pPr>
            <w:r w:rsidRPr="00800D1B">
              <w:rPr>
                <w:color w:val="000000"/>
                <w:sz w:val="20"/>
                <w:lang w:val="sv-SE"/>
              </w:rPr>
              <w:t>2</w:t>
            </w:r>
          </w:p>
        </w:tc>
        <w:tc>
          <w:tcPr>
            <w:tcW w:w="0" w:type="auto"/>
          </w:tcPr>
          <w:p w14:paraId="2D06582E" w14:textId="77777777" w:rsidR="00A77B3E" w:rsidRPr="00800D1B" w:rsidRDefault="00623E14" w:rsidP="00975A92">
            <w:pPr>
              <w:spacing w:before="100" w:after="100"/>
              <w:ind w:left="-72"/>
              <w:rPr>
                <w:color w:val="000000"/>
                <w:sz w:val="20"/>
                <w:lang w:val="sv-SE"/>
              </w:rPr>
            </w:pPr>
            <w:r w:rsidRPr="00800D1B">
              <w:rPr>
                <w:color w:val="000000"/>
                <w:sz w:val="20"/>
                <w:lang w:val="sv-SE"/>
              </w:rPr>
              <w:t>RSO1.5</w:t>
            </w:r>
          </w:p>
        </w:tc>
        <w:tc>
          <w:tcPr>
            <w:tcW w:w="0" w:type="auto"/>
          </w:tcPr>
          <w:p w14:paraId="2D06582F" w14:textId="77777777" w:rsidR="00A77B3E" w:rsidRPr="00800D1B" w:rsidRDefault="00623E14" w:rsidP="00975A92">
            <w:pPr>
              <w:spacing w:before="100" w:after="100"/>
              <w:ind w:left="-72"/>
              <w:rPr>
                <w:color w:val="000000"/>
                <w:sz w:val="20"/>
                <w:lang w:val="sv-SE"/>
              </w:rPr>
            </w:pPr>
            <w:r w:rsidRPr="00800D1B">
              <w:rPr>
                <w:color w:val="000000"/>
                <w:sz w:val="20"/>
                <w:lang w:val="sv-SE"/>
              </w:rPr>
              <w:t>Eruf</w:t>
            </w:r>
          </w:p>
        </w:tc>
        <w:tc>
          <w:tcPr>
            <w:tcW w:w="0" w:type="auto"/>
          </w:tcPr>
          <w:p w14:paraId="2D065830" w14:textId="77777777" w:rsidR="00A77B3E" w:rsidRPr="00800D1B" w:rsidRDefault="00623E14" w:rsidP="00975A92">
            <w:pPr>
              <w:spacing w:before="100" w:after="100"/>
              <w:ind w:left="-72"/>
              <w:rPr>
                <w:color w:val="000000"/>
                <w:sz w:val="20"/>
                <w:lang w:val="sv-SE"/>
              </w:rPr>
            </w:pPr>
            <w:r w:rsidRPr="00800D1B">
              <w:rPr>
                <w:color w:val="000000"/>
                <w:sz w:val="20"/>
                <w:lang w:val="sv-SE"/>
              </w:rPr>
              <w:t>De yttersta randområdena eller de nordliga glesbefolkade områdena</w:t>
            </w:r>
          </w:p>
        </w:tc>
        <w:tc>
          <w:tcPr>
            <w:tcW w:w="0" w:type="auto"/>
          </w:tcPr>
          <w:p w14:paraId="2D065831" w14:textId="77777777" w:rsidR="00A77B3E" w:rsidRPr="00800D1B" w:rsidRDefault="00623E14" w:rsidP="00975A92">
            <w:pPr>
              <w:spacing w:before="100" w:after="100"/>
              <w:ind w:left="-72"/>
              <w:rPr>
                <w:color w:val="000000"/>
                <w:sz w:val="20"/>
                <w:lang w:val="sv-SE"/>
              </w:rPr>
            </w:pPr>
            <w:r w:rsidRPr="00800D1B">
              <w:rPr>
                <w:color w:val="000000"/>
                <w:sz w:val="20"/>
                <w:lang w:val="sv-SE"/>
              </w:rPr>
              <w:t>RCO41</w:t>
            </w:r>
          </w:p>
        </w:tc>
        <w:tc>
          <w:tcPr>
            <w:tcW w:w="0" w:type="auto"/>
          </w:tcPr>
          <w:p w14:paraId="2D065832" w14:textId="77777777" w:rsidR="00A77B3E" w:rsidRPr="00800D1B" w:rsidRDefault="00623E14" w:rsidP="00975A92">
            <w:pPr>
              <w:spacing w:before="100" w:after="100"/>
              <w:ind w:left="-72"/>
              <w:rPr>
                <w:color w:val="000000"/>
                <w:sz w:val="20"/>
                <w:lang w:val="sv-SE"/>
              </w:rPr>
            </w:pPr>
            <w:r w:rsidRPr="00800D1B">
              <w:rPr>
                <w:color w:val="000000"/>
                <w:sz w:val="20"/>
                <w:lang w:val="sv-SE"/>
              </w:rPr>
              <w:t>Ytterligare bostäder med bredband med mycket hög kapacitet</w:t>
            </w:r>
          </w:p>
        </w:tc>
        <w:tc>
          <w:tcPr>
            <w:tcW w:w="0" w:type="auto"/>
          </w:tcPr>
          <w:p w14:paraId="2D065833" w14:textId="77777777" w:rsidR="00A77B3E" w:rsidRPr="00800D1B" w:rsidRDefault="00623E14" w:rsidP="00975A92">
            <w:pPr>
              <w:spacing w:before="100" w:after="100"/>
              <w:ind w:left="-72"/>
              <w:rPr>
                <w:color w:val="000000"/>
                <w:sz w:val="20"/>
                <w:lang w:val="sv-SE"/>
              </w:rPr>
            </w:pPr>
            <w:r w:rsidRPr="00800D1B">
              <w:rPr>
                <w:color w:val="000000"/>
                <w:sz w:val="20"/>
                <w:lang w:val="sv-SE"/>
              </w:rPr>
              <w:t>bostäder</w:t>
            </w:r>
          </w:p>
        </w:tc>
        <w:tc>
          <w:tcPr>
            <w:tcW w:w="0" w:type="auto"/>
          </w:tcPr>
          <w:p w14:paraId="2D065834" w14:textId="77777777" w:rsidR="00A77B3E" w:rsidRPr="00800D1B" w:rsidRDefault="00623E14" w:rsidP="00975A92">
            <w:pPr>
              <w:spacing w:before="100" w:after="100"/>
              <w:ind w:left="-72"/>
              <w:jc w:val="right"/>
              <w:rPr>
                <w:color w:val="000000"/>
                <w:sz w:val="20"/>
                <w:lang w:val="sv-SE"/>
              </w:rPr>
            </w:pPr>
            <w:r w:rsidRPr="00800D1B">
              <w:rPr>
                <w:color w:val="000000"/>
                <w:sz w:val="20"/>
                <w:lang w:val="sv-SE"/>
              </w:rPr>
              <w:t>0,00</w:t>
            </w:r>
          </w:p>
        </w:tc>
        <w:tc>
          <w:tcPr>
            <w:tcW w:w="0" w:type="auto"/>
          </w:tcPr>
          <w:p w14:paraId="2D065835" w14:textId="77777777" w:rsidR="00A77B3E" w:rsidRPr="00800D1B" w:rsidRDefault="00623E14" w:rsidP="00975A92">
            <w:pPr>
              <w:spacing w:before="100" w:after="100"/>
              <w:ind w:left="-72"/>
              <w:jc w:val="right"/>
              <w:rPr>
                <w:color w:val="000000"/>
                <w:sz w:val="20"/>
                <w:lang w:val="sv-SE"/>
              </w:rPr>
            </w:pPr>
            <w:r w:rsidRPr="00800D1B">
              <w:rPr>
                <w:color w:val="000000"/>
                <w:sz w:val="20"/>
                <w:lang w:val="sv-SE"/>
              </w:rPr>
              <w:t>594,00</w:t>
            </w:r>
          </w:p>
        </w:tc>
      </w:tr>
      <w:tr w:rsidR="003422DB" w:rsidRPr="00800D1B" w14:paraId="2D065840" w14:textId="77777777" w:rsidTr="00975A92">
        <w:tc>
          <w:tcPr>
            <w:tcW w:w="0" w:type="auto"/>
          </w:tcPr>
          <w:p w14:paraId="2D065837" w14:textId="77777777" w:rsidR="00A77B3E" w:rsidRPr="00800D1B" w:rsidRDefault="00623E14" w:rsidP="00975A92">
            <w:pPr>
              <w:spacing w:before="100" w:after="100"/>
              <w:ind w:left="-72"/>
              <w:rPr>
                <w:color w:val="000000"/>
                <w:sz w:val="20"/>
                <w:lang w:val="sv-SE"/>
              </w:rPr>
            </w:pPr>
            <w:r w:rsidRPr="00800D1B">
              <w:rPr>
                <w:color w:val="000000"/>
                <w:sz w:val="20"/>
                <w:lang w:val="sv-SE"/>
              </w:rPr>
              <w:t>2</w:t>
            </w:r>
          </w:p>
        </w:tc>
        <w:tc>
          <w:tcPr>
            <w:tcW w:w="0" w:type="auto"/>
          </w:tcPr>
          <w:p w14:paraId="2D065838" w14:textId="77777777" w:rsidR="00A77B3E" w:rsidRPr="00800D1B" w:rsidRDefault="00623E14" w:rsidP="00975A92">
            <w:pPr>
              <w:spacing w:before="100" w:after="100"/>
              <w:ind w:left="-72"/>
              <w:rPr>
                <w:color w:val="000000"/>
                <w:sz w:val="20"/>
                <w:lang w:val="sv-SE"/>
              </w:rPr>
            </w:pPr>
            <w:r w:rsidRPr="00800D1B">
              <w:rPr>
                <w:color w:val="000000"/>
                <w:sz w:val="20"/>
                <w:lang w:val="sv-SE"/>
              </w:rPr>
              <w:t>RSO1.5</w:t>
            </w:r>
          </w:p>
        </w:tc>
        <w:tc>
          <w:tcPr>
            <w:tcW w:w="0" w:type="auto"/>
          </w:tcPr>
          <w:p w14:paraId="2D065839" w14:textId="77777777" w:rsidR="00A77B3E" w:rsidRPr="00800D1B" w:rsidRDefault="00623E14" w:rsidP="00975A92">
            <w:pPr>
              <w:spacing w:before="100" w:after="100"/>
              <w:ind w:left="-72"/>
              <w:rPr>
                <w:color w:val="000000"/>
                <w:sz w:val="20"/>
                <w:lang w:val="sv-SE"/>
              </w:rPr>
            </w:pPr>
            <w:r w:rsidRPr="00800D1B">
              <w:rPr>
                <w:color w:val="000000"/>
                <w:sz w:val="20"/>
                <w:lang w:val="sv-SE"/>
              </w:rPr>
              <w:t>Eruf</w:t>
            </w:r>
          </w:p>
        </w:tc>
        <w:tc>
          <w:tcPr>
            <w:tcW w:w="0" w:type="auto"/>
          </w:tcPr>
          <w:p w14:paraId="2D06583A" w14:textId="77777777" w:rsidR="00A77B3E" w:rsidRPr="00800D1B" w:rsidRDefault="00623E14" w:rsidP="00975A92">
            <w:pPr>
              <w:spacing w:before="100" w:after="100"/>
              <w:ind w:left="-72"/>
              <w:rPr>
                <w:color w:val="000000"/>
                <w:sz w:val="20"/>
                <w:lang w:val="sv-SE"/>
              </w:rPr>
            </w:pPr>
            <w:r w:rsidRPr="00800D1B">
              <w:rPr>
                <w:color w:val="000000"/>
                <w:sz w:val="20"/>
                <w:lang w:val="sv-SE"/>
              </w:rPr>
              <w:t>De yttersta randområdena eller de nordliga glesbefolkade områdena</w:t>
            </w:r>
          </w:p>
        </w:tc>
        <w:tc>
          <w:tcPr>
            <w:tcW w:w="0" w:type="auto"/>
          </w:tcPr>
          <w:p w14:paraId="2D06583B" w14:textId="77777777" w:rsidR="00A77B3E" w:rsidRPr="00800D1B" w:rsidRDefault="00623E14" w:rsidP="00975A92">
            <w:pPr>
              <w:spacing w:before="100" w:after="100"/>
              <w:ind w:left="-72"/>
              <w:rPr>
                <w:color w:val="000000"/>
                <w:sz w:val="20"/>
                <w:lang w:val="sv-SE"/>
              </w:rPr>
            </w:pPr>
            <w:r w:rsidRPr="00800D1B">
              <w:rPr>
                <w:color w:val="000000"/>
                <w:sz w:val="20"/>
                <w:lang w:val="sv-SE"/>
              </w:rPr>
              <w:t>RCO42</w:t>
            </w:r>
          </w:p>
        </w:tc>
        <w:tc>
          <w:tcPr>
            <w:tcW w:w="0" w:type="auto"/>
          </w:tcPr>
          <w:p w14:paraId="2D06583C" w14:textId="77777777" w:rsidR="00A77B3E" w:rsidRPr="00800D1B" w:rsidRDefault="00623E14" w:rsidP="00975A92">
            <w:pPr>
              <w:spacing w:before="100" w:after="100"/>
              <w:ind w:left="-72"/>
              <w:rPr>
                <w:color w:val="000000"/>
                <w:sz w:val="20"/>
                <w:lang w:val="sv-SE"/>
              </w:rPr>
            </w:pPr>
            <w:r w:rsidRPr="00800D1B">
              <w:rPr>
                <w:color w:val="000000"/>
                <w:sz w:val="20"/>
                <w:lang w:val="sv-SE"/>
              </w:rPr>
              <w:t>Ytterligare företag med bredband med mycket hög kapacitet</w:t>
            </w:r>
          </w:p>
        </w:tc>
        <w:tc>
          <w:tcPr>
            <w:tcW w:w="0" w:type="auto"/>
          </w:tcPr>
          <w:p w14:paraId="2D06583D" w14:textId="77777777" w:rsidR="00A77B3E" w:rsidRPr="00800D1B" w:rsidRDefault="00623E14" w:rsidP="00975A92">
            <w:pPr>
              <w:spacing w:before="100" w:after="100"/>
              <w:ind w:left="-72"/>
              <w:rPr>
                <w:color w:val="000000"/>
                <w:sz w:val="20"/>
                <w:lang w:val="sv-SE"/>
              </w:rPr>
            </w:pPr>
            <w:r w:rsidRPr="00800D1B">
              <w:rPr>
                <w:color w:val="000000"/>
                <w:sz w:val="20"/>
                <w:lang w:val="sv-SE"/>
              </w:rPr>
              <w:t>företag</w:t>
            </w:r>
          </w:p>
        </w:tc>
        <w:tc>
          <w:tcPr>
            <w:tcW w:w="0" w:type="auto"/>
          </w:tcPr>
          <w:p w14:paraId="2D06583E" w14:textId="77777777" w:rsidR="00A77B3E" w:rsidRPr="00800D1B" w:rsidRDefault="00623E14" w:rsidP="00975A92">
            <w:pPr>
              <w:spacing w:before="100" w:after="100"/>
              <w:ind w:left="-72"/>
              <w:jc w:val="right"/>
              <w:rPr>
                <w:color w:val="000000"/>
                <w:sz w:val="20"/>
                <w:lang w:val="sv-SE"/>
              </w:rPr>
            </w:pPr>
            <w:r w:rsidRPr="00800D1B">
              <w:rPr>
                <w:color w:val="000000"/>
                <w:sz w:val="20"/>
                <w:lang w:val="sv-SE"/>
              </w:rPr>
              <w:t>0,00</w:t>
            </w:r>
          </w:p>
        </w:tc>
        <w:tc>
          <w:tcPr>
            <w:tcW w:w="0" w:type="auto"/>
          </w:tcPr>
          <w:p w14:paraId="2D06583F" w14:textId="77777777" w:rsidR="00A77B3E" w:rsidRPr="00800D1B" w:rsidRDefault="00623E14" w:rsidP="00975A92">
            <w:pPr>
              <w:spacing w:before="100" w:after="100"/>
              <w:ind w:left="-72"/>
              <w:jc w:val="right"/>
              <w:rPr>
                <w:color w:val="000000"/>
                <w:sz w:val="20"/>
                <w:lang w:val="sv-SE"/>
              </w:rPr>
            </w:pPr>
            <w:r w:rsidRPr="00800D1B">
              <w:rPr>
                <w:color w:val="000000"/>
                <w:sz w:val="20"/>
                <w:lang w:val="sv-SE"/>
              </w:rPr>
              <w:t>225,00</w:t>
            </w:r>
          </w:p>
        </w:tc>
      </w:tr>
      <w:tr w:rsidR="003422DB" w:rsidRPr="00800D1B" w14:paraId="2D06584A" w14:textId="77777777" w:rsidTr="00975A92">
        <w:tc>
          <w:tcPr>
            <w:tcW w:w="0" w:type="auto"/>
          </w:tcPr>
          <w:p w14:paraId="2D065841" w14:textId="77777777" w:rsidR="00A77B3E" w:rsidRPr="00800D1B" w:rsidRDefault="00623E14" w:rsidP="00975A92">
            <w:pPr>
              <w:spacing w:before="100" w:after="100"/>
              <w:ind w:left="-72"/>
              <w:rPr>
                <w:color w:val="000000"/>
                <w:sz w:val="20"/>
                <w:lang w:val="sv-SE"/>
              </w:rPr>
            </w:pPr>
            <w:r w:rsidRPr="00800D1B">
              <w:rPr>
                <w:color w:val="000000"/>
                <w:sz w:val="20"/>
                <w:lang w:val="sv-SE"/>
              </w:rPr>
              <w:t>2</w:t>
            </w:r>
          </w:p>
        </w:tc>
        <w:tc>
          <w:tcPr>
            <w:tcW w:w="0" w:type="auto"/>
          </w:tcPr>
          <w:p w14:paraId="2D065842" w14:textId="77777777" w:rsidR="00A77B3E" w:rsidRPr="00800D1B" w:rsidRDefault="00623E14" w:rsidP="00975A92">
            <w:pPr>
              <w:spacing w:before="100" w:after="100"/>
              <w:ind w:left="-72"/>
              <w:rPr>
                <w:color w:val="000000"/>
                <w:sz w:val="20"/>
                <w:lang w:val="sv-SE"/>
              </w:rPr>
            </w:pPr>
            <w:r w:rsidRPr="00800D1B">
              <w:rPr>
                <w:color w:val="000000"/>
                <w:sz w:val="20"/>
                <w:lang w:val="sv-SE"/>
              </w:rPr>
              <w:t>RSO1.5</w:t>
            </w:r>
          </w:p>
        </w:tc>
        <w:tc>
          <w:tcPr>
            <w:tcW w:w="0" w:type="auto"/>
          </w:tcPr>
          <w:p w14:paraId="2D065843" w14:textId="77777777" w:rsidR="00A77B3E" w:rsidRPr="00800D1B" w:rsidRDefault="00623E14" w:rsidP="00975A92">
            <w:pPr>
              <w:spacing w:before="100" w:after="100"/>
              <w:ind w:left="-72"/>
              <w:rPr>
                <w:color w:val="000000"/>
                <w:sz w:val="20"/>
                <w:lang w:val="sv-SE"/>
              </w:rPr>
            </w:pPr>
            <w:r w:rsidRPr="00800D1B">
              <w:rPr>
                <w:color w:val="000000"/>
                <w:sz w:val="20"/>
                <w:lang w:val="sv-SE"/>
              </w:rPr>
              <w:t>Eruf</w:t>
            </w:r>
          </w:p>
        </w:tc>
        <w:tc>
          <w:tcPr>
            <w:tcW w:w="0" w:type="auto"/>
          </w:tcPr>
          <w:p w14:paraId="2D065844" w14:textId="77777777" w:rsidR="00A77B3E" w:rsidRPr="00800D1B" w:rsidRDefault="00623E14" w:rsidP="00975A92">
            <w:pPr>
              <w:spacing w:before="100" w:after="100"/>
              <w:ind w:left="-72"/>
              <w:rPr>
                <w:color w:val="000000"/>
                <w:sz w:val="20"/>
                <w:lang w:val="sv-SE"/>
              </w:rPr>
            </w:pPr>
            <w:r w:rsidRPr="00800D1B">
              <w:rPr>
                <w:color w:val="000000"/>
                <w:sz w:val="20"/>
                <w:lang w:val="sv-SE"/>
              </w:rPr>
              <w:t>De yttersta randområdena eller de nordliga glesbefolkade områdena</w:t>
            </w:r>
          </w:p>
        </w:tc>
        <w:tc>
          <w:tcPr>
            <w:tcW w:w="0" w:type="auto"/>
          </w:tcPr>
          <w:p w14:paraId="2D065845" w14:textId="77777777" w:rsidR="00A77B3E" w:rsidRPr="00800D1B" w:rsidRDefault="00623E14" w:rsidP="00975A92">
            <w:pPr>
              <w:spacing w:before="100" w:after="100"/>
              <w:ind w:left="-72"/>
              <w:rPr>
                <w:color w:val="000000"/>
                <w:sz w:val="20"/>
                <w:lang w:val="sv-SE"/>
              </w:rPr>
            </w:pPr>
            <w:r w:rsidRPr="00800D1B">
              <w:rPr>
                <w:color w:val="000000"/>
                <w:sz w:val="20"/>
                <w:lang w:val="sv-SE"/>
              </w:rPr>
              <w:t>MNO01</w:t>
            </w:r>
          </w:p>
        </w:tc>
        <w:tc>
          <w:tcPr>
            <w:tcW w:w="0" w:type="auto"/>
          </w:tcPr>
          <w:p w14:paraId="2D065846" w14:textId="77777777" w:rsidR="00A77B3E" w:rsidRPr="00800D1B" w:rsidRDefault="00623E14" w:rsidP="00975A92">
            <w:pPr>
              <w:spacing w:before="100" w:after="100"/>
              <w:ind w:left="-72"/>
              <w:rPr>
                <w:color w:val="000000"/>
                <w:sz w:val="20"/>
                <w:lang w:val="sv-SE"/>
              </w:rPr>
            </w:pPr>
            <w:r w:rsidRPr="00800D1B">
              <w:rPr>
                <w:color w:val="000000"/>
                <w:sz w:val="20"/>
                <w:lang w:val="sv-SE"/>
              </w:rPr>
              <w:t>Antal tillkommande km bredband</w:t>
            </w:r>
          </w:p>
        </w:tc>
        <w:tc>
          <w:tcPr>
            <w:tcW w:w="0" w:type="auto"/>
          </w:tcPr>
          <w:p w14:paraId="2D065847" w14:textId="77777777" w:rsidR="00A77B3E" w:rsidRPr="00800D1B" w:rsidRDefault="00623E14" w:rsidP="00975A92">
            <w:pPr>
              <w:spacing w:before="100" w:after="100"/>
              <w:ind w:left="-72"/>
              <w:rPr>
                <w:color w:val="000000"/>
                <w:sz w:val="20"/>
                <w:lang w:val="sv-SE"/>
              </w:rPr>
            </w:pPr>
            <w:r w:rsidRPr="00800D1B">
              <w:rPr>
                <w:color w:val="000000"/>
                <w:sz w:val="20"/>
                <w:lang w:val="sv-SE"/>
              </w:rPr>
              <w:t>Km</w:t>
            </w:r>
          </w:p>
        </w:tc>
        <w:tc>
          <w:tcPr>
            <w:tcW w:w="0" w:type="auto"/>
          </w:tcPr>
          <w:p w14:paraId="2D065848" w14:textId="77777777" w:rsidR="00A77B3E" w:rsidRPr="00800D1B" w:rsidRDefault="00623E14" w:rsidP="00975A92">
            <w:pPr>
              <w:spacing w:before="100" w:after="100"/>
              <w:ind w:left="-72"/>
              <w:jc w:val="right"/>
              <w:rPr>
                <w:color w:val="000000"/>
                <w:sz w:val="20"/>
                <w:lang w:val="sv-SE"/>
              </w:rPr>
            </w:pPr>
            <w:r w:rsidRPr="00800D1B">
              <w:rPr>
                <w:color w:val="000000"/>
                <w:sz w:val="20"/>
                <w:lang w:val="sv-SE"/>
              </w:rPr>
              <w:t>45,00</w:t>
            </w:r>
          </w:p>
        </w:tc>
        <w:tc>
          <w:tcPr>
            <w:tcW w:w="0" w:type="auto"/>
          </w:tcPr>
          <w:p w14:paraId="2D065849" w14:textId="77777777" w:rsidR="00A77B3E" w:rsidRPr="00800D1B" w:rsidRDefault="00623E14" w:rsidP="00975A92">
            <w:pPr>
              <w:spacing w:before="100" w:after="100"/>
              <w:ind w:left="-72"/>
              <w:jc w:val="right"/>
              <w:rPr>
                <w:color w:val="000000"/>
                <w:sz w:val="20"/>
                <w:lang w:val="sv-SE"/>
              </w:rPr>
            </w:pPr>
            <w:r w:rsidRPr="00800D1B">
              <w:rPr>
                <w:color w:val="000000"/>
                <w:sz w:val="20"/>
                <w:lang w:val="sv-SE"/>
              </w:rPr>
              <w:t>450,00</w:t>
            </w:r>
          </w:p>
        </w:tc>
      </w:tr>
    </w:tbl>
    <w:p w14:paraId="2D06584C" w14:textId="77777777" w:rsidR="00A77B3E" w:rsidRPr="00800D1B" w:rsidRDefault="00623E14" w:rsidP="00330987">
      <w:pPr>
        <w:spacing w:before="480"/>
        <w:rPr>
          <w:color w:val="000000"/>
          <w:sz w:val="0"/>
          <w:lang w:val="sv-SE"/>
        </w:rPr>
      </w:pPr>
      <w:r w:rsidRPr="00800D1B">
        <w:rPr>
          <w:color w:val="000000"/>
          <w:lang w:val="sv-SE"/>
        </w:rPr>
        <w:t>Referens: Artikel 22.3 d ii i förordningen om gemensamma bestämmelser</w:t>
      </w:r>
    </w:p>
    <w:p w14:paraId="2D06584D" w14:textId="18F050B8" w:rsidR="00A77B3E" w:rsidRPr="00800D1B" w:rsidRDefault="00623E14" w:rsidP="00431BFA">
      <w:pPr>
        <w:spacing w:before="100" w:after="100"/>
        <w:rPr>
          <w:lang w:val="sv-SE"/>
        </w:rPr>
      </w:pPr>
      <w:bookmarkStart w:id="33" w:name="_Toc256000274"/>
      <w:r w:rsidRPr="00800D1B">
        <w:rPr>
          <w:lang w:val="sv-SE"/>
        </w:rPr>
        <w:t>Tabell 3: Resultatindikatorer</w:t>
      </w:r>
      <w:bookmarkEnd w:id="33"/>
    </w:p>
    <w:tbl>
      <w:tblPr>
        <w:tblStyle w:val="Tabellrutnt"/>
        <w:tblW w:w="5000" w:type="pct"/>
        <w:tblLook w:val="04A0" w:firstRow="1" w:lastRow="0" w:firstColumn="1" w:lastColumn="0" w:noHBand="0" w:noVBand="1"/>
        <w:tblDescription w:val="En tabell med tolv kolumner: Prioritering; Specifikt mål; Fond; Regionkategori; ID; Indikator; Mätenhet; Utgångsvärde eller referensvärde; Referensår; Mål (2029); Datakälla; Kommentarer. Tabellen visar information om Resultatindikatorer."/>
      </w:tblPr>
      <w:tblGrid>
        <w:gridCol w:w="1093"/>
        <w:gridCol w:w="986"/>
        <w:gridCol w:w="583"/>
        <w:gridCol w:w="2525"/>
        <w:gridCol w:w="827"/>
        <w:gridCol w:w="2353"/>
        <w:gridCol w:w="927"/>
        <w:gridCol w:w="1694"/>
        <w:gridCol w:w="1038"/>
        <w:gridCol w:w="926"/>
        <w:gridCol w:w="938"/>
        <w:gridCol w:w="1282"/>
      </w:tblGrid>
      <w:tr w:rsidR="003422DB" w:rsidRPr="00800D1B" w14:paraId="2D06585B" w14:textId="77777777" w:rsidTr="00B75D96">
        <w:tc>
          <w:tcPr>
            <w:tcW w:w="0" w:type="auto"/>
          </w:tcPr>
          <w:p w14:paraId="2D06584F" w14:textId="77777777" w:rsidR="00A77B3E" w:rsidRPr="00800D1B" w:rsidRDefault="00623E14" w:rsidP="00B75D96">
            <w:pPr>
              <w:spacing w:before="100" w:after="100"/>
              <w:ind w:left="-72"/>
              <w:jc w:val="center"/>
              <w:rPr>
                <w:color w:val="000000"/>
                <w:sz w:val="20"/>
                <w:lang w:val="sv-SE"/>
              </w:rPr>
            </w:pPr>
            <w:r w:rsidRPr="00800D1B">
              <w:rPr>
                <w:color w:val="000000"/>
                <w:sz w:val="20"/>
                <w:lang w:val="sv-SE"/>
              </w:rPr>
              <w:t>Prioritering</w:t>
            </w:r>
          </w:p>
        </w:tc>
        <w:tc>
          <w:tcPr>
            <w:tcW w:w="0" w:type="auto"/>
          </w:tcPr>
          <w:p w14:paraId="2D065850" w14:textId="77777777" w:rsidR="00A77B3E" w:rsidRPr="00800D1B" w:rsidRDefault="00623E14" w:rsidP="00B75D96">
            <w:pPr>
              <w:spacing w:before="100" w:after="100"/>
              <w:ind w:left="-72"/>
              <w:jc w:val="center"/>
              <w:rPr>
                <w:color w:val="000000"/>
                <w:sz w:val="20"/>
                <w:lang w:val="sv-SE"/>
              </w:rPr>
            </w:pPr>
            <w:r w:rsidRPr="00800D1B">
              <w:rPr>
                <w:color w:val="000000"/>
                <w:sz w:val="20"/>
                <w:lang w:val="sv-SE"/>
              </w:rPr>
              <w:t>Specifikt mål</w:t>
            </w:r>
          </w:p>
        </w:tc>
        <w:tc>
          <w:tcPr>
            <w:tcW w:w="0" w:type="auto"/>
          </w:tcPr>
          <w:p w14:paraId="2D065851" w14:textId="77777777" w:rsidR="00A77B3E" w:rsidRPr="00800D1B" w:rsidRDefault="00623E14" w:rsidP="00B75D96">
            <w:pPr>
              <w:spacing w:before="100" w:after="100"/>
              <w:ind w:left="-72"/>
              <w:jc w:val="center"/>
              <w:rPr>
                <w:color w:val="000000"/>
                <w:sz w:val="20"/>
                <w:lang w:val="sv-SE"/>
              </w:rPr>
            </w:pPr>
            <w:r w:rsidRPr="00800D1B">
              <w:rPr>
                <w:color w:val="000000"/>
                <w:sz w:val="20"/>
                <w:lang w:val="sv-SE"/>
              </w:rPr>
              <w:t>Fond</w:t>
            </w:r>
          </w:p>
        </w:tc>
        <w:tc>
          <w:tcPr>
            <w:tcW w:w="0" w:type="auto"/>
          </w:tcPr>
          <w:p w14:paraId="2D065852" w14:textId="77777777" w:rsidR="00A77B3E" w:rsidRPr="00800D1B" w:rsidRDefault="00623E14" w:rsidP="00B75D96">
            <w:pPr>
              <w:spacing w:before="100" w:after="100"/>
              <w:ind w:left="-72"/>
              <w:jc w:val="center"/>
              <w:rPr>
                <w:color w:val="000000"/>
                <w:sz w:val="20"/>
                <w:lang w:val="sv-SE"/>
              </w:rPr>
            </w:pPr>
            <w:r w:rsidRPr="00800D1B">
              <w:rPr>
                <w:color w:val="000000"/>
                <w:sz w:val="20"/>
                <w:lang w:val="sv-SE"/>
              </w:rPr>
              <w:t>Regionkategori</w:t>
            </w:r>
          </w:p>
        </w:tc>
        <w:tc>
          <w:tcPr>
            <w:tcW w:w="0" w:type="auto"/>
          </w:tcPr>
          <w:p w14:paraId="2D065853" w14:textId="77777777" w:rsidR="00A77B3E" w:rsidRPr="00800D1B" w:rsidRDefault="00623E14" w:rsidP="00B75D96">
            <w:pPr>
              <w:spacing w:before="100" w:after="100"/>
              <w:ind w:left="-72"/>
              <w:jc w:val="center"/>
              <w:rPr>
                <w:color w:val="000000"/>
                <w:sz w:val="20"/>
                <w:lang w:val="sv-SE"/>
              </w:rPr>
            </w:pPr>
            <w:r w:rsidRPr="00800D1B">
              <w:rPr>
                <w:color w:val="000000"/>
                <w:sz w:val="20"/>
                <w:lang w:val="sv-SE"/>
              </w:rPr>
              <w:t>ID</w:t>
            </w:r>
          </w:p>
        </w:tc>
        <w:tc>
          <w:tcPr>
            <w:tcW w:w="0" w:type="auto"/>
          </w:tcPr>
          <w:p w14:paraId="2D065854" w14:textId="77777777" w:rsidR="00A77B3E" w:rsidRPr="00800D1B" w:rsidRDefault="00623E14" w:rsidP="00B75D96">
            <w:pPr>
              <w:spacing w:before="100" w:after="100"/>
              <w:ind w:left="-72"/>
              <w:jc w:val="center"/>
              <w:rPr>
                <w:color w:val="000000"/>
                <w:sz w:val="20"/>
                <w:lang w:val="sv-SE"/>
              </w:rPr>
            </w:pPr>
            <w:r w:rsidRPr="00800D1B">
              <w:rPr>
                <w:color w:val="000000"/>
                <w:sz w:val="20"/>
                <w:lang w:val="sv-SE"/>
              </w:rPr>
              <w:t>Indikator</w:t>
            </w:r>
          </w:p>
        </w:tc>
        <w:tc>
          <w:tcPr>
            <w:tcW w:w="0" w:type="auto"/>
          </w:tcPr>
          <w:p w14:paraId="2D065855" w14:textId="77777777" w:rsidR="00A77B3E" w:rsidRPr="00800D1B" w:rsidRDefault="00623E14" w:rsidP="00B75D96">
            <w:pPr>
              <w:spacing w:before="100" w:after="100"/>
              <w:ind w:left="-72"/>
              <w:jc w:val="center"/>
              <w:rPr>
                <w:color w:val="000000"/>
                <w:sz w:val="20"/>
                <w:lang w:val="sv-SE"/>
              </w:rPr>
            </w:pPr>
            <w:r w:rsidRPr="00800D1B">
              <w:rPr>
                <w:color w:val="000000"/>
                <w:sz w:val="20"/>
                <w:lang w:val="sv-SE"/>
              </w:rPr>
              <w:t>Mätenhet</w:t>
            </w:r>
          </w:p>
        </w:tc>
        <w:tc>
          <w:tcPr>
            <w:tcW w:w="0" w:type="auto"/>
          </w:tcPr>
          <w:p w14:paraId="2D065856" w14:textId="77777777" w:rsidR="00A77B3E" w:rsidRPr="00800D1B" w:rsidRDefault="00623E14" w:rsidP="00B75D96">
            <w:pPr>
              <w:spacing w:before="100" w:after="100"/>
              <w:ind w:left="-72"/>
              <w:jc w:val="center"/>
              <w:rPr>
                <w:color w:val="000000"/>
                <w:sz w:val="20"/>
                <w:lang w:val="sv-SE"/>
              </w:rPr>
            </w:pPr>
            <w:r w:rsidRPr="00800D1B">
              <w:rPr>
                <w:color w:val="000000"/>
                <w:sz w:val="20"/>
                <w:lang w:val="sv-SE"/>
              </w:rPr>
              <w:t>Utgångsvärde eller referensvärde</w:t>
            </w:r>
          </w:p>
        </w:tc>
        <w:tc>
          <w:tcPr>
            <w:tcW w:w="0" w:type="auto"/>
          </w:tcPr>
          <w:p w14:paraId="2D065857" w14:textId="77777777" w:rsidR="00A77B3E" w:rsidRPr="00800D1B" w:rsidRDefault="00623E14" w:rsidP="00B75D96">
            <w:pPr>
              <w:spacing w:before="100" w:after="100"/>
              <w:ind w:left="-72"/>
              <w:jc w:val="center"/>
              <w:rPr>
                <w:color w:val="000000"/>
                <w:sz w:val="20"/>
                <w:lang w:val="sv-SE"/>
              </w:rPr>
            </w:pPr>
            <w:r w:rsidRPr="00800D1B">
              <w:rPr>
                <w:color w:val="000000"/>
                <w:sz w:val="20"/>
                <w:lang w:val="sv-SE"/>
              </w:rPr>
              <w:t>Referensår</w:t>
            </w:r>
          </w:p>
        </w:tc>
        <w:tc>
          <w:tcPr>
            <w:tcW w:w="0" w:type="auto"/>
          </w:tcPr>
          <w:p w14:paraId="2D065858" w14:textId="77777777" w:rsidR="00A77B3E" w:rsidRPr="00800D1B" w:rsidRDefault="00623E14" w:rsidP="00B75D96">
            <w:pPr>
              <w:spacing w:before="100" w:after="100"/>
              <w:ind w:left="-72"/>
              <w:jc w:val="center"/>
              <w:rPr>
                <w:color w:val="000000"/>
                <w:sz w:val="20"/>
                <w:lang w:val="sv-SE"/>
              </w:rPr>
            </w:pPr>
            <w:r w:rsidRPr="00800D1B">
              <w:rPr>
                <w:color w:val="000000"/>
                <w:sz w:val="20"/>
                <w:lang w:val="sv-SE"/>
              </w:rPr>
              <w:t>Mål (2029)</w:t>
            </w:r>
          </w:p>
        </w:tc>
        <w:tc>
          <w:tcPr>
            <w:tcW w:w="0" w:type="auto"/>
          </w:tcPr>
          <w:p w14:paraId="2D065859" w14:textId="77777777" w:rsidR="00A77B3E" w:rsidRPr="00800D1B" w:rsidRDefault="00623E14" w:rsidP="00B75D96">
            <w:pPr>
              <w:spacing w:before="100" w:after="100"/>
              <w:ind w:left="-72"/>
              <w:jc w:val="center"/>
              <w:rPr>
                <w:color w:val="000000"/>
                <w:sz w:val="20"/>
                <w:lang w:val="sv-SE"/>
              </w:rPr>
            </w:pPr>
            <w:r w:rsidRPr="00800D1B">
              <w:rPr>
                <w:color w:val="000000"/>
                <w:sz w:val="20"/>
                <w:lang w:val="sv-SE"/>
              </w:rPr>
              <w:t>Datakälla</w:t>
            </w:r>
          </w:p>
        </w:tc>
        <w:tc>
          <w:tcPr>
            <w:tcW w:w="0" w:type="auto"/>
          </w:tcPr>
          <w:p w14:paraId="2D06585A" w14:textId="77777777" w:rsidR="00A77B3E" w:rsidRPr="00800D1B" w:rsidRDefault="00623E14" w:rsidP="00B75D96">
            <w:pPr>
              <w:spacing w:before="100" w:after="100"/>
              <w:ind w:left="-72"/>
              <w:jc w:val="center"/>
              <w:rPr>
                <w:color w:val="000000"/>
                <w:sz w:val="20"/>
                <w:lang w:val="sv-SE"/>
              </w:rPr>
            </w:pPr>
            <w:r w:rsidRPr="00800D1B">
              <w:rPr>
                <w:color w:val="000000"/>
                <w:sz w:val="20"/>
                <w:lang w:val="sv-SE"/>
              </w:rPr>
              <w:t>Kommentarer</w:t>
            </w:r>
          </w:p>
        </w:tc>
      </w:tr>
      <w:tr w:rsidR="003422DB" w:rsidRPr="00800D1B" w14:paraId="2D065868" w14:textId="77777777" w:rsidTr="00B75D96">
        <w:tc>
          <w:tcPr>
            <w:tcW w:w="0" w:type="auto"/>
          </w:tcPr>
          <w:p w14:paraId="2D06585C" w14:textId="77777777" w:rsidR="00A77B3E" w:rsidRPr="00800D1B" w:rsidRDefault="00623E14" w:rsidP="00B75D96">
            <w:pPr>
              <w:spacing w:before="100" w:after="100"/>
              <w:ind w:left="-72"/>
              <w:rPr>
                <w:color w:val="000000"/>
                <w:sz w:val="20"/>
                <w:lang w:val="sv-SE"/>
              </w:rPr>
            </w:pPr>
            <w:r w:rsidRPr="00800D1B">
              <w:rPr>
                <w:color w:val="000000"/>
                <w:sz w:val="20"/>
                <w:lang w:val="sv-SE"/>
              </w:rPr>
              <w:t>2</w:t>
            </w:r>
          </w:p>
        </w:tc>
        <w:tc>
          <w:tcPr>
            <w:tcW w:w="0" w:type="auto"/>
          </w:tcPr>
          <w:p w14:paraId="2D06585D" w14:textId="77777777" w:rsidR="00A77B3E" w:rsidRPr="00800D1B" w:rsidRDefault="00623E14" w:rsidP="00B75D96">
            <w:pPr>
              <w:spacing w:before="100" w:after="100"/>
              <w:ind w:left="-72"/>
              <w:rPr>
                <w:color w:val="000000"/>
                <w:sz w:val="20"/>
                <w:lang w:val="sv-SE"/>
              </w:rPr>
            </w:pPr>
            <w:r w:rsidRPr="00800D1B">
              <w:rPr>
                <w:color w:val="000000"/>
                <w:sz w:val="20"/>
                <w:lang w:val="sv-SE"/>
              </w:rPr>
              <w:t>RSO1.5</w:t>
            </w:r>
          </w:p>
        </w:tc>
        <w:tc>
          <w:tcPr>
            <w:tcW w:w="0" w:type="auto"/>
          </w:tcPr>
          <w:p w14:paraId="2D06585E" w14:textId="77777777" w:rsidR="00A77B3E" w:rsidRPr="00800D1B" w:rsidRDefault="00623E14" w:rsidP="00B75D96">
            <w:pPr>
              <w:spacing w:before="100" w:after="100"/>
              <w:ind w:left="-72"/>
              <w:rPr>
                <w:color w:val="000000"/>
                <w:sz w:val="20"/>
                <w:lang w:val="sv-SE"/>
              </w:rPr>
            </w:pPr>
            <w:r w:rsidRPr="00800D1B">
              <w:rPr>
                <w:color w:val="000000"/>
                <w:sz w:val="20"/>
                <w:lang w:val="sv-SE"/>
              </w:rPr>
              <w:t>Eruf</w:t>
            </w:r>
          </w:p>
        </w:tc>
        <w:tc>
          <w:tcPr>
            <w:tcW w:w="0" w:type="auto"/>
          </w:tcPr>
          <w:p w14:paraId="2D06585F" w14:textId="77777777" w:rsidR="00A77B3E" w:rsidRPr="00800D1B" w:rsidRDefault="00623E14" w:rsidP="00B75D96">
            <w:pPr>
              <w:spacing w:before="100" w:after="100"/>
              <w:ind w:left="-72" w:right="-135"/>
              <w:rPr>
                <w:color w:val="000000"/>
                <w:sz w:val="20"/>
                <w:lang w:val="sv-SE"/>
              </w:rPr>
            </w:pPr>
            <w:r w:rsidRPr="00800D1B">
              <w:rPr>
                <w:color w:val="000000"/>
                <w:sz w:val="20"/>
                <w:lang w:val="sv-SE"/>
              </w:rPr>
              <w:t>De yttersta randområdena eller de nordliga glesbefolkade områdena</w:t>
            </w:r>
          </w:p>
        </w:tc>
        <w:tc>
          <w:tcPr>
            <w:tcW w:w="0" w:type="auto"/>
          </w:tcPr>
          <w:p w14:paraId="2D065860" w14:textId="77777777" w:rsidR="00A77B3E" w:rsidRPr="00800D1B" w:rsidRDefault="00623E14" w:rsidP="00B75D96">
            <w:pPr>
              <w:spacing w:before="100" w:after="100"/>
              <w:ind w:left="-72"/>
              <w:rPr>
                <w:color w:val="000000"/>
                <w:sz w:val="20"/>
                <w:lang w:val="sv-SE"/>
              </w:rPr>
            </w:pPr>
            <w:r w:rsidRPr="00800D1B">
              <w:rPr>
                <w:color w:val="000000"/>
                <w:sz w:val="20"/>
                <w:lang w:val="sv-SE"/>
              </w:rPr>
              <w:t>RCR53</w:t>
            </w:r>
          </w:p>
        </w:tc>
        <w:tc>
          <w:tcPr>
            <w:tcW w:w="0" w:type="auto"/>
          </w:tcPr>
          <w:p w14:paraId="2D065861" w14:textId="77777777" w:rsidR="00A77B3E" w:rsidRPr="00800D1B" w:rsidRDefault="00623E14" w:rsidP="00B75D96">
            <w:pPr>
              <w:spacing w:before="100" w:after="100"/>
              <w:ind w:left="-72"/>
              <w:rPr>
                <w:color w:val="000000"/>
                <w:sz w:val="20"/>
                <w:lang w:val="sv-SE"/>
              </w:rPr>
            </w:pPr>
            <w:r w:rsidRPr="00800D1B">
              <w:rPr>
                <w:color w:val="000000"/>
                <w:sz w:val="20"/>
                <w:lang w:val="sv-SE"/>
              </w:rPr>
              <w:t>Bostäder med abonnemang på bredband med mycket hög kapacitet</w:t>
            </w:r>
          </w:p>
        </w:tc>
        <w:tc>
          <w:tcPr>
            <w:tcW w:w="0" w:type="auto"/>
          </w:tcPr>
          <w:p w14:paraId="2D065862" w14:textId="77777777" w:rsidR="00A77B3E" w:rsidRPr="00800D1B" w:rsidRDefault="00623E14" w:rsidP="00B75D96">
            <w:pPr>
              <w:spacing w:before="100" w:after="100"/>
              <w:ind w:left="-72"/>
              <w:rPr>
                <w:color w:val="000000"/>
                <w:sz w:val="20"/>
                <w:lang w:val="sv-SE"/>
              </w:rPr>
            </w:pPr>
            <w:r w:rsidRPr="00800D1B">
              <w:rPr>
                <w:color w:val="000000"/>
                <w:sz w:val="20"/>
                <w:lang w:val="sv-SE"/>
              </w:rPr>
              <w:t>bostäder</w:t>
            </w:r>
          </w:p>
        </w:tc>
        <w:tc>
          <w:tcPr>
            <w:tcW w:w="0" w:type="auto"/>
          </w:tcPr>
          <w:p w14:paraId="2D065863" w14:textId="77777777" w:rsidR="00A77B3E" w:rsidRPr="00800D1B" w:rsidRDefault="00623E14" w:rsidP="00B75D96">
            <w:pPr>
              <w:spacing w:before="100" w:after="100"/>
              <w:ind w:left="-72"/>
              <w:jc w:val="right"/>
              <w:rPr>
                <w:color w:val="000000"/>
                <w:sz w:val="20"/>
                <w:lang w:val="sv-SE"/>
              </w:rPr>
            </w:pPr>
            <w:r w:rsidRPr="00800D1B">
              <w:rPr>
                <w:color w:val="000000"/>
                <w:sz w:val="20"/>
                <w:lang w:val="sv-SE"/>
              </w:rPr>
              <w:t>0,00</w:t>
            </w:r>
          </w:p>
        </w:tc>
        <w:tc>
          <w:tcPr>
            <w:tcW w:w="0" w:type="auto"/>
          </w:tcPr>
          <w:p w14:paraId="2D065864" w14:textId="77777777" w:rsidR="00A77B3E" w:rsidRPr="00800D1B" w:rsidRDefault="00623E14" w:rsidP="00B75D96">
            <w:pPr>
              <w:spacing w:before="100" w:after="100"/>
              <w:ind w:left="-72"/>
              <w:jc w:val="center"/>
              <w:rPr>
                <w:color w:val="000000"/>
                <w:sz w:val="20"/>
                <w:lang w:val="sv-SE"/>
              </w:rPr>
            </w:pPr>
            <w:r w:rsidRPr="00800D1B">
              <w:rPr>
                <w:color w:val="000000"/>
                <w:sz w:val="20"/>
                <w:lang w:val="sv-SE"/>
              </w:rPr>
              <w:t>2021</w:t>
            </w:r>
          </w:p>
        </w:tc>
        <w:tc>
          <w:tcPr>
            <w:tcW w:w="0" w:type="auto"/>
          </w:tcPr>
          <w:p w14:paraId="2D065865" w14:textId="77777777" w:rsidR="00A77B3E" w:rsidRPr="00800D1B" w:rsidRDefault="00623E14" w:rsidP="00B75D96">
            <w:pPr>
              <w:spacing w:before="100" w:after="100"/>
              <w:ind w:left="-72"/>
              <w:jc w:val="right"/>
              <w:rPr>
                <w:color w:val="000000"/>
                <w:sz w:val="20"/>
                <w:lang w:val="sv-SE"/>
              </w:rPr>
            </w:pPr>
            <w:r w:rsidRPr="00800D1B">
              <w:rPr>
                <w:color w:val="000000"/>
                <w:sz w:val="20"/>
                <w:lang w:val="sv-SE"/>
              </w:rPr>
              <w:t>419,00</w:t>
            </w:r>
          </w:p>
        </w:tc>
        <w:tc>
          <w:tcPr>
            <w:tcW w:w="0" w:type="auto"/>
          </w:tcPr>
          <w:p w14:paraId="2D065866" w14:textId="77777777" w:rsidR="00A77B3E" w:rsidRPr="00800D1B" w:rsidRDefault="00623E14" w:rsidP="00B75D96">
            <w:pPr>
              <w:spacing w:before="100" w:after="100"/>
              <w:ind w:left="-72"/>
              <w:rPr>
                <w:color w:val="000000"/>
                <w:sz w:val="20"/>
                <w:lang w:val="sv-SE"/>
              </w:rPr>
            </w:pPr>
            <w:r w:rsidRPr="00800D1B">
              <w:rPr>
                <w:color w:val="000000"/>
                <w:sz w:val="20"/>
                <w:lang w:val="sv-SE"/>
              </w:rPr>
              <w:t>Projekt</w:t>
            </w:r>
          </w:p>
        </w:tc>
        <w:tc>
          <w:tcPr>
            <w:tcW w:w="0" w:type="auto"/>
          </w:tcPr>
          <w:p w14:paraId="2D065867" w14:textId="77777777" w:rsidR="00A77B3E" w:rsidRPr="00800D1B" w:rsidRDefault="00A77B3E" w:rsidP="00B75D96">
            <w:pPr>
              <w:spacing w:before="100" w:after="100"/>
              <w:ind w:left="-72"/>
              <w:rPr>
                <w:color w:val="000000"/>
                <w:sz w:val="20"/>
                <w:lang w:val="sv-SE"/>
              </w:rPr>
            </w:pPr>
          </w:p>
        </w:tc>
      </w:tr>
      <w:tr w:rsidR="003422DB" w:rsidRPr="00800D1B" w14:paraId="2D065875" w14:textId="77777777" w:rsidTr="00B75D96">
        <w:tc>
          <w:tcPr>
            <w:tcW w:w="0" w:type="auto"/>
          </w:tcPr>
          <w:p w14:paraId="2D065869" w14:textId="77777777" w:rsidR="00A77B3E" w:rsidRPr="00800D1B" w:rsidRDefault="00623E14" w:rsidP="00B75D96">
            <w:pPr>
              <w:spacing w:before="100" w:after="100"/>
              <w:ind w:left="-72"/>
              <w:rPr>
                <w:color w:val="000000"/>
                <w:sz w:val="20"/>
                <w:lang w:val="sv-SE"/>
              </w:rPr>
            </w:pPr>
            <w:r w:rsidRPr="00800D1B">
              <w:rPr>
                <w:color w:val="000000"/>
                <w:sz w:val="20"/>
                <w:lang w:val="sv-SE"/>
              </w:rPr>
              <w:t>2</w:t>
            </w:r>
          </w:p>
        </w:tc>
        <w:tc>
          <w:tcPr>
            <w:tcW w:w="0" w:type="auto"/>
          </w:tcPr>
          <w:p w14:paraId="2D06586A" w14:textId="77777777" w:rsidR="00A77B3E" w:rsidRPr="00800D1B" w:rsidRDefault="00623E14" w:rsidP="00B75D96">
            <w:pPr>
              <w:spacing w:before="100" w:after="100"/>
              <w:ind w:left="-72"/>
              <w:rPr>
                <w:color w:val="000000"/>
                <w:sz w:val="20"/>
                <w:lang w:val="sv-SE"/>
              </w:rPr>
            </w:pPr>
            <w:r w:rsidRPr="00800D1B">
              <w:rPr>
                <w:color w:val="000000"/>
                <w:sz w:val="20"/>
                <w:lang w:val="sv-SE"/>
              </w:rPr>
              <w:t>RSO1.5</w:t>
            </w:r>
          </w:p>
        </w:tc>
        <w:tc>
          <w:tcPr>
            <w:tcW w:w="0" w:type="auto"/>
          </w:tcPr>
          <w:p w14:paraId="2D06586B" w14:textId="77777777" w:rsidR="00A77B3E" w:rsidRPr="00800D1B" w:rsidRDefault="00623E14" w:rsidP="00B75D96">
            <w:pPr>
              <w:spacing w:before="100" w:after="100"/>
              <w:ind w:left="-72"/>
              <w:rPr>
                <w:color w:val="000000"/>
                <w:sz w:val="20"/>
                <w:lang w:val="sv-SE"/>
              </w:rPr>
            </w:pPr>
            <w:r w:rsidRPr="00800D1B">
              <w:rPr>
                <w:color w:val="000000"/>
                <w:sz w:val="20"/>
                <w:lang w:val="sv-SE"/>
              </w:rPr>
              <w:t>Eruf</w:t>
            </w:r>
          </w:p>
        </w:tc>
        <w:tc>
          <w:tcPr>
            <w:tcW w:w="0" w:type="auto"/>
          </w:tcPr>
          <w:p w14:paraId="2D06586C" w14:textId="77777777" w:rsidR="00A77B3E" w:rsidRPr="00800D1B" w:rsidRDefault="00623E14" w:rsidP="00B75D96">
            <w:pPr>
              <w:spacing w:before="100" w:after="100"/>
              <w:ind w:left="-72" w:right="-135"/>
              <w:rPr>
                <w:color w:val="000000"/>
                <w:sz w:val="20"/>
                <w:lang w:val="sv-SE"/>
              </w:rPr>
            </w:pPr>
            <w:r w:rsidRPr="00800D1B">
              <w:rPr>
                <w:color w:val="000000"/>
                <w:sz w:val="20"/>
                <w:lang w:val="sv-SE"/>
              </w:rPr>
              <w:t>De yttersta randområdena eller de nordliga glesbefolkade områdena</w:t>
            </w:r>
          </w:p>
        </w:tc>
        <w:tc>
          <w:tcPr>
            <w:tcW w:w="0" w:type="auto"/>
          </w:tcPr>
          <w:p w14:paraId="2D06586D" w14:textId="77777777" w:rsidR="00A77B3E" w:rsidRPr="00800D1B" w:rsidRDefault="00623E14" w:rsidP="00B75D96">
            <w:pPr>
              <w:spacing w:before="100" w:after="100"/>
              <w:ind w:left="-72"/>
              <w:rPr>
                <w:color w:val="000000"/>
                <w:sz w:val="20"/>
                <w:lang w:val="sv-SE"/>
              </w:rPr>
            </w:pPr>
            <w:r w:rsidRPr="00800D1B">
              <w:rPr>
                <w:color w:val="000000"/>
                <w:sz w:val="20"/>
                <w:lang w:val="sv-SE"/>
              </w:rPr>
              <w:t>RCR54</w:t>
            </w:r>
          </w:p>
        </w:tc>
        <w:tc>
          <w:tcPr>
            <w:tcW w:w="0" w:type="auto"/>
          </w:tcPr>
          <w:p w14:paraId="2D06586E" w14:textId="77777777" w:rsidR="00A77B3E" w:rsidRPr="00800D1B" w:rsidRDefault="00623E14" w:rsidP="00B75D96">
            <w:pPr>
              <w:spacing w:before="100" w:after="100"/>
              <w:ind w:left="-72"/>
              <w:rPr>
                <w:color w:val="000000"/>
                <w:sz w:val="20"/>
                <w:lang w:val="sv-SE"/>
              </w:rPr>
            </w:pPr>
            <w:r w:rsidRPr="00800D1B">
              <w:rPr>
                <w:color w:val="000000"/>
                <w:sz w:val="20"/>
                <w:lang w:val="sv-SE"/>
              </w:rPr>
              <w:t>Företag som abonnerar på bredband med mycket hög kapacitet</w:t>
            </w:r>
          </w:p>
        </w:tc>
        <w:tc>
          <w:tcPr>
            <w:tcW w:w="0" w:type="auto"/>
          </w:tcPr>
          <w:p w14:paraId="2D06586F" w14:textId="77777777" w:rsidR="00A77B3E" w:rsidRPr="00800D1B" w:rsidRDefault="00623E14" w:rsidP="00B75D96">
            <w:pPr>
              <w:spacing w:before="100" w:after="100"/>
              <w:ind w:left="-72"/>
              <w:rPr>
                <w:color w:val="000000"/>
                <w:sz w:val="20"/>
                <w:lang w:val="sv-SE"/>
              </w:rPr>
            </w:pPr>
            <w:r w:rsidRPr="00800D1B">
              <w:rPr>
                <w:color w:val="000000"/>
                <w:sz w:val="20"/>
                <w:lang w:val="sv-SE"/>
              </w:rPr>
              <w:t>företag</w:t>
            </w:r>
          </w:p>
        </w:tc>
        <w:tc>
          <w:tcPr>
            <w:tcW w:w="0" w:type="auto"/>
          </w:tcPr>
          <w:p w14:paraId="2D065870" w14:textId="77777777" w:rsidR="00A77B3E" w:rsidRPr="00800D1B" w:rsidRDefault="00623E14" w:rsidP="00B75D96">
            <w:pPr>
              <w:spacing w:before="100" w:after="100"/>
              <w:ind w:left="-72"/>
              <w:jc w:val="right"/>
              <w:rPr>
                <w:color w:val="000000"/>
                <w:sz w:val="20"/>
                <w:lang w:val="sv-SE"/>
              </w:rPr>
            </w:pPr>
            <w:r w:rsidRPr="00800D1B">
              <w:rPr>
                <w:color w:val="000000"/>
                <w:sz w:val="20"/>
                <w:lang w:val="sv-SE"/>
              </w:rPr>
              <w:t>0,00</w:t>
            </w:r>
          </w:p>
        </w:tc>
        <w:tc>
          <w:tcPr>
            <w:tcW w:w="0" w:type="auto"/>
          </w:tcPr>
          <w:p w14:paraId="2D065871" w14:textId="77777777" w:rsidR="00A77B3E" w:rsidRPr="00800D1B" w:rsidRDefault="00623E14" w:rsidP="00B75D96">
            <w:pPr>
              <w:spacing w:before="100" w:after="100"/>
              <w:ind w:left="-72"/>
              <w:jc w:val="center"/>
              <w:rPr>
                <w:color w:val="000000"/>
                <w:sz w:val="20"/>
                <w:lang w:val="sv-SE"/>
              </w:rPr>
            </w:pPr>
            <w:r w:rsidRPr="00800D1B">
              <w:rPr>
                <w:color w:val="000000"/>
                <w:sz w:val="20"/>
                <w:lang w:val="sv-SE"/>
              </w:rPr>
              <w:t>2021</w:t>
            </w:r>
          </w:p>
        </w:tc>
        <w:tc>
          <w:tcPr>
            <w:tcW w:w="0" w:type="auto"/>
          </w:tcPr>
          <w:p w14:paraId="2D065872" w14:textId="77777777" w:rsidR="00A77B3E" w:rsidRPr="00800D1B" w:rsidRDefault="00623E14" w:rsidP="00B75D96">
            <w:pPr>
              <w:spacing w:before="100" w:after="100"/>
              <w:ind w:left="-72"/>
              <w:jc w:val="right"/>
              <w:rPr>
                <w:color w:val="000000"/>
                <w:sz w:val="20"/>
                <w:lang w:val="sv-SE"/>
              </w:rPr>
            </w:pPr>
            <w:r w:rsidRPr="00800D1B">
              <w:rPr>
                <w:color w:val="000000"/>
                <w:sz w:val="20"/>
                <w:lang w:val="sv-SE"/>
              </w:rPr>
              <w:t>213,00</w:t>
            </w:r>
          </w:p>
        </w:tc>
        <w:tc>
          <w:tcPr>
            <w:tcW w:w="0" w:type="auto"/>
          </w:tcPr>
          <w:p w14:paraId="2D065873" w14:textId="77777777" w:rsidR="00A77B3E" w:rsidRPr="00800D1B" w:rsidRDefault="00623E14" w:rsidP="00B75D96">
            <w:pPr>
              <w:spacing w:before="100" w:after="100"/>
              <w:ind w:left="-72"/>
              <w:rPr>
                <w:color w:val="000000"/>
                <w:sz w:val="20"/>
                <w:lang w:val="sv-SE"/>
              </w:rPr>
            </w:pPr>
            <w:r w:rsidRPr="00800D1B">
              <w:rPr>
                <w:color w:val="000000"/>
                <w:sz w:val="20"/>
                <w:lang w:val="sv-SE"/>
              </w:rPr>
              <w:t>Projekt</w:t>
            </w:r>
          </w:p>
        </w:tc>
        <w:tc>
          <w:tcPr>
            <w:tcW w:w="0" w:type="auto"/>
          </w:tcPr>
          <w:p w14:paraId="2D065874" w14:textId="77777777" w:rsidR="00A77B3E" w:rsidRPr="00800D1B" w:rsidRDefault="00A77B3E" w:rsidP="00B75D96">
            <w:pPr>
              <w:spacing w:before="100" w:after="100"/>
              <w:ind w:left="-72"/>
              <w:rPr>
                <w:color w:val="000000"/>
                <w:sz w:val="20"/>
                <w:lang w:val="sv-SE"/>
              </w:rPr>
            </w:pPr>
          </w:p>
        </w:tc>
      </w:tr>
      <w:tr w:rsidR="003422DB" w:rsidRPr="00800D1B" w14:paraId="2D065882" w14:textId="77777777" w:rsidTr="00B75D96">
        <w:tc>
          <w:tcPr>
            <w:tcW w:w="0" w:type="auto"/>
          </w:tcPr>
          <w:p w14:paraId="2D065876" w14:textId="77777777" w:rsidR="00A77B3E" w:rsidRPr="00800D1B" w:rsidRDefault="00623E14" w:rsidP="00B75D96">
            <w:pPr>
              <w:spacing w:before="100" w:after="100"/>
              <w:ind w:left="-72"/>
              <w:rPr>
                <w:color w:val="000000"/>
                <w:sz w:val="20"/>
                <w:lang w:val="sv-SE"/>
              </w:rPr>
            </w:pPr>
            <w:r w:rsidRPr="00800D1B">
              <w:rPr>
                <w:color w:val="000000"/>
                <w:sz w:val="20"/>
                <w:lang w:val="sv-SE"/>
              </w:rPr>
              <w:t>2</w:t>
            </w:r>
          </w:p>
        </w:tc>
        <w:tc>
          <w:tcPr>
            <w:tcW w:w="0" w:type="auto"/>
          </w:tcPr>
          <w:p w14:paraId="2D065877" w14:textId="77777777" w:rsidR="00A77B3E" w:rsidRPr="00800D1B" w:rsidRDefault="00623E14" w:rsidP="00B75D96">
            <w:pPr>
              <w:spacing w:before="100" w:after="100"/>
              <w:ind w:left="-72"/>
              <w:rPr>
                <w:color w:val="000000"/>
                <w:sz w:val="20"/>
                <w:lang w:val="sv-SE"/>
              </w:rPr>
            </w:pPr>
            <w:r w:rsidRPr="00800D1B">
              <w:rPr>
                <w:color w:val="000000"/>
                <w:sz w:val="20"/>
                <w:lang w:val="sv-SE"/>
              </w:rPr>
              <w:t>RSO1.5</w:t>
            </w:r>
          </w:p>
        </w:tc>
        <w:tc>
          <w:tcPr>
            <w:tcW w:w="0" w:type="auto"/>
          </w:tcPr>
          <w:p w14:paraId="2D065878" w14:textId="77777777" w:rsidR="00A77B3E" w:rsidRPr="00800D1B" w:rsidRDefault="00623E14" w:rsidP="00B75D96">
            <w:pPr>
              <w:spacing w:before="100" w:after="100"/>
              <w:ind w:left="-72"/>
              <w:rPr>
                <w:color w:val="000000"/>
                <w:sz w:val="20"/>
                <w:lang w:val="sv-SE"/>
              </w:rPr>
            </w:pPr>
            <w:r w:rsidRPr="00800D1B">
              <w:rPr>
                <w:color w:val="000000"/>
                <w:sz w:val="20"/>
                <w:lang w:val="sv-SE"/>
              </w:rPr>
              <w:t>Eruf</w:t>
            </w:r>
          </w:p>
        </w:tc>
        <w:tc>
          <w:tcPr>
            <w:tcW w:w="0" w:type="auto"/>
          </w:tcPr>
          <w:p w14:paraId="2D065879" w14:textId="77777777" w:rsidR="00A77B3E" w:rsidRPr="00800D1B" w:rsidRDefault="00623E14" w:rsidP="00B75D96">
            <w:pPr>
              <w:spacing w:before="100" w:after="100"/>
              <w:ind w:left="-72" w:right="-135"/>
              <w:rPr>
                <w:color w:val="000000"/>
                <w:sz w:val="20"/>
                <w:lang w:val="sv-SE"/>
              </w:rPr>
            </w:pPr>
            <w:r w:rsidRPr="00800D1B">
              <w:rPr>
                <w:color w:val="000000"/>
                <w:sz w:val="20"/>
                <w:lang w:val="sv-SE"/>
              </w:rPr>
              <w:t>De yttersta randområdena eller de nordliga glesbefolkade områdena</w:t>
            </w:r>
          </w:p>
        </w:tc>
        <w:tc>
          <w:tcPr>
            <w:tcW w:w="0" w:type="auto"/>
          </w:tcPr>
          <w:p w14:paraId="2D06587A" w14:textId="77777777" w:rsidR="00A77B3E" w:rsidRPr="00800D1B" w:rsidRDefault="00623E14" w:rsidP="00B75D96">
            <w:pPr>
              <w:spacing w:before="100" w:after="100"/>
              <w:ind w:left="-72"/>
              <w:rPr>
                <w:color w:val="000000"/>
                <w:sz w:val="20"/>
                <w:lang w:val="sv-SE"/>
              </w:rPr>
            </w:pPr>
            <w:r w:rsidRPr="00800D1B">
              <w:rPr>
                <w:color w:val="000000"/>
                <w:sz w:val="20"/>
                <w:lang w:val="sv-SE"/>
              </w:rPr>
              <w:t>MNR01</w:t>
            </w:r>
          </w:p>
        </w:tc>
        <w:tc>
          <w:tcPr>
            <w:tcW w:w="0" w:type="auto"/>
          </w:tcPr>
          <w:p w14:paraId="2D06587B" w14:textId="77777777" w:rsidR="00A77B3E" w:rsidRPr="00800D1B" w:rsidRDefault="00623E14" w:rsidP="00B75D96">
            <w:pPr>
              <w:spacing w:before="100" w:after="100"/>
              <w:ind w:left="-72"/>
              <w:rPr>
                <w:color w:val="000000"/>
                <w:sz w:val="20"/>
                <w:lang w:val="sv-SE"/>
              </w:rPr>
            </w:pPr>
            <w:r w:rsidRPr="00800D1B">
              <w:rPr>
                <w:color w:val="000000"/>
                <w:sz w:val="20"/>
                <w:lang w:val="sv-SE"/>
              </w:rPr>
              <w:t>Ytterligare hushåll med bredband med mycket hög kapacitet</w:t>
            </w:r>
          </w:p>
        </w:tc>
        <w:tc>
          <w:tcPr>
            <w:tcW w:w="0" w:type="auto"/>
          </w:tcPr>
          <w:p w14:paraId="2D06587C" w14:textId="77777777" w:rsidR="00A77B3E" w:rsidRPr="00800D1B" w:rsidRDefault="00623E14" w:rsidP="00B75D96">
            <w:pPr>
              <w:spacing w:before="100" w:after="100"/>
              <w:ind w:left="-72"/>
              <w:rPr>
                <w:color w:val="000000"/>
                <w:sz w:val="20"/>
                <w:lang w:val="sv-SE"/>
              </w:rPr>
            </w:pPr>
            <w:r w:rsidRPr="00800D1B">
              <w:rPr>
                <w:color w:val="000000"/>
                <w:sz w:val="20"/>
                <w:lang w:val="sv-SE"/>
              </w:rPr>
              <w:t>Hushåll</w:t>
            </w:r>
          </w:p>
        </w:tc>
        <w:tc>
          <w:tcPr>
            <w:tcW w:w="0" w:type="auto"/>
          </w:tcPr>
          <w:p w14:paraId="2D06587D" w14:textId="77777777" w:rsidR="00A77B3E" w:rsidRPr="00800D1B" w:rsidRDefault="00623E14" w:rsidP="00B75D96">
            <w:pPr>
              <w:spacing w:before="100" w:after="100"/>
              <w:ind w:left="-72"/>
              <w:jc w:val="right"/>
              <w:rPr>
                <w:color w:val="000000"/>
                <w:sz w:val="20"/>
                <w:lang w:val="sv-SE"/>
              </w:rPr>
            </w:pPr>
            <w:r w:rsidRPr="00800D1B">
              <w:rPr>
                <w:color w:val="000000"/>
                <w:sz w:val="20"/>
                <w:lang w:val="sv-SE"/>
              </w:rPr>
              <w:t>0,00</w:t>
            </w:r>
          </w:p>
        </w:tc>
        <w:tc>
          <w:tcPr>
            <w:tcW w:w="0" w:type="auto"/>
          </w:tcPr>
          <w:p w14:paraId="2D06587E" w14:textId="77777777" w:rsidR="00A77B3E" w:rsidRPr="00800D1B" w:rsidRDefault="00623E14" w:rsidP="00B75D96">
            <w:pPr>
              <w:spacing w:before="100" w:after="100"/>
              <w:ind w:left="-72"/>
              <w:jc w:val="center"/>
              <w:rPr>
                <w:color w:val="000000"/>
                <w:sz w:val="20"/>
                <w:lang w:val="sv-SE"/>
              </w:rPr>
            </w:pPr>
            <w:r w:rsidRPr="00800D1B">
              <w:rPr>
                <w:color w:val="000000"/>
                <w:sz w:val="20"/>
                <w:lang w:val="sv-SE"/>
              </w:rPr>
              <w:t>2021</w:t>
            </w:r>
          </w:p>
        </w:tc>
        <w:tc>
          <w:tcPr>
            <w:tcW w:w="0" w:type="auto"/>
          </w:tcPr>
          <w:p w14:paraId="2D06587F" w14:textId="77777777" w:rsidR="00A77B3E" w:rsidRPr="00800D1B" w:rsidRDefault="00623E14" w:rsidP="00B75D96">
            <w:pPr>
              <w:spacing w:before="100" w:after="100"/>
              <w:ind w:left="-72"/>
              <w:jc w:val="right"/>
              <w:rPr>
                <w:color w:val="000000"/>
                <w:sz w:val="20"/>
                <w:lang w:val="sv-SE"/>
              </w:rPr>
            </w:pPr>
            <w:r w:rsidRPr="00800D1B">
              <w:rPr>
                <w:color w:val="000000"/>
                <w:sz w:val="20"/>
                <w:lang w:val="sv-SE"/>
              </w:rPr>
              <w:t>2 097,00</w:t>
            </w:r>
          </w:p>
        </w:tc>
        <w:tc>
          <w:tcPr>
            <w:tcW w:w="0" w:type="auto"/>
          </w:tcPr>
          <w:p w14:paraId="2D065880" w14:textId="77777777" w:rsidR="00A77B3E" w:rsidRPr="00800D1B" w:rsidRDefault="00623E14" w:rsidP="00B75D96">
            <w:pPr>
              <w:spacing w:before="100" w:after="100"/>
              <w:ind w:left="-72"/>
              <w:rPr>
                <w:color w:val="000000"/>
                <w:sz w:val="20"/>
                <w:lang w:val="sv-SE"/>
              </w:rPr>
            </w:pPr>
            <w:r w:rsidRPr="00800D1B">
              <w:rPr>
                <w:color w:val="000000"/>
                <w:sz w:val="20"/>
                <w:lang w:val="sv-SE"/>
              </w:rPr>
              <w:t>Projekt</w:t>
            </w:r>
          </w:p>
        </w:tc>
        <w:tc>
          <w:tcPr>
            <w:tcW w:w="0" w:type="auto"/>
          </w:tcPr>
          <w:p w14:paraId="2D065881" w14:textId="77777777" w:rsidR="00A77B3E" w:rsidRPr="00800D1B" w:rsidRDefault="00A77B3E" w:rsidP="00B75D96">
            <w:pPr>
              <w:spacing w:before="100" w:after="100"/>
              <w:ind w:left="-72"/>
              <w:rPr>
                <w:color w:val="000000"/>
                <w:sz w:val="20"/>
                <w:lang w:val="sv-SE"/>
              </w:rPr>
            </w:pPr>
          </w:p>
        </w:tc>
      </w:tr>
      <w:tr w:rsidR="003422DB" w:rsidRPr="00800D1B" w14:paraId="2D06588F" w14:textId="77777777" w:rsidTr="00B75D96">
        <w:tc>
          <w:tcPr>
            <w:tcW w:w="0" w:type="auto"/>
          </w:tcPr>
          <w:p w14:paraId="2D065883" w14:textId="77777777" w:rsidR="00A77B3E" w:rsidRPr="00800D1B" w:rsidRDefault="00623E14" w:rsidP="00B75D96">
            <w:pPr>
              <w:spacing w:before="100" w:after="100"/>
              <w:ind w:left="-72"/>
              <w:rPr>
                <w:color w:val="000000"/>
                <w:sz w:val="20"/>
                <w:lang w:val="sv-SE"/>
              </w:rPr>
            </w:pPr>
            <w:r w:rsidRPr="00800D1B">
              <w:rPr>
                <w:color w:val="000000"/>
                <w:sz w:val="20"/>
                <w:lang w:val="sv-SE"/>
              </w:rPr>
              <w:t>2</w:t>
            </w:r>
          </w:p>
        </w:tc>
        <w:tc>
          <w:tcPr>
            <w:tcW w:w="0" w:type="auto"/>
          </w:tcPr>
          <w:p w14:paraId="2D065884" w14:textId="77777777" w:rsidR="00A77B3E" w:rsidRPr="00800D1B" w:rsidRDefault="00623E14" w:rsidP="00B75D96">
            <w:pPr>
              <w:spacing w:before="100" w:after="100"/>
              <w:ind w:left="-72"/>
              <w:rPr>
                <w:color w:val="000000"/>
                <w:sz w:val="20"/>
                <w:lang w:val="sv-SE"/>
              </w:rPr>
            </w:pPr>
            <w:r w:rsidRPr="00800D1B">
              <w:rPr>
                <w:color w:val="000000"/>
                <w:sz w:val="20"/>
                <w:lang w:val="sv-SE"/>
              </w:rPr>
              <w:t>RSO1.5</w:t>
            </w:r>
          </w:p>
        </w:tc>
        <w:tc>
          <w:tcPr>
            <w:tcW w:w="0" w:type="auto"/>
          </w:tcPr>
          <w:p w14:paraId="2D065885" w14:textId="77777777" w:rsidR="00A77B3E" w:rsidRPr="00800D1B" w:rsidRDefault="00623E14" w:rsidP="00B75D96">
            <w:pPr>
              <w:spacing w:before="100" w:after="100"/>
              <w:ind w:left="-72"/>
              <w:rPr>
                <w:color w:val="000000"/>
                <w:sz w:val="20"/>
                <w:lang w:val="sv-SE"/>
              </w:rPr>
            </w:pPr>
            <w:r w:rsidRPr="00800D1B">
              <w:rPr>
                <w:color w:val="000000"/>
                <w:sz w:val="20"/>
                <w:lang w:val="sv-SE"/>
              </w:rPr>
              <w:t>Eruf</w:t>
            </w:r>
          </w:p>
        </w:tc>
        <w:tc>
          <w:tcPr>
            <w:tcW w:w="0" w:type="auto"/>
          </w:tcPr>
          <w:p w14:paraId="2D065886" w14:textId="77777777" w:rsidR="00A77B3E" w:rsidRPr="00800D1B" w:rsidRDefault="00623E14" w:rsidP="00B75D96">
            <w:pPr>
              <w:spacing w:before="100" w:after="100"/>
              <w:ind w:left="-72" w:right="-135"/>
              <w:rPr>
                <w:color w:val="000000"/>
                <w:sz w:val="20"/>
                <w:lang w:val="sv-SE"/>
              </w:rPr>
            </w:pPr>
            <w:r w:rsidRPr="00800D1B">
              <w:rPr>
                <w:color w:val="000000"/>
                <w:sz w:val="20"/>
                <w:lang w:val="sv-SE"/>
              </w:rPr>
              <w:t>De yttersta randområdena eller de nordliga glesbefolkade områdena</w:t>
            </w:r>
          </w:p>
        </w:tc>
        <w:tc>
          <w:tcPr>
            <w:tcW w:w="0" w:type="auto"/>
          </w:tcPr>
          <w:p w14:paraId="2D065887" w14:textId="77777777" w:rsidR="00A77B3E" w:rsidRPr="00800D1B" w:rsidRDefault="00623E14" w:rsidP="00B75D96">
            <w:pPr>
              <w:spacing w:before="100" w:after="100"/>
              <w:ind w:left="-72"/>
              <w:rPr>
                <w:color w:val="000000"/>
                <w:sz w:val="20"/>
                <w:lang w:val="sv-SE"/>
              </w:rPr>
            </w:pPr>
            <w:r w:rsidRPr="00800D1B">
              <w:rPr>
                <w:color w:val="000000"/>
                <w:sz w:val="20"/>
                <w:lang w:val="sv-SE"/>
              </w:rPr>
              <w:t>MNR02</w:t>
            </w:r>
          </w:p>
        </w:tc>
        <w:tc>
          <w:tcPr>
            <w:tcW w:w="0" w:type="auto"/>
          </w:tcPr>
          <w:p w14:paraId="2D065888" w14:textId="77777777" w:rsidR="00A77B3E" w:rsidRPr="00800D1B" w:rsidRDefault="00623E14" w:rsidP="00B75D96">
            <w:pPr>
              <w:spacing w:before="100" w:after="100"/>
              <w:ind w:left="-72"/>
              <w:rPr>
                <w:color w:val="000000"/>
                <w:sz w:val="20"/>
                <w:lang w:val="sv-SE"/>
              </w:rPr>
            </w:pPr>
            <w:r w:rsidRPr="00800D1B">
              <w:rPr>
                <w:color w:val="000000"/>
                <w:sz w:val="20"/>
                <w:lang w:val="sv-SE"/>
              </w:rPr>
              <w:t>Ytterligare företag med bredband med mycket hög kapacitet</w:t>
            </w:r>
          </w:p>
        </w:tc>
        <w:tc>
          <w:tcPr>
            <w:tcW w:w="0" w:type="auto"/>
          </w:tcPr>
          <w:p w14:paraId="2D065889" w14:textId="77777777" w:rsidR="00A77B3E" w:rsidRPr="00800D1B" w:rsidRDefault="00623E14" w:rsidP="00B75D96">
            <w:pPr>
              <w:spacing w:before="100" w:after="100"/>
              <w:ind w:left="-72"/>
              <w:rPr>
                <w:color w:val="000000"/>
                <w:sz w:val="20"/>
                <w:lang w:val="sv-SE"/>
              </w:rPr>
            </w:pPr>
            <w:r w:rsidRPr="00800D1B">
              <w:rPr>
                <w:color w:val="000000"/>
                <w:sz w:val="20"/>
                <w:lang w:val="sv-SE"/>
              </w:rPr>
              <w:t>Företag</w:t>
            </w:r>
          </w:p>
        </w:tc>
        <w:tc>
          <w:tcPr>
            <w:tcW w:w="0" w:type="auto"/>
          </w:tcPr>
          <w:p w14:paraId="2D06588A" w14:textId="77777777" w:rsidR="00A77B3E" w:rsidRPr="00800D1B" w:rsidRDefault="00623E14" w:rsidP="00B75D96">
            <w:pPr>
              <w:spacing w:before="100" w:after="100"/>
              <w:ind w:left="-72"/>
              <w:jc w:val="right"/>
              <w:rPr>
                <w:color w:val="000000"/>
                <w:sz w:val="20"/>
                <w:lang w:val="sv-SE"/>
              </w:rPr>
            </w:pPr>
            <w:r w:rsidRPr="00800D1B">
              <w:rPr>
                <w:color w:val="000000"/>
                <w:sz w:val="20"/>
                <w:lang w:val="sv-SE"/>
              </w:rPr>
              <w:t>0,00</w:t>
            </w:r>
          </w:p>
        </w:tc>
        <w:tc>
          <w:tcPr>
            <w:tcW w:w="0" w:type="auto"/>
          </w:tcPr>
          <w:p w14:paraId="2D06588B" w14:textId="77777777" w:rsidR="00A77B3E" w:rsidRPr="00800D1B" w:rsidRDefault="00623E14" w:rsidP="00B75D96">
            <w:pPr>
              <w:spacing w:before="100" w:after="100"/>
              <w:ind w:left="-72"/>
              <w:jc w:val="center"/>
              <w:rPr>
                <w:color w:val="000000"/>
                <w:sz w:val="20"/>
                <w:lang w:val="sv-SE"/>
              </w:rPr>
            </w:pPr>
            <w:r w:rsidRPr="00800D1B">
              <w:rPr>
                <w:color w:val="000000"/>
                <w:sz w:val="20"/>
                <w:lang w:val="sv-SE"/>
              </w:rPr>
              <w:t>2021</w:t>
            </w:r>
          </w:p>
        </w:tc>
        <w:tc>
          <w:tcPr>
            <w:tcW w:w="0" w:type="auto"/>
          </w:tcPr>
          <w:p w14:paraId="2D06588C" w14:textId="77777777" w:rsidR="00A77B3E" w:rsidRPr="00800D1B" w:rsidRDefault="00623E14" w:rsidP="00B75D96">
            <w:pPr>
              <w:spacing w:before="100" w:after="100"/>
              <w:ind w:left="-72"/>
              <w:jc w:val="right"/>
              <w:rPr>
                <w:color w:val="000000"/>
                <w:sz w:val="20"/>
                <w:lang w:val="sv-SE"/>
              </w:rPr>
            </w:pPr>
            <w:r w:rsidRPr="00800D1B">
              <w:rPr>
                <w:color w:val="000000"/>
                <w:sz w:val="20"/>
                <w:lang w:val="sv-SE"/>
              </w:rPr>
              <w:t>899,00</w:t>
            </w:r>
          </w:p>
        </w:tc>
        <w:tc>
          <w:tcPr>
            <w:tcW w:w="0" w:type="auto"/>
          </w:tcPr>
          <w:p w14:paraId="2D06588D" w14:textId="77777777" w:rsidR="00A77B3E" w:rsidRPr="00800D1B" w:rsidRDefault="00623E14" w:rsidP="00B75D96">
            <w:pPr>
              <w:spacing w:before="100" w:after="100"/>
              <w:ind w:left="-72"/>
              <w:rPr>
                <w:color w:val="000000"/>
                <w:sz w:val="20"/>
                <w:lang w:val="sv-SE"/>
              </w:rPr>
            </w:pPr>
            <w:r w:rsidRPr="00800D1B">
              <w:rPr>
                <w:color w:val="000000"/>
                <w:sz w:val="20"/>
                <w:lang w:val="sv-SE"/>
              </w:rPr>
              <w:t>Projekt</w:t>
            </w:r>
          </w:p>
        </w:tc>
        <w:tc>
          <w:tcPr>
            <w:tcW w:w="0" w:type="auto"/>
          </w:tcPr>
          <w:p w14:paraId="2D06588E" w14:textId="77777777" w:rsidR="00A77B3E" w:rsidRPr="00800D1B" w:rsidRDefault="00A77B3E" w:rsidP="00B75D96">
            <w:pPr>
              <w:spacing w:before="100" w:after="100"/>
              <w:ind w:left="-72"/>
              <w:rPr>
                <w:color w:val="000000"/>
                <w:sz w:val="20"/>
                <w:lang w:val="sv-SE"/>
              </w:rPr>
            </w:pPr>
          </w:p>
        </w:tc>
      </w:tr>
    </w:tbl>
    <w:p w14:paraId="2D065891" w14:textId="44EC7898" w:rsidR="00A77B3E" w:rsidRPr="00800D1B" w:rsidRDefault="00623E14" w:rsidP="00552F60">
      <w:pPr>
        <w:pStyle w:val="Rubrik6"/>
        <w:spacing w:before="360"/>
        <w:ind w:left="360"/>
      </w:pPr>
      <w:bookmarkStart w:id="34" w:name="_Toc256000275"/>
      <w:r w:rsidRPr="00800D1B">
        <w:t>Preliminär fördelning av anslagna (EU-)medel efter interventionstyp</w:t>
      </w:r>
      <w:bookmarkEnd w:id="34"/>
    </w:p>
    <w:p w14:paraId="2D065892" w14:textId="77777777" w:rsidR="00A77B3E" w:rsidRPr="00800D1B" w:rsidRDefault="00A77B3E">
      <w:pPr>
        <w:spacing w:before="100"/>
        <w:rPr>
          <w:color w:val="000000"/>
          <w:sz w:val="0"/>
          <w:lang w:val="sv-SE"/>
        </w:rPr>
      </w:pPr>
    </w:p>
    <w:p w14:paraId="2D065893" w14:textId="77777777" w:rsidR="00A77B3E" w:rsidRPr="00800D1B" w:rsidRDefault="00623E14">
      <w:pPr>
        <w:spacing w:before="100"/>
        <w:rPr>
          <w:color w:val="000000"/>
          <w:sz w:val="0"/>
          <w:lang w:val="sv-SE"/>
        </w:rPr>
      </w:pPr>
      <w:r w:rsidRPr="00800D1B">
        <w:rPr>
          <w:color w:val="000000"/>
          <w:lang w:val="sv-SE"/>
        </w:rPr>
        <w:t>Referens: artikel 22.3 d viii i förordningen om gemensamma bestämmelser</w:t>
      </w:r>
    </w:p>
    <w:p w14:paraId="2D065894" w14:textId="2710FF99" w:rsidR="00A77B3E" w:rsidRPr="00800D1B" w:rsidRDefault="00623E14" w:rsidP="00431BFA">
      <w:pPr>
        <w:rPr>
          <w:lang w:val="sv-SE"/>
        </w:rPr>
      </w:pPr>
      <w:bookmarkStart w:id="35" w:name="_Toc256000276"/>
      <w:r w:rsidRPr="00800D1B">
        <w:rPr>
          <w:lang w:val="sv-SE"/>
        </w:rPr>
        <w:t>Tabell 4: Dimension 1 – interventionsområde</w:t>
      </w:r>
      <w:bookmarkEnd w:id="35"/>
    </w:p>
    <w:p w14:paraId="2D065895" w14:textId="77777777" w:rsidR="00A77B3E" w:rsidRPr="00800D1B" w:rsidRDefault="00A77B3E">
      <w:pPr>
        <w:spacing w:before="100"/>
        <w:rPr>
          <w:color w:val="000000"/>
          <w:sz w:val="0"/>
          <w:lang w:val="sv-SE"/>
        </w:rPr>
      </w:pPr>
    </w:p>
    <w:tbl>
      <w:tblPr>
        <w:tblStyle w:val="Tabellrutnt"/>
        <w:tblW w:w="5000" w:type="pct"/>
        <w:tblLook w:val="04A0" w:firstRow="1" w:lastRow="0" w:firstColumn="1" w:lastColumn="0" w:noHBand="0" w:noVBand="1"/>
        <w:tblDescription w:val="En tabell med sex kolumner: Prioritering; Specifikt mål; Fond; Regionkategori; Kod; Belopp (euro). Tabellen visar information om interventionsområde."/>
      </w:tblPr>
      <w:tblGrid>
        <w:gridCol w:w="1114"/>
        <w:gridCol w:w="1082"/>
        <w:gridCol w:w="670"/>
        <w:gridCol w:w="3433"/>
        <w:gridCol w:w="7599"/>
        <w:gridCol w:w="1274"/>
      </w:tblGrid>
      <w:tr w:rsidR="003422DB" w:rsidRPr="00800D1B" w14:paraId="2D06589C" w14:textId="77777777" w:rsidTr="00315434">
        <w:tc>
          <w:tcPr>
            <w:tcW w:w="0" w:type="auto"/>
          </w:tcPr>
          <w:p w14:paraId="2D065896" w14:textId="77777777" w:rsidR="00A77B3E" w:rsidRPr="00800D1B" w:rsidRDefault="00623E14" w:rsidP="00975A92">
            <w:pPr>
              <w:spacing w:before="100" w:after="100"/>
              <w:ind w:left="-72"/>
              <w:jc w:val="center"/>
              <w:rPr>
                <w:color w:val="000000"/>
                <w:sz w:val="20"/>
                <w:lang w:val="sv-SE"/>
              </w:rPr>
            </w:pPr>
            <w:r w:rsidRPr="00800D1B">
              <w:rPr>
                <w:color w:val="000000"/>
                <w:sz w:val="20"/>
                <w:lang w:val="sv-SE"/>
              </w:rPr>
              <w:t>Prioritering</w:t>
            </w:r>
          </w:p>
        </w:tc>
        <w:tc>
          <w:tcPr>
            <w:tcW w:w="0" w:type="auto"/>
          </w:tcPr>
          <w:p w14:paraId="2D065897" w14:textId="77777777" w:rsidR="00A77B3E" w:rsidRPr="00800D1B" w:rsidRDefault="00623E14" w:rsidP="00975A92">
            <w:pPr>
              <w:spacing w:before="100" w:after="100"/>
              <w:ind w:left="-72"/>
              <w:jc w:val="center"/>
              <w:rPr>
                <w:color w:val="000000"/>
                <w:sz w:val="20"/>
                <w:lang w:val="sv-SE"/>
              </w:rPr>
            </w:pPr>
            <w:r w:rsidRPr="00800D1B">
              <w:rPr>
                <w:color w:val="000000"/>
                <w:sz w:val="20"/>
                <w:lang w:val="sv-SE"/>
              </w:rPr>
              <w:t>Specifikt mål</w:t>
            </w:r>
          </w:p>
        </w:tc>
        <w:tc>
          <w:tcPr>
            <w:tcW w:w="0" w:type="auto"/>
          </w:tcPr>
          <w:p w14:paraId="2D065898" w14:textId="77777777" w:rsidR="00A77B3E" w:rsidRPr="00800D1B" w:rsidRDefault="00623E14" w:rsidP="00975A92">
            <w:pPr>
              <w:spacing w:before="100" w:after="100"/>
              <w:ind w:left="-72"/>
              <w:jc w:val="center"/>
              <w:rPr>
                <w:color w:val="000000"/>
                <w:sz w:val="20"/>
                <w:lang w:val="sv-SE"/>
              </w:rPr>
            </w:pPr>
            <w:r w:rsidRPr="00800D1B">
              <w:rPr>
                <w:color w:val="000000"/>
                <w:sz w:val="20"/>
                <w:lang w:val="sv-SE"/>
              </w:rPr>
              <w:t>Fond</w:t>
            </w:r>
          </w:p>
        </w:tc>
        <w:tc>
          <w:tcPr>
            <w:tcW w:w="0" w:type="auto"/>
          </w:tcPr>
          <w:p w14:paraId="2D065899" w14:textId="77777777" w:rsidR="00A77B3E" w:rsidRPr="00800D1B" w:rsidRDefault="00623E14" w:rsidP="00975A92">
            <w:pPr>
              <w:spacing w:before="100" w:after="100"/>
              <w:ind w:left="-72"/>
              <w:jc w:val="center"/>
              <w:rPr>
                <w:color w:val="000000"/>
                <w:sz w:val="20"/>
                <w:lang w:val="sv-SE"/>
              </w:rPr>
            </w:pPr>
            <w:r w:rsidRPr="00800D1B">
              <w:rPr>
                <w:color w:val="000000"/>
                <w:sz w:val="20"/>
                <w:lang w:val="sv-SE"/>
              </w:rPr>
              <w:t>Regionkategori</w:t>
            </w:r>
          </w:p>
        </w:tc>
        <w:tc>
          <w:tcPr>
            <w:tcW w:w="0" w:type="auto"/>
          </w:tcPr>
          <w:p w14:paraId="2D06589A" w14:textId="77777777" w:rsidR="00A77B3E" w:rsidRPr="00800D1B" w:rsidRDefault="00623E14" w:rsidP="00975A92">
            <w:pPr>
              <w:spacing w:before="100" w:after="100"/>
              <w:ind w:left="-72"/>
              <w:jc w:val="center"/>
              <w:rPr>
                <w:color w:val="000000"/>
                <w:sz w:val="20"/>
                <w:lang w:val="sv-SE"/>
              </w:rPr>
            </w:pPr>
            <w:r w:rsidRPr="00800D1B">
              <w:rPr>
                <w:color w:val="000000"/>
                <w:sz w:val="20"/>
                <w:lang w:val="sv-SE"/>
              </w:rPr>
              <w:t>Kod</w:t>
            </w:r>
          </w:p>
        </w:tc>
        <w:tc>
          <w:tcPr>
            <w:tcW w:w="0" w:type="auto"/>
          </w:tcPr>
          <w:p w14:paraId="2D06589B" w14:textId="77777777" w:rsidR="00A77B3E" w:rsidRPr="00800D1B" w:rsidRDefault="00623E14" w:rsidP="00975A92">
            <w:pPr>
              <w:spacing w:before="100" w:after="100"/>
              <w:ind w:left="-72"/>
              <w:jc w:val="center"/>
              <w:rPr>
                <w:color w:val="000000"/>
                <w:sz w:val="20"/>
                <w:lang w:val="sv-SE"/>
              </w:rPr>
            </w:pPr>
            <w:r w:rsidRPr="00800D1B">
              <w:rPr>
                <w:color w:val="000000"/>
                <w:sz w:val="20"/>
                <w:lang w:val="sv-SE"/>
              </w:rPr>
              <w:t>Belopp (euro)</w:t>
            </w:r>
          </w:p>
        </w:tc>
      </w:tr>
      <w:tr w:rsidR="003422DB" w:rsidRPr="00800D1B" w14:paraId="2D0658A3" w14:textId="77777777" w:rsidTr="00315434">
        <w:tc>
          <w:tcPr>
            <w:tcW w:w="0" w:type="auto"/>
          </w:tcPr>
          <w:p w14:paraId="2D06589D" w14:textId="77777777" w:rsidR="00A77B3E" w:rsidRPr="00800D1B" w:rsidRDefault="00623E14" w:rsidP="00975A92">
            <w:pPr>
              <w:spacing w:before="100" w:after="100"/>
              <w:ind w:left="-72"/>
              <w:rPr>
                <w:color w:val="000000"/>
                <w:sz w:val="20"/>
                <w:lang w:val="sv-SE"/>
              </w:rPr>
            </w:pPr>
            <w:r w:rsidRPr="00800D1B">
              <w:rPr>
                <w:color w:val="000000"/>
                <w:sz w:val="20"/>
                <w:lang w:val="sv-SE"/>
              </w:rPr>
              <w:t>2</w:t>
            </w:r>
          </w:p>
        </w:tc>
        <w:tc>
          <w:tcPr>
            <w:tcW w:w="0" w:type="auto"/>
          </w:tcPr>
          <w:p w14:paraId="2D06589E" w14:textId="77777777" w:rsidR="00A77B3E" w:rsidRPr="00800D1B" w:rsidRDefault="00623E14" w:rsidP="00975A92">
            <w:pPr>
              <w:spacing w:before="100" w:after="100"/>
              <w:ind w:left="-72"/>
              <w:rPr>
                <w:color w:val="000000"/>
                <w:sz w:val="20"/>
                <w:lang w:val="sv-SE"/>
              </w:rPr>
            </w:pPr>
            <w:r w:rsidRPr="00800D1B">
              <w:rPr>
                <w:color w:val="000000"/>
                <w:sz w:val="20"/>
                <w:lang w:val="sv-SE"/>
              </w:rPr>
              <w:t>RSO1.5</w:t>
            </w:r>
          </w:p>
        </w:tc>
        <w:tc>
          <w:tcPr>
            <w:tcW w:w="0" w:type="auto"/>
          </w:tcPr>
          <w:p w14:paraId="2D06589F" w14:textId="77777777" w:rsidR="00A77B3E" w:rsidRPr="00800D1B" w:rsidRDefault="00623E14" w:rsidP="00975A92">
            <w:pPr>
              <w:spacing w:before="100" w:after="100"/>
              <w:ind w:left="-72"/>
              <w:rPr>
                <w:color w:val="000000"/>
                <w:sz w:val="20"/>
                <w:lang w:val="sv-SE"/>
              </w:rPr>
            </w:pPr>
            <w:r w:rsidRPr="00800D1B">
              <w:rPr>
                <w:color w:val="000000"/>
                <w:sz w:val="20"/>
                <w:lang w:val="sv-SE"/>
              </w:rPr>
              <w:t>Eruf</w:t>
            </w:r>
          </w:p>
        </w:tc>
        <w:tc>
          <w:tcPr>
            <w:tcW w:w="0" w:type="auto"/>
          </w:tcPr>
          <w:p w14:paraId="2D0658A0" w14:textId="77777777" w:rsidR="00A77B3E" w:rsidRPr="00800D1B" w:rsidRDefault="00623E14" w:rsidP="00975A92">
            <w:pPr>
              <w:spacing w:before="100" w:after="100"/>
              <w:ind w:left="-72"/>
              <w:rPr>
                <w:color w:val="000000"/>
                <w:sz w:val="20"/>
                <w:lang w:val="sv-SE"/>
              </w:rPr>
            </w:pPr>
            <w:r w:rsidRPr="00800D1B">
              <w:rPr>
                <w:color w:val="000000"/>
                <w:sz w:val="20"/>
                <w:lang w:val="sv-SE"/>
              </w:rPr>
              <w:t>De yttersta randområdena eller de nordliga glesbefolkade områdena</w:t>
            </w:r>
          </w:p>
        </w:tc>
        <w:tc>
          <w:tcPr>
            <w:tcW w:w="0" w:type="auto"/>
          </w:tcPr>
          <w:p w14:paraId="2D0658A1" w14:textId="77777777" w:rsidR="00A77B3E" w:rsidRPr="00800D1B" w:rsidRDefault="00623E14" w:rsidP="00975A92">
            <w:pPr>
              <w:spacing w:before="100" w:after="100"/>
              <w:ind w:left="-72"/>
              <w:rPr>
                <w:color w:val="000000"/>
                <w:sz w:val="20"/>
                <w:lang w:val="sv-SE"/>
              </w:rPr>
            </w:pPr>
            <w:r w:rsidRPr="00800D1B">
              <w:rPr>
                <w:color w:val="000000"/>
                <w:sz w:val="20"/>
                <w:lang w:val="sv-SE"/>
              </w:rPr>
              <w:t>032. IKT: Bredbandsnät med mycket hög kapacitet (stam/backhaulnät)</w:t>
            </w:r>
          </w:p>
        </w:tc>
        <w:tc>
          <w:tcPr>
            <w:tcW w:w="0" w:type="auto"/>
          </w:tcPr>
          <w:p w14:paraId="2D0658A2" w14:textId="77777777" w:rsidR="00A77B3E" w:rsidRPr="00800D1B" w:rsidRDefault="00623E14" w:rsidP="00975A92">
            <w:pPr>
              <w:spacing w:before="100" w:after="100"/>
              <w:ind w:left="-72"/>
              <w:jc w:val="right"/>
              <w:rPr>
                <w:color w:val="000000"/>
                <w:sz w:val="20"/>
                <w:lang w:val="sv-SE"/>
              </w:rPr>
            </w:pPr>
            <w:r w:rsidRPr="00800D1B">
              <w:rPr>
                <w:color w:val="000000"/>
                <w:sz w:val="20"/>
                <w:lang w:val="sv-SE"/>
              </w:rPr>
              <w:t>7 729 986,00</w:t>
            </w:r>
          </w:p>
        </w:tc>
      </w:tr>
      <w:tr w:rsidR="003422DB" w:rsidRPr="00800D1B" w14:paraId="2D0658AA" w14:textId="77777777" w:rsidTr="00315434">
        <w:tc>
          <w:tcPr>
            <w:tcW w:w="0" w:type="auto"/>
          </w:tcPr>
          <w:p w14:paraId="2D0658A4" w14:textId="77777777" w:rsidR="00A77B3E" w:rsidRPr="00800D1B" w:rsidRDefault="00623E14" w:rsidP="00975A92">
            <w:pPr>
              <w:spacing w:before="100" w:after="100"/>
              <w:ind w:left="-72"/>
              <w:rPr>
                <w:color w:val="000000"/>
                <w:sz w:val="20"/>
                <w:lang w:val="sv-SE"/>
              </w:rPr>
            </w:pPr>
            <w:r w:rsidRPr="00800D1B">
              <w:rPr>
                <w:color w:val="000000"/>
                <w:sz w:val="20"/>
                <w:lang w:val="sv-SE"/>
              </w:rPr>
              <w:t>2</w:t>
            </w:r>
          </w:p>
        </w:tc>
        <w:tc>
          <w:tcPr>
            <w:tcW w:w="0" w:type="auto"/>
          </w:tcPr>
          <w:p w14:paraId="2D0658A5" w14:textId="77777777" w:rsidR="00A77B3E" w:rsidRPr="00800D1B" w:rsidRDefault="00623E14" w:rsidP="00975A92">
            <w:pPr>
              <w:spacing w:before="100" w:after="100"/>
              <w:ind w:left="-72"/>
              <w:rPr>
                <w:color w:val="000000"/>
                <w:sz w:val="20"/>
                <w:lang w:val="sv-SE"/>
              </w:rPr>
            </w:pPr>
            <w:r w:rsidRPr="00800D1B">
              <w:rPr>
                <w:color w:val="000000"/>
                <w:sz w:val="20"/>
                <w:lang w:val="sv-SE"/>
              </w:rPr>
              <w:t>RSO1.5</w:t>
            </w:r>
          </w:p>
        </w:tc>
        <w:tc>
          <w:tcPr>
            <w:tcW w:w="0" w:type="auto"/>
          </w:tcPr>
          <w:p w14:paraId="2D0658A6" w14:textId="77777777" w:rsidR="00A77B3E" w:rsidRPr="00800D1B" w:rsidRDefault="00623E14" w:rsidP="00975A92">
            <w:pPr>
              <w:spacing w:before="100" w:after="100"/>
              <w:ind w:left="-72"/>
              <w:rPr>
                <w:color w:val="000000"/>
                <w:sz w:val="20"/>
                <w:lang w:val="sv-SE"/>
              </w:rPr>
            </w:pPr>
            <w:r w:rsidRPr="00800D1B">
              <w:rPr>
                <w:color w:val="000000"/>
                <w:sz w:val="20"/>
                <w:lang w:val="sv-SE"/>
              </w:rPr>
              <w:t>Eruf</w:t>
            </w:r>
          </w:p>
        </w:tc>
        <w:tc>
          <w:tcPr>
            <w:tcW w:w="0" w:type="auto"/>
          </w:tcPr>
          <w:p w14:paraId="2D0658A7" w14:textId="77777777" w:rsidR="00A77B3E" w:rsidRPr="00800D1B" w:rsidRDefault="00623E14" w:rsidP="00975A92">
            <w:pPr>
              <w:spacing w:before="100" w:after="100"/>
              <w:ind w:left="-72"/>
              <w:rPr>
                <w:color w:val="000000"/>
                <w:sz w:val="20"/>
                <w:lang w:val="sv-SE"/>
              </w:rPr>
            </w:pPr>
            <w:r w:rsidRPr="00800D1B">
              <w:rPr>
                <w:color w:val="000000"/>
                <w:sz w:val="20"/>
                <w:lang w:val="sv-SE"/>
              </w:rPr>
              <w:t>De yttersta randområdena eller de nordliga glesbefolkade områdena</w:t>
            </w:r>
          </w:p>
        </w:tc>
        <w:tc>
          <w:tcPr>
            <w:tcW w:w="0" w:type="auto"/>
          </w:tcPr>
          <w:p w14:paraId="2D0658A8" w14:textId="77777777" w:rsidR="00A77B3E" w:rsidRPr="00800D1B" w:rsidRDefault="00623E14" w:rsidP="00975A92">
            <w:pPr>
              <w:spacing w:before="100" w:after="100"/>
              <w:ind w:left="-72"/>
              <w:rPr>
                <w:color w:val="000000"/>
                <w:sz w:val="20"/>
                <w:lang w:val="sv-SE"/>
              </w:rPr>
            </w:pPr>
            <w:r w:rsidRPr="00800D1B">
              <w:rPr>
                <w:color w:val="000000"/>
                <w:sz w:val="20"/>
                <w:lang w:val="sv-SE"/>
              </w:rPr>
              <w:t xml:space="preserve">035. IKT: Bredbandsnät med mycket hög kapacitet (tillträde/accessnät med prestanda motsvarande optisk fiber fram till basstationen för avancerad trådlös kommunikation) </w:t>
            </w:r>
          </w:p>
        </w:tc>
        <w:tc>
          <w:tcPr>
            <w:tcW w:w="0" w:type="auto"/>
          </w:tcPr>
          <w:p w14:paraId="2D0658A9" w14:textId="77777777" w:rsidR="00A77B3E" w:rsidRPr="00800D1B" w:rsidRDefault="00623E14" w:rsidP="00975A92">
            <w:pPr>
              <w:spacing w:before="100" w:after="100"/>
              <w:ind w:left="-72"/>
              <w:jc w:val="right"/>
              <w:rPr>
                <w:color w:val="000000"/>
                <w:sz w:val="20"/>
                <w:lang w:val="sv-SE"/>
              </w:rPr>
            </w:pPr>
            <w:r w:rsidRPr="00800D1B">
              <w:rPr>
                <w:color w:val="000000"/>
                <w:sz w:val="20"/>
                <w:lang w:val="sv-SE"/>
              </w:rPr>
              <w:t>1 932 496,00</w:t>
            </w:r>
          </w:p>
        </w:tc>
      </w:tr>
      <w:tr w:rsidR="003422DB" w:rsidRPr="00800D1B" w14:paraId="2D0658B1" w14:textId="77777777" w:rsidTr="00315434">
        <w:tc>
          <w:tcPr>
            <w:tcW w:w="0" w:type="auto"/>
          </w:tcPr>
          <w:p w14:paraId="2D0658AB" w14:textId="77777777" w:rsidR="00A77B3E" w:rsidRPr="00800D1B" w:rsidRDefault="00623E14" w:rsidP="00975A92">
            <w:pPr>
              <w:spacing w:before="100" w:after="100"/>
              <w:ind w:left="-72"/>
              <w:rPr>
                <w:color w:val="000000"/>
                <w:sz w:val="20"/>
                <w:lang w:val="sv-SE"/>
              </w:rPr>
            </w:pPr>
            <w:r w:rsidRPr="00800D1B">
              <w:rPr>
                <w:color w:val="000000"/>
                <w:sz w:val="20"/>
                <w:lang w:val="sv-SE"/>
              </w:rPr>
              <w:t>2</w:t>
            </w:r>
          </w:p>
        </w:tc>
        <w:tc>
          <w:tcPr>
            <w:tcW w:w="0" w:type="auto"/>
          </w:tcPr>
          <w:p w14:paraId="2D0658AC" w14:textId="77777777" w:rsidR="00A77B3E" w:rsidRPr="00800D1B" w:rsidRDefault="00623E14" w:rsidP="00975A92">
            <w:pPr>
              <w:spacing w:before="100" w:after="100"/>
              <w:ind w:left="-72"/>
              <w:rPr>
                <w:color w:val="000000"/>
                <w:sz w:val="20"/>
                <w:lang w:val="sv-SE"/>
              </w:rPr>
            </w:pPr>
            <w:r w:rsidRPr="00800D1B">
              <w:rPr>
                <w:color w:val="000000"/>
                <w:sz w:val="20"/>
                <w:lang w:val="sv-SE"/>
              </w:rPr>
              <w:t>RSO1.5</w:t>
            </w:r>
          </w:p>
        </w:tc>
        <w:tc>
          <w:tcPr>
            <w:tcW w:w="0" w:type="auto"/>
          </w:tcPr>
          <w:p w14:paraId="2D0658AD" w14:textId="77777777" w:rsidR="00A77B3E" w:rsidRPr="00800D1B" w:rsidRDefault="00623E14" w:rsidP="00975A92">
            <w:pPr>
              <w:spacing w:before="100" w:after="100"/>
              <w:ind w:left="-72"/>
              <w:rPr>
                <w:color w:val="000000"/>
                <w:sz w:val="20"/>
                <w:lang w:val="sv-SE"/>
              </w:rPr>
            </w:pPr>
            <w:r w:rsidRPr="00800D1B">
              <w:rPr>
                <w:color w:val="000000"/>
                <w:sz w:val="20"/>
                <w:lang w:val="sv-SE"/>
              </w:rPr>
              <w:t>Totalt</w:t>
            </w:r>
          </w:p>
        </w:tc>
        <w:tc>
          <w:tcPr>
            <w:tcW w:w="0" w:type="auto"/>
          </w:tcPr>
          <w:p w14:paraId="2D0658AE" w14:textId="77777777" w:rsidR="00A77B3E" w:rsidRPr="00800D1B" w:rsidRDefault="00A77B3E" w:rsidP="00975A92">
            <w:pPr>
              <w:spacing w:before="100" w:after="100"/>
              <w:ind w:left="-72"/>
              <w:rPr>
                <w:color w:val="000000"/>
                <w:sz w:val="20"/>
                <w:lang w:val="sv-SE"/>
              </w:rPr>
            </w:pPr>
          </w:p>
        </w:tc>
        <w:tc>
          <w:tcPr>
            <w:tcW w:w="0" w:type="auto"/>
          </w:tcPr>
          <w:p w14:paraId="2D0658AF" w14:textId="77777777" w:rsidR="00A77B3E" w:rsidRPr="00800D1B" w:rsidRDefault="00A77B3E" w:rsidP="00975A92">
            <w:pPr>
              <w:spacing w:before="100" w:after="100"/>
              <w:ind w:left="-72"/>
              <w:rPr>
                <w:color w:val="000000"/>
                <w:sz w:val="20"/>
                <w:lang w:val="sv-SE"/>
              </w:rPr>
            </w:pPr>
          </w:p>
        </w:tc>
        <w:tc>
          <w:tcPr>
            <w:tcW w:w="0" w:type="auto"/>
          </w:tcPr>
          <w:p w14:paraId="2D0658B0" w14:textId="77777777" w:rsidR="00A77B3E" w:rsidRPr="00800D1B" w:rsidRDefault="00623E14" w:rsidP="00975A92">
            <w:pPr>
              <w:spacing w:before="100" w:after="100"/>
              <w:ind w:left="-72"/>
              <w:jc w:val="right"/>
              <w:rPr>
                <w:color w:val="000000"/>
                <w:sz w:val="20"/>
                <w:lang w:val="sv-SE"/>
              </w:rPr>
            </w:pPr>
            <w:r w:rsidRPr="00800D1B">
              <w:rPr>
                <w:color w:val="000000"/>
                <w:sz w:val="20"/>
                <w:lang w:val="sv-SE"/>
              </w:rPr>
              <w:t>9 662 482,00</w:t>
            </w:r>
          </w:p>
        </w:tc>
      </w:tr>
    </w:tbl>
    <w:p w14:paraId="2D0658B3" w14:textId="4B4F76A6" w:rsidR="00A77B3E" w:rsidRPr="00800D1B" w:rsidRDefault="00623E14" w:rsidP="00552F60">
      <w:pPr>
        <w:spacing w:before="360" w:after="100"/>
        <w:rPr>
          <w:lang w:val="sv-SE"/>
        </w:rPr>
      </w:pPr>
      <w:bookmarkStart w:id="36" w:name="_Toc256000277"/>
      <w:r w:rsidRPr="00800D1B">
        <w:rPr>
          <w:lang w:val="sv-SE"/>
        </w:rPr>
        <w:t>Tabell 5: Dimension 2 – finansieringsform</w:t>
      </w:r>
      <w:bookmarkEnd w:id="36"/>
    </w:p>
    <w:tbl>
      <w:tblPr>
        <w:tblStyle w:val="Tabellrutnt"/>
        <w:tblW w:w="5000" w:type="pct"/>
        <w:tblLook w:val="04A0" w:firstRow="1" w:lastRow="0" w:firstColumn="1" w:lastColumn="0" w:noHBand="0" w:noVBand="1"/>
        <w:tblDescription w:val="En tabell med sex kolumner: Prioritering; Specifikt mål; Fond; Regionkategori; Kod; Belopp (euro). Tabellen visar information om finansieringsform."/>
      </w:tblPr>
      <w:tblGrid>
        <w:gridCol w:w="1559"/>
        <w:gridCol w:w="1758"/>
        <w:gridCol w:w="964"/>
        <w:gridCol w:w="7574"/>
        <w:gridCol w:w="1499"/>
        <w:gridCol w:w="1818"/>
      </w:tblGrid>
      <w:tr w:rsidR="003422DB" w:rsidRPr="00800D1B" w14:paraId="2D0658BB" w14:textId="77777777" w:rsidTr="00975A92">
        <w:tc>
          <w:tcPr>
            <w:tcW w:w="0" w:type="auto"/>
          </w:tcPr>
          <w:p w14:paraId="2D0658B5" w14:textId="77777777" w:rsidR="00A77B3E" w:rsidRPr="00800D1B" w:rsidRDefault="00623E14" w:rsidP="00975A92">
            <w:pPr>
              <w:spacing w:before="100" w:after="100"/>
              <w:ind w:left="-72"/>
              <w:jc w:val="center"/>
              <w:rPr>
                <w:color w:val="000000"/>
                <w:sz w:val="20"/>
                <w:lang w:val="sv-SE"/>
              </w:rPr>
            </w:pPr>
            <w:r w:rsidRPr="00800D1B">
              <w:rPr>
                <w:color w:val="000000"/>
                <w:sz w:val="20"/>
                <w:lang w:val="sv-SE"/>
              </w:rPr>
              <w:t>Prioritering</w:t>
            </w:r>
          </w:p>
        </w:tc>
        <w:tc>
          <w:tcPr>
            <w:tcW w:w="0" w:type="auto"/>
          </w:tcPr>
          <w:p w14:paraId="2D0658B6" w14:textId="77777777" w:rsidR="00A77B3E" w:rsidRPr="00800D1B" w:rsidRDefault="00623E14" w:rsidP="00975A92">
            <w:pPr>
              <w:spacing w:before="100" w:after="100"/>
              <w:ind w:left="-72"/>
              <w:jc w:val="center"/>
              <w:rPr>
                <w:color w:val="000000"/>
                <w:sz w:val="20"/>
                <w:lang w:val="sv-SE"/>
              </w:rPr>
            </w:pPr>
            <w:r w:rsidRPr="00800D1B">
              <w:rPr>
                <w:color w:val="000000"/>
                <w:sz w:val="20"/>
                <w:lang w:val="sv-SE"/>
              </w:rPr>
              <w:t>Specifikt mål</w:t>
            </w:r>
          </w:p>
        </w:tc>
        <w:tc>
          <w:tcPr>
            <w:tcW w:w="0" w:type="auto"/>
          </w:tcPr>
          <w:p w14:paraId="2D0658B7" w14:textId="77777777" w:rsidR="00A77B3E" w:rsidRPr="00800D1B" w:rsidRDefault="00623E14" w:rsidP="00975A92">
            <w:pPr>
              <w:spacing w:before="100" w:after="100"/>
              <w:ind w:left="-72"/>
              <w:jc w:val="center"/>
              <w:rPr>
                <w:color w:val="000000"/>
                <w:sz w:val="20"/>
                <w:lang w:val="sv-SE"/>
              </w:rPr>
            </w:pPr>
            <w:r w:rsidRPr="00800D1B">
              <w:rPr>
                <w:color w:val="000000"/>
                <w:sz w:val="20"/>
                <w:lang w:val="sv-SE"/>
              </w:rPr>
              <w:t>Fond</w:t>
            </w:r>
          </w:p>
        </w:tc>
        <w:tc>
          <w:tcPr>
            <w:tcW w:w="0" w:type="auto"/>
          </w:tcPr>
          <w:p w14:paraId="2D0658B8" w14:textId="77777777" w:rsidR="00A77B3E" w:rsidRPr="00800D1B" w:rsidRDefault="00623E14" w:rsidP="00975A92">
            <w:pPr>
              <w:spacing w:before="100" w:after="100"/>
              <w:ind w:left="-72"/>
              <w:jc w:val="center"/>
              <w:rPr>
                <w:color w:val="000000"/>
                <w:sz w:val="20"/>
                <w:lang w:val="sv-SE"/>
              </w:rPr>
            </w:pPr>
            <w:r w:rsidRPr="00800D1B">
              <w:rPr>
                <w:color w:val="000000"/>
                <w:sz w:val="20"/>
                <w:lang w:val="sv-SE"/>
              </w:rPr>
              <w:t>Regionkategori</w:t>
            </w:r>
          </w:p>
        </w:tc>
        <w:tc>
          <w:tcPr>
            <w:tcW w:w="0" w:type="auto"/>
          </w:tcPr>
          <w:p w14:paraId="2D0658B9" w14:textId="77777777" w:rsidR="00A77B3E" w:rsidRPr="00800D1B" w:rsidRDefault="00623E14" w:rsidP="00975A92">
            <w:pPr>
              <w:spacing w:before="100" w:after="100"/>
              <w:ind w:left="-72"/>
              <w:jc w:val="center"/>
              <w:rPr>
                <w:color w:val="000000"/>
                <w:sz w:val="20"/>
                <w:lang w:val="sv-SE"/>
              </w:rPr>
            </w:pPr>
            <w:r w:rsidRPr="00800D1B">
              <w:rPr>
                <w:color w:val="000000"/>
                <w:sz w:val="20"/>
                <w:lang w:val="sv-SE"/>
              </w:rPr>
              <w:t>Kod</w:t>
            </w:r>
          </w:p>
        </w:tc>
        <w:tc>
          <w:tcPr>
            <w:tcW w:w="0" w:type="auto"/>
          </w:tcPr>
          <w:p w14:paraId="2D0658BA" w14:textId="77777777" w:rsidR="00A77B3E" w:rsidRPr="00800D1B" w:rsidRDefault="00623E14" w:rsidP="00975A92">
            <w:pPr>
              <w:spacing w:before="100" w:after="100"/>
              <w:ind w:left="-72"/>
              <w:jc w:val="center"/>
              <w:rPr>
                <w:color w:val="000000"/>
                <w:sz w:val="20"/>
                <w:lang w:val="sv-SE"/>
              </w:rPr>
            </w:pPr>
            <w:r w:rsidRPr="00800D1B">
              <w:rPr>
                <w:color w:val="000000"/>
                <w:sz w:val="20"/>
                <w:lang w:val="sv-SE"/>
              </w:rPr>
              <w:t>Belopp (euro)</w:t>
            </w:r>
          </w:p>
        </w:tc>
      </w:tr>
      <w:tr w:rsidR="003422DB" w:rsidRPr="00800D1B" w14:paraId="2D0658C2" w14:textId="77777777" w:rsidTr="00975A92">
        <w:tc>
          <w:tcPr>
            <w:tcW w:w="0" w:type="auto"/>
          </w:tcPr>
          <w:p w14:paraId="2D0658BC" w14:textId="77777777" w:rsidR="00A77B3E" w:rsidRPr="00800D1B" w:rsidRDefault="00623E14" w:rsidP="00975A92">
            <w:pPr>
              <w:spacing w:before="100" w:after="100"/>
              <w:ind w:left="-72"/>
              <w:rPr>
                <w:color w:val="000000"/>
                <w:sz w:val="20"/>
                <w:lang w:val="sv-SE"/>
              </w:rPr>
            </w:pPr>
            <w:r w:rsidRPr="00800D1B">
              <w:rPr>
                <w:color w:val="000000"/>
                <w:sz w:val="20"/>
                <w:lang w:val="sv-SE"/>
              </w:rPr>
              <w:t>2</w:t>
            </w:r>
          </w:p>
        </w:tc>
        <w:tc>
          <w:tcPr>
            <w:tcW w:w="0" w:type="auto"/>
          </w:tcPr>
          <w:p w14:paraId="2D0658BD" w14:textId="77777777" w:rsidR="00A77B3E" w:rsidRPr="00800D1B" w:rsidRDefault="00623E14" w:rsidP="00975A92">
            <w:pPr>
              <w:spacing w:before="100" w:after="100"/>
              <w:ind w:left="-72"/>
              <w:rPr>
                <w:color w:val="000000"/>
                <w:sz w:val="20"/>
                <w:lang w:val="sv-SE"/>
              </w:rPr>
            </w:pPr>
            <w:r w:rsidRPr="00800D1B">
              <w:rPr>
                <w:color w:val="000000"/>
                <w:sz w:val="20"/>
                <w:lang w:val="sv-SE"/>
              </w:rPr>
              <w:t>RSO1.5</w:t>
            </w:r>
          </w:p>
        </w:tc>
        <w:tc>
          <w:tcPr>
            <w:tcW w:w="0" w:type="auto"/>
          </w:tcPr>
          <w:p w14:paraId="2D0658BE" w14:textId="77777777" w:rsidR="00A77B3E" w:rsidRPr="00800D1B" w:rsidRDefault="00623E14" w:rsidP="00975A92">
            <w:pPr>
              <w:spacing w:before="100" w:after="100"/>
              <w:ind w:left="-72"/>
              <w:rPr>
                <w:color w:val="000000"/>
                <w:sz w:val="20"/>
                <w:lang w:val="sv-SE"/>
              </w:rPr>
            </w:pPr>
            <w:r w:rsidRPr="00800D1B">
              <w:rPr>
                <w:color w:val="000000"/>
                <w:sz w:val="20"/>
                <w:lang w:val="sv-SE"/>
              </w:rPr>
              <w:t>Eruf</w:t>
            </w:r>
          </w:p>
        </w:tc>
        <w:tc>
          <w:tcPr>
            <w:tcW w:w="0" w:type="auto"/>
          </w:tcPr>
          <w:p w14:paraId="2D0658BF" w14:textId="77777777" w:rsidR="00A77B3E" w:rsidRPr="00800D1B" w:rsidRDefault="00623E14" w:rsidP="00975A92">
            <w:pPr>
              <w:spacing w:before="100" w:after="100"/>
              <w:ind w:left="-72"/>
              <w:rPr>
                <w:color w:val="000000"/>
                <w:sz w:val="20"/>
                <w:lang w:val="sv-SE"/>
              </w:rPr>
            </w:pPr>
            <w:r w:rsidRPr="00800D1B">
              <w:rPr>
                <w:color w:val="000000"/>
                <w:sz w:val="20"/>
                <w:lang w:val="sv-SE"/>
              </w:rPr>
              <w:t>De yttersta randområdena eller de nordliga glesbefolkade områdena</w:t>
            </w:r>
          </w:p>
        </w:tc>
        <w:tc>
          <w:tcPr>
            <w:tcW w:w="0" w:type="auto"/>
          </w:tcPr>
          <w:p w14:paraId="2D0658C0" w14:textId="77777777" w:rsidR="00A77B3E" w:rsidRPr="00800D1B" w:rsidRDefault="00623E14" w:rsidP="00975A92">
            <w:pPr>
              <w:spacing w:before="100" w:after="100"/>
              <w:ind w:left="-72"/>
              <w:rPr>
                <w:color w:val="000000"/>
                <w:sz w:val="20"/>
                <w:lang w:val="sv-SE"/>
              </w:rPr>
            </w:pPr>
            <w:r w:rsidRPr="00800D1B">
              <w:rPr>
                <w:color w:val="000000"/>
                <w:sz w:val="20"/>
                <w:lang w:val="sv-SE"/>
              </w:rPr>
              <w:t>01. Bevilja</w:t>
            </w:r>
          </w:p>
        </w:tc>
        <w:tc>
          <w:tcPr>
            <w:tcW w:w="0" w:type="auto"/>
          </w:tcPr>
          <w:p w14:paraId="2D0658C1" w14:textId="77777777" w:rsidR="00A77B3E" w:rsidRPr="00800D1B" w:rsidRDefault="00623E14" w:rsidP="00975A92">
            <w:pPr>
              <w:spacing w:before="100" w:after="100"/>
              <w:ind w:left="-72"/>
              <w:jc w:val="right"/>
              <w:rPr>
                <w:color w:val="000000"/>
                <w:sz w:val="20"/>
                <w:lang w:val="sv-SE"/>
              </w:rPr>
            </w:pPr>
            <w:r w:rsidRPr="00800D1B">
              <w:rPr>
                <w:color w:val="000000"/>
                <w:sz w:val="20"/>
                <w:lang w:val="sv-SE"/>
              </w:rPr>
              <w:t>9 662 482,00</w:t>
            </w:r>
          </w:p>
        </w:tc>
      </w:tr>
      <w:tr w:rsidR="003422DB" w:rsidRPr="00800D1B" w14:paraId="2D0658C9" w14:textId="77777777" w:rsidTr="00975A92">
        <w:tc>
          <w:tcPr>
            <w:tcW w:w="0" w:type="auto"/>
          </w:tcPr>
          <w:p w14:paraId="2D0658C3" w14:textId="77777777" w:rsidR="00A77B3E" w:rsidRPr="00800D1B" w:rsidRDefault="00623E14" w:rsidP="00975A92">
            <w:pPr>
              <w:spacing w:before="100" w:after="100"/>
              <w:ind w:left="-72"/>
              <w:rPr>
                <w:color w:val="000000"/>
                <w:sz w:val="20"/>
                <w:lang w:val="sv-SE"/>
              </w:rPr>
            </w:pPr>
            <w:r w:rsidRPr="00800D1B">
              <w:rPr>
                <w:color w:val="000000"/>
                <w:sz w:val="20"/>
                <w:lang w:val="sv-SE"/>
              </w:rPr>
              <w:t>2</w:t>
            </w:r>
          </w:p>
        </w:tc>
        <w:tc>
          <w:tcPr>
            <w:tcW w:w="0" w:type="auto"/>
          </w:tcPr>
          <w:p w14:paraId="2D0658C4" w14:textId="77777777" w:rsidR="00A77B3E" w:rsidRPr="00800D1B" w:rsidRDefault="00623E14" w:rsidP="00975A92">
            <w:pPr>
              <w:spacing w:before="100" w:after="100"/>
              <w:ind w:left="-72"/>
              <w:rPr>
                <w:color w:val="000000"/>
                <w:sz w:val="20"/>
                <w:lang w:val="sv-SE"/>
              </w:rPr>
            </w:pPr>
            <w:r w:rsidRPr="00800D1B">
              <w:rPr>
                <w:color w:val="000000"/>
                <w:sz w:val="20"/>
                <w:lang w:val="sv-SE"/>
              </w:rPr>
              <w:t>RSO1.5</w:t>
            </w:r>
          </w:p>
        </w:tc>
        <w:tc>
          <w:tcPr>
            <w:tcW w:w="0" w:type="auto"/>
          </w:tcPr>
          <w:p w14:paraId="2D0658C5" w14:textId="77777777" w:rsidR="00A77B3E" w:rsidRPr="00800D1B" w:rsidRDefault="00623E14" w:rsidP="00975A92">
            <w:pPr>
              <w:spacing w:before="100" w:after="100"/>
              <w:ind w:left="-72"/>
              <w:rPr>
                <w:color w:val="000000"/>
                <w:sz w:val="20"/>
                <w:lang w:val="sv-SE"/>
              </w:rPr>
            </w:pPr>
            <w:r w:rsidRPr="00800D1B">
              <w:rPr>
                <w:color w:val="000000"/>
                <w:sz w:val="20"/>
                <w:lang w:val="sv-SE"/>
              </w:rPr>
              <w:t>Totalt</w:t>
            </w:r>
          </w:p>
        </w:tc>
        <w:tc>
          <w:tcPr>
            <w:tcW w:w="0" w:type="auto"/>
          </w:tcPr>
          <w:p w14:paraId="2D0658C6" w14:textId="77777777" w:rsidR="00A77B3E" w:rsidRPr="00800D1B" w:rsidRDefault="00A77B3E" w:rsidP="00975A92">
            <w:pPr>
              <w:spacing w:before="100" w:after="100"/>
              <w:ind w:left="-72"/>
              <w:rPr>
                <w:color w:val="000000"/>
                <w:sz w:val="20"/>
                <w:lang w:val="sv-SE"/>
              </w:rPr>
            </w:pPr>
          </w:p>
        </w:tc>
        <w:tc>
          <w:tcPr>
            <w:tcW w:w="0" w:type="auto"/>
          </w:tcPr>
          <w:p w14:paraId="2D0658C7" w14:textId="77777777" w:rsidR="00A77B3E" w:rsidRPr="00800D1B" w:rsidRDefault="00A77B3E" w:rsidP="00975A92">
            <w:pPr>
              <w:spacing w:before="100" w:after="100"/>
              <w:ind w:left="-72"/>
              <w:rPr>
                <w:color w:val="000000"/>
                <w:sz w:val="20"/>
                <w:lang w:val="sv-SE"/>
              </w:rPr>
            </w:pPr>
          </w:p>
        </w:tc>
        <w:tc>
          <w:tcPr>
            <w:tcW w:w="0" w:type="auto"/>
          </w:tcPr>
          <w:p w14:paraId="2D0658C8" w14:textId="77777777" w:rsidR="00A77B3E" w:rsidRPr="00800D1B" w:rsidRDefault="00623E14" w:rsidP="00975A92">
            <w:pPr>
              <w:spacing w:before="100" w:after="100"/>
              <w:ind w:left="-72"/>
              <w:jc w:val="right"/>
              <w:rPr>
                <w:color w:val="000000"/>
                <w:sz w:val="20"/>
                <w:lang w:val="sv-SE"/>
              </w:rPr>
            </w:pPr>
            <w:r w:rsidRPr="00800D1B">
              <w:rPr>
                <w:color w:val="000000"/>
                <w:sz w:val="20"/>
                <w:lang w:val="sv-SE"/>
              </w:rPr>
              <w:t>9 662 482,00</w:t>
            </w:r>
          </w:p>
        </w:tc>
      </w:tr>
    </w:tbl>
    <w:p w14:paraId="2D0658CB" w14:textId="330226F8" w:rsidR="00A77B3E" w:rsidRPr="00800D1B" w:rsidRDefault="00623E14" w:rsidP="00552F60">
      <w:pPr>
        <w:spacing w:before="360" w:after="100"/>
        <w:rPr>
          <w:lang w:val="sv-SE"/>
        </w:rPr>
      </w:pPr>
      <w:bookmarkStart w:id="37" w:name="_Toc256000278"/>
      <w:r w:rsidRPr="00800D1B">
        <w:rPr>
          <w:lang w:val="sv-SE"/>
        </w:rPr>
        <w:t>Tabell 6: Dimension 3 – territoriell genomförandemetod och territoriellt fokus</w:t>
      </w:r>
      <w:bookmarkEnd w:id="37"/>
    </w:p>
    <w:p w14:paraId="2D0658CC" w14:textId="77777777" w:rsidR="00A77B3E" w:rsidRPr="00800D1B" w:rsidRDefault="00A77B3E">
      <w:pPr>
        <w:spacing w:before="100"/>
        <w:rPr>
          <w:color w:val="000000"/>
          <w:sz w:val="0"/>
          <w:lang w:val="sv-SE"/>
        </w:rPr>
      </w:pPr>
    </w:p>
    <w:tbl>
      <w:tblPr>
        <w:tblStyle w:val="Tabellrutnt"/>
        <w:tblW w:w="5000" w:type="pct"/>
        <w:tblLook w:val="04A0" w:firstRow="1" w:lastRow="0" w:firstColumn="1" w:lastColumn="0" w:noHBand="0" w:noVBand="1"/>
        <w:tblDescription w:val="En tabell med sex kolumner: Prioritering; Specifikt mål; Fond; Regionkategori; Kod; Belopp (euro). Tabellen visar information om territoriell genomförandemetod och territoriellt fokus."/>
      </w:tblPr>
      <w:tblGrid>
        <w:gridCol w:w="1239"/>
        <w:gridCol w:w="1398"/>
        <w:gridCol w:w="767"/>
        <w:gridCol w:w="6022"/>
        <w:gridCol w:w="4300"/>
        <w:gridCol w:w="1446"/>
      </w:tblGrid>
      <w:tr w:rsidR="003422DB" w:rsidRPr="00800D1B" w14:paraId="2D0658D3" w14:textId="77777777" w:rsidTr="00975A92">
        <w:tc>
          <w:tcPr>
            <w:tcW w:w="0" w:type="auto"/>
          </w:tcPr>
          <w:p w14:paraId="2D0658CD" w14:textId="77777777" w:rsidR="00A77B3E" w:rsidRPr="00800D1B" w:rsidRDefault="00623E14" w:rsidP="00975A92">
            <w:pPr>
              <w:spacing w:before="100" w:after="100"/>
              <w:ind w:left="-72"/>
              <w:jc w:val="center"/>
              <w:rPr>
                <w:color w:val="000000"/>
                <w:sz w:val="20"/>
                <w:lang w:val="sv-SE"/>
              </w:rPr>
            </w:pPr>
            <w:r w:rsidRPr="00800D1B">
              <w:rPr>
                <w:color w:val="000000"/>
                <w:sz w:val="20"/>
                <w:lang w:val="sv-SE"/>
              </w:rPr>
              <w:t>Prioritering</w:t>
            </w:r>
          </w:p>
        </w:tc>
        <w:tc>
          <w:tcPr>
            <w:tcW w:w="0" w:type="auto"/>
          </w:tcPr>
          <w:p w14:paraId="2D0658CE" w14:textId="77777777" w:rsidR="00A77B3E" w:rsidRPr="00800D1B" w:rsidRDefault="00623E14" w:rsidP="00975A92">
            <w:pPr>
              <w:spacing w:before="100" w:after="100"/>
              <w:ind w:left="-72"/>
              <w:jc w:val="center"/>
              <w:rPr>
                <w:color w:val="000000"/>
                <w:sz w:val="20"/>
                <w:lang w:val="sv-SE"/>
              </w:rPr>
            </w:pPr>
            <w:r w:rsidRPr="00800D1B">
              <w:rPr>
                <w:color w:val="000000"/>
                <w:sz w:val="20"/>
                <w:lang w:val="sv-SE"/>
              </w:rPr>
              <w:t>Specifikt mål</w:t>
            </w:r>
          </w:p>
        </w:tc>
        <w:tc>
          <w:tcPr>
            <w:tcW w:w="0" w:type="auto"/>
          </w:tcPr>
          <w:p w14:paraId="2D0658CF" w14:textId="77777777" w:rsidR="00A77B3E" w:rsidRPr="00800D1B" w:rsidRDefault="00623E14" w:rsidP="00975A92">
            <w:pPr>
              <w:spacing w:before="100" w:after="100"/>
              <w:ind w:left="-72"/>
              <w:jc w:val="center"/>
              <w:rPr>
                <w:color w:val="000000"/>
                <w:sz w:val="20"/>
                <w:lang w:val="sv-SE"/>
              </w:rPr>
            </w:pPr>
            <w:r w:rsidRPr="00800D1B">
              <w:rPr>
                <w:color w:val="000000"/>
                <w:sz w:val="20"/>
                <w:lang w:val="sv-SE"/>
              </w:rPr>
              <w:t>Fond</w:t>
            </w:r>
          </w:p>
        </w:tc>
        <w:tc>
          <w:tcPr>
            <w:tcW w:w="0" w:type="auto"/>
          </w:tcPr>
          <w:p w14:paraId="2D0658D0" w14:textId="77777777" w:rsidR="00A77B3E" w:rsidRPr="00800D1B" w:rsidRDefault="00623E14" w:rsidP="00975A92">
            <w:pPr>
              <w:spacing w:before="100" w:after="100"/>
              <w:ind w:left="-72"/>
              <w:jc w:val="center"/>
              <w:rPr>
                <w:color w:val="000000"/>
                <w:sz w:val="20"/>
                <w:lang w:val="sv-SE"/>
              </w:rPr>
            </w:pPr>
            <w:r w:rsidRPr="00800D1B">
              <w:rPr>
                <w:color w:val="000000"/>
                <w:sz w:val="20"/>
                <w:lang w:val="sv-SE"/>
              </w:rPr>
              <w:t>Regionkategori</w:t>
            </w:r>
          </w:p>
        </w:tc>
        <w:tc>
          <w:tcPr>
            <w:tcW w:w="0" w:type="auto"/>
          </w:tcPr>
          <w:p w14:paraId="2D0658D1" w14:textId="77777777" w:rsidR="00A77B3E" w:rsidRPr="00800D1B" w:rsidRDefault="00623E14" w:rsidP="00975A92">
            <w:pPr>
              <w:spacing w:before="100" w:after="100"/>
              <w:ind w:left="-72"/>
              <w:jc w:val="center"/>
              <w:rPr>
                <w:color w:val="000000"/>
                <w:sz w:val="20"/>
                <w:lang w:val="sv-SE"/>
              </w:rPr>
            </w:pPr>
            <w:r w:rsidRPr="00800D1B">
              <w:rPr>
                <w:color w:val="000000"/>
                <w:sz w:val="20"/>
                <w:lang w:val="sv-SE"/>
              </w:rPr>
              <w:t>Kod</w:t>
            </w:r>
          </w:p>
        </w:tc>
        <w:tc>
          <w:tcPr>
            <w:tcW w:w="0" w:type="auto"/>
          </w:tcPr>
          <w:p w14:paraId="2D0658D2" w14:textId="77777777" w:rsidR="00A77B3E" w:rsidRPr="00800D1B" w:rsidRDefault="00623E14" w:rsidP="00975A92">
            <w:pPr>
              <w:spacing w:before="100" w:after="100"/>
              <w:ind w:left="-72"/>
              <w:jc w:val="center"/>
              <w:rPr>
                <w:color w:val="000000"/>
                <w:sz w:val="20"/>
                <w:lang w:val="sv-SE"/>
              </w:rPr>
            </w:pPr>
            <w:r w:rsidRPr="00800D1B">
              <w:rPr>
                <w:color w:val="000000"/>
                <w:sz w:val="20"/>
                <w:lang w:val="sv-SE"/>
              </w:rPr>
              <w:t>Belopp (euro)</w:t>
            </w:r>
          </w:p>
        </w:tc>
      </w:tr>
      <w:tr w:rsidR="003422DB" w:rsidRPr="00800D1B" w14:paraId="2D0658DA" w14:textId="77777777" w:rsidTr="00975A92">
        <w:tc>
          <w:tcPr>
            <w:tcW w:w="0" w:type="auto"/>
          </w:tcPr>
          <w:p w14:paraId="2D0658D4" w14:textId="77777777" w:rsidR="00A77B3E" w:rsidRPr="00800D1B" w:rsidRDefault="00623E14" w:rsidP="00975A92">
            <w:pPr>
              <w:spacing w:before="100" w:after="100"/>
              <w:ind w:left="-72"/>
              <w:rPr>
                <w:color w:val="000000"/>
                <w:sz w:val="20"/>
                <w:lang w:val="sv-SE"/>
              </w:rPr>
            </w:pPr>
            <w:r w:rsidRPr="00800D1B">
              <w:rPr>
                <w:color w:val="000000"/>
                <w:sz w:val="20"/>
                <w:lang w:val="sv-SE"/>
              </w:rPr>
              <w:t>2</w:t>
            </w:r>
          </w:p>
        </w:tc>
        <w:tc>
          <w:tcPr>
            <w:tcW w:w="0" w:type="auto"/>
          </w:tcPr>
          <w:p w14:paraId="2D0658D5" w14:textId="77777777" w:rsidR="00A77B3E" w:rsidRPr="00800D1B" w:rsidRDefault="00623E14" w:rsidP="00975A92">
            <w:pPr>
              <w:spacing w:before="100" w:after="100"/>
              <w:ind w:left="-72"/>
              <w:rPr>
                <w:color w:val="000000"/>
                <w:sz w:val="20"/>
                <w:lang w:val="sv-SE"/>
              </w:rPr>
            </w:pPr>
            <w:r w:rsidRPr="00800D1B">
              <w:rPr>
                <w:color w:val="000000"/>
                <w:sz w:val="20"/>
                <w:lang w:val="sv-SE"/>
              </w:rPr>
              <w:t>RSO1.5</w:t>
            </w:r>
          </w:p>
        </w:tc>
        <w:tc>
          <w:tcPr>
            <w:tcW w:w="0" w:type="auto"/>
          </w:tcPr>
          <w:p w14:paraId="2D0658D6" w14:textId="77777777" w:rsidR="00A77B3E" w:rsidRPr="00800D1B" w:rsidRDefault="00623E14" w:rsidP="00975A92">
            <w:pPr>
              <w:spacing w:before="100" w:after="100"/>
              <w:ind w:left="-72"/>
              <w:rPr>
                <w:color w:val="000000"/>
                <w:sz w:val="20"/>
                <w:lang w:val="sv-SE"/>
              </w:rPr>
            </w:pPr>
            <w:r w:rsidRPr="00800D1B">
              <w:rPr>
                <w:color w:val="000000"/>
                <w:sz w:val="20"/>
                <w:lang w:val="sv-SE"/>
              </w:rPr>
              <w:t>Eruf</w:t>
            </w:r>
          </w:p>
        </w:tc>
        <w:tc>
          <w:tcPr>
            <w:tcW w:w="0" w:type="auto"/>
          </w:tcPr>
          <w:p w14:paraId="2D0658D7" w14:textId="77777777" w:rsidR="00A77B3E" w:rsidRPr="00800D1B" w:rsidRDefault="00623E14" w:rsidP="00975A92">
            <w:pPr>
              <w:spacing w:before="100" w:after="100"/>
              <w:ind w:left="-72"/>
              <w:rPr>
                <w:color w:val="000000"/>
                <w:sz w:val="20"/>
                <w:lang w:val="sv-SE"/>
              </w:rPr>
            </w:pPr>
            <w:r w:rsidRPr="00800D1B">
              <w:rPr>
                <w:color w:val="000000"/>
                <w:sz w:val="20"/>
                <w:lang w:val="sv-SE"/>
              </w:rPr>
              <w:t>De yttersta randområdena eller de nordliga glesbefolkade områdena</w:t>
            </w:r>
          </w:p>
        </w:tc>
        <w:tc>
          <w:tcPr>
            <w:tcW w:w="0" w:type="auto"/>
          </w:tcPr>
          <w:p w14:paraId="2D0658D8" w14:textId="77777777" w:rsidR="00A77B3E" w:rsidRPr="00800D1B" w:rsidRDefault="00623E14" w:rsidP="00975A92">
            <w:pPr>
              <w:spacing w:before="100" w:after="100"/>
              <w:ind w:left="-72"/>
              <w:rPr>
                <w:color w:val="000000"/>
                <w:sz w:val="20"/>
                <w:lang w:val="sv-SE"/>
              </w:rPr>
            </w:pPr>
            <w:r w:rsidRPr="00800D1B">
              <w:rPr>
                <w:color w:val="000000"/>
                <w:sz w:val="20"/>
                <w:lang w:val="sv-SE"/>
              </w:rPr>
              <w:t>31. Andra strategier – Glest befolkade områden</w:t>
            </w:r>
          </w:p>
        </w:tc>
        <w:tc>
          <w:tcPr>
            <w:tcW w:w="0" w:type="auto"/>
          </w:tcPr>
          <w:p w14:paraId="2D0658D9" w14:textId="77777777" w:rsidR="00A77B3E" w:rsidRPr="00800D1B" w:rsidRDefault="00623E14" w:rsidP="00975A92">
            <w:pPr>
              <w:spacing w:before="100" w:after="100"/>
              <w:ind w:left="-72"/>
              <w:jc w:val="right"/>
              <w:rPr>
                <w:color w:val="000000"/>
                <w:sz w:val="20"/>
                <w:lang w:val="sv-SE"/>
              </w:rPr>
            </w:pPr>
            <w:r w:rsidRPr="00800D1B">
              <w:rPr>
                <w:color w:val="000000"/>
                <w:sz w:val="20"/>
                <w:lang w:val="sv-SE"/>
              </w:rPr>
              <w:t>9 662 482,00</w:t>
            </w:r>
          </w:p>
        </w:tc>
      </w:tr>
      <w:tr w:rsidR="003422DB" w:rsidRPr="00800D1B" w14:paraId="2D0658E1" w14:textId="77777777" w:rsidTr="00975A92">
        <w:tc>
          <w:tcPr>
            <w:tcW w:w="0" w:type="auto"/>
          </w:tcPr>
          <w:p w14:paraId="2D0658DB" w14:textId="77777777" w:rsidR="00A77B3E" w:rsidRPr="00800D1B" w:rsidRDefault="00623E14" w:rsidP="00975A92">
            <w:pPr>
              <w:spacing w:before="100" w:after="100"/>
              <w:ind w:left="-72"/>
              <w:rPr>
                <w:color w:val="000000"/>
                <w:sz w:val="20"/>
                <w:lang w:val="sv-SE"/>
              </w:rPr>
            </w:pPr>
            <w:r w:rsidRPr="00800D1B">
              <w:rPr>
                <w:color w:val="000000"/>
                <w:sz w:val="20"/>
                <w:lang w:val="sv-SE"/>
              </w:rPr>
              <w:t>2</w:t>
            </w:r>
          </w:p>
        </w:tc>
        <w:tc>
          <w:tcPr>
            <w:tcW w:w="0" w:type="auto"/>
          </w:tcPr>
          <w:p w14:paraId="2D0658DC" w14:textId="77777777" w:rsidR="00A77B3E" w:rsidRPr="00800D1B" w:rsidRDefault="00623E14" w:rsidP="00975A92">
            <w:pPr>
              <w:spacing w:before="100" w:after="100"/>
              <w:ind w:left="-72"/>
              <w:rPr>
                <w:color w:val="000000"/>
                <w:sz w:val="20"/>
                <w:lang w:val="sv-SE"/>
              </w:rPr>
            </w:pPr>
            <w:r w:rsidRPr="00800D1B">
              <w:rPr>
                <w:color w:val="000000"/>
                <w:sz w:val="20"/>
                <w:lang w:val="sv-SE"/>
              </w:rPr>
              <w:t>RSO1.5</w:t>
            </w:r>
          </w:p>
        </w:tc>
        <w:tc>
          <w:tcPr>
            <w:tcW w:w="0" w:type="auto"/>
          </w:tcPr>
          <w:p w14:paraId="2D0658DD" w14:textId="77777777" w:rsidR="00A77B3E" w:rsidRPr="00800D1B" w:rsidRDefault="00623E14" w:rsidP="00975A92">
            <w:pPr>
              <w:spacing w:before="100" w:after="100"/>
              <w:ind w:left="-72"/>
              <w:rPr>
                <w:color w:val="000000"/>
                <w:sz w:val="20"/>
                <w:lang w:val="sv-SE"/>
              </w:rPr>
            </w:pPr>
            <w:r w:rsidRPr="00800D1B">
              <w:rPr>
                <w:color w:val="000000"/>
                <w:sz w:val="20"/>
                <w:lang w:val="sv-SE"/>
              </w:rPr>
              <w:t>Totalt</w:t>
            </w:r>
          </w:p>
        </w:tc>
        <w:tc>
          <w:tcPr>
            <w:tcW w:w="0" w:type="auto"/>
          </w:tcPr>
          <w:p w14:paraId="2D0658DE" w14:textId="77777777" w:rsidR="00A77B3E" w:rsidRPr="00800D1B" w:rsidRDefault="00A77B3E" w:rsidP="00975A92">
            <w:pPr>
              <w:spacing w:before="100" w:after="100"/>
              <w:ind w:left="-72"/>
              <w:rPr>
                <w:color w:val="000000"/>
                <w:sz w:val="20"/>
                <w:lang w:val="sv-SE"/>
              </w:rPr>
            </w:pPr>
          </w:p>
        </w:tc>
        <w:tc>
          <w:tcPr>
            <w:tcW w:w="0" w:type="auto"/>
          </w:tcPr>
          <w:p w14:paraId="2D0658DF" w14:textId="77777777" w:rsidR="00A77B3E" w:rsidRPr="00800D1B" w:rsidRDefault="00A77B3E" w:rsidP="00975A92">
            <w:pPr>
              <w:spacing w:before="100" w:after="100"/>
              <w:ind w:left="-72"/>
              <w:rPr>
                <w:color w:val="000000"/>
                <w:sz w:val="20"/>
                <w:lang w:val="sv-SE"/>
              </w:rPr>
            </w:pPr>
          </w:p>
        </w:tc>
        <w:tc>
          <w:tcPr>
            <w:tcW w:w="0" w:type="auto"/>
          </w:tcPr>
          <w:p w14:paraId="2D0658E0" w14:textId="77777777" w:rsidR="00A77B3E" w:rsidRPr="00800D1B" w:rsidRDefault="00623E14" w:rsidP="00975A92">
            <w:pPr>
              <w:spacing w:before="100" w:after="100"/>
              <w:ind w:left="-72"/>
              <w:jc w:val="right"/>
              <w:rPr>
                <w:color w:val="000000"/>
                <w:sz w:val="20"/>
                <w:lang w:val="sv-SE"/>
              </w:rPr>
            </w:pPr>
            <w:r w:rsidRPr="00800D1B">
              <w:rPr>
                <w:color w:val="000000"/>
                <w:sz w:val="20"/>
                <w:lang w:val="sv-SE"/>
              </w:rPr>
              <w:t>9 662 482,00</w:t>
            </w:r>
          </w:p>
        </w:tc>
      </w:tr>
    </w:tbl>
    <w:p w14:paraId="6CA1CA13" w14:textId="77777777" w:rsidR="00552F60" w:rsidRPr="00800D1B" w:rsidRDefault="00552F60" w:rsidP="00552F60">
      <w:pPr>
        <w:rPr>
          <w:lang w:val="sv-SE"/>
        </w:rPr>
        <w:sectPr w:rsidR="00552F60" w:rsidRPr="00800D1B" w:rsidSect="0065165D">
          <w:pgSz w:w="16838" w:h="11906" w:orient="landscape" w:code="9"/>
          <w:pgMar w:top="720" w:right="720" w:bottom="864" w:left="936" w:header="288" w:footer="72" w:gutter="0"/>
          <w:cols w:space="720"/>
          <w:noEndnote/>
          <w:docGrid w:linePitch="360"/>
        </w:sectPr>
      </w:pPr>
      <w:bookmarkStart w:id="38" w:name="_Toc256000279"/>
    </w:p>
    <w:p w14:paraId="2D0658E3" w14:textId="0811842A" w:rsidR="00A77B3E" w:rsidRPr="00800D1B" w:rsidRDefault="00623E14" w:rsidP="00552F60">
      <w:pPr>
        <w:spacing w:before="360" w:after="100"/>
        <w:rPr>
          <w:lang w:val="sv-SE"/>
        </w:rPr>
      </w:pPr>
      <w:r w:rsidRPr="00800D1B">
        <w:rPr>
          <w:lang w:val="sv-SE"/>
        </w:rPr>
        <w:t>Tabell 7: Dimension 6 – ESF+-sekundärteman</w:t>
      </w:r>
      <w:bookmarkEnd w:id="38"/>
    </w:p>
    <w:tbl>
      <w:tblPr>
        <w:tblStyle w:val="Tabellrutnt"/>
        <w:tblW w:w="5000" w:type="pct"/>
        <w:tblLook w:val="04A0" w:firstRow="1" w:lastRow="0" w:firstColumn="1" w:lastColumn="0" w:noHBand="0" w:noVBand="1"/>
        <w:tblDescription w:val="En tabell med sex kolumner: Prioritering; Specifikt mål; Fond; Regionkategori; Kod; Belopp (euro). Tabellen visar information om ESF+-sekundärteman."/>
      </w:tblPr>
      <w:tblGrid>
        <w:gridCol w:w="2696"/>
        <w:gridCol w:w="3040"/>
        <w:gridCol w:w="1516"/>
        <w:gridCol w:w="3415"/>
        <w:gridCol w:w="1361"/>
        <w:gridCol w:w="3144"/>
      </w:tblGrid>
      <w:tr w:rsidR="003422DB" w:rsidRPr="00800D1B" w14:paraId="2D0658EB" w14:textId="77777777" w:rsidTr="00975A92">
        <w:tc>
          <w:tcPr>
            <w:tcW w:w="0" w:type="auto"/>
          </w:tcPr>
          <w:p w14:paraId="2D0658E5" w14:textId="77777777" w:rsidR="00A77B3E" w:rsidRPr="00800D1B" w:rsidRDefault="00623E14" w:rsidP="00975A92">
            <w:pPr>
              <w:spacing w:before="100" w:after="100"/>
              <w:ind w:left="-72"/>
              <w:jc w:val="center"/>
              <w:rPr>
                <w:color w:val="000000"/>
                <w:sz w:val="20"/>
                <w:lang w:val="sv-SE"/>
              </w:rPr>
            </w:pPr>
            <w:r w:rsidRPr="00800D1B">
              <w:rPr>
                <w:color w:val="000000"/>
                <w:sz w:val="20"/>
                <w:lang w:val="sv-SE"/>
              </w:rPr>
              <w:t>Prioritering</w:t>
            </w:r>
          </w:p>
        </w:tc>
        <w:tc>
          <w:tcPr>
            <w:tcW w:w="0" w:type="auto"/>
          </w:tcPr>
          <w:p w14:paraId="2D0658E6" w14:textId="77777777" w:rsidR="00A77B3E" w:rsidRPr="00800D1B" w:rsidRDefault="00623E14" w:rsidP="00975A92">
            <w:pPr>
              <w:spacing w:before="100" w:after="100"/>
              <w:ind w:left="-72"/>
              <w:jc w:val="center"/>
              <w:rPr>
                <w:color w:val="000000"/>
                <w:sz w:val="20"/>
                <w:lang w:val="sv-SE"/>
              </w:rPr>
            </w:pPr>
            <w:r w:rsidRPr="00800D1B">
              <w:rPr>
                <w:color w:val="000000"/>
                <w:sz w:val="20"/>
                <w:lang w:val="sv-SE"/>
              </w:rPr>
              <w:t>Specifikt mål</w:t>
            </w:r>
          </w:p>
        </w:tc>
        <w:tc>
          <w:tcPr>
            <w:tcW w:w="0" w:type="auto"/>
          </w:tcPr>
          <w:p w14:paraId="2D0658E7" w14:textId="77777777" w:rsidR="00A77B3E" w:rsidRPr="00800D1B" w:rsidRDefault="00623E14" w:rsidP="00975A92">
            <w:pPr>
              <w:spacing w:before="100" w:after="100"/>
              <w:ind w:left="-72"/>
              <w:jc w:val="center"/>
              <w:rPr>
                <w:color w:val="000000"/>
                <w:sz w:val="20"/>
                <w:lang w:val="sv-SE"/>
              </w:rPr>
            </w:pPr>
            <w:r w:rsidRPr="00800D1B">
              <w:rPr>
                <w:color w:val="000000"/>
                <w:sz w:val="20"/>
                <w:lang w:val="sv-SE"/>
              </w:rPr>
              <w:t>Fond</w:t>
            </w:r>
          </w:p>
        </w:tc>
        <w:tc>
          <w:tcPr>
            <w:tcW w:w="0" w:type="auto"/>
          </w:tcPr>
          <w:p w14:paraId="2D0658E8" w14:textId="77777777" w:rsidR="00A77B3E" w:rsidRPr="00800D1B" w:rsidRDefault="00623E14" w:rsidP="00975A92">
            <w:pPr>
              <w:spacing w:before="100" w:after="100"/>
              <w:ind w:left="-72"/>
              <w:jc w:val="center"/>
              <w:rPr>
                <w:color w:val="000000"/>
                <w:sz w:val="20"/>
                <w:lang w:val="sv-SE"/>
              </w:rPr>
            </w:pPr>
            <w:r w:rsidRPr="00800D1B">
              <w:rPr>
                <w:color w:val="000000"/>
                <w:sz w:val="20"/>
                <w:lang w:val="sv-SE"/>
              </w:rPr>
              <w:t>Regionkategori</w:t>
            </w:r>
          </w:p>
        </w:tc>
        <w:tc>
          <w:tcPr>
            <w:tcW w:w="0" w:type="auto"/>
          </w:tcPr>
          <w:p w14:paraId="2D0658E9" w14:textId="77777777" w:rsidR="00A77B3E" w:rsidRPr="00800D1B" w:rsidRDefault="00623E14" w:rsidP="00975A92">
            <w:pPr>
              <w:spacing w:before="100" w:after="100"/>
              <w:ind w:left="-72"/>
              <w:jc w:val="center"/>
              <w:rPr>
                <w:color w:val="000000"/>
                <w:sz w:val="20"/>
                <w:lang w:val="sv-SE"/>
              </w:rPr>
            </w:pPr>
            <w:r w:rsidRPr="00800D1B">
              <w:rPr>
                <w:color w:val="000000"/>
                <w:sz w:val="20"/>
                <w:lang w:val="sv-SE"/>
              </w:rPr>
              <w:t>Kod</w:t>
            </w:r>
          </w:p>
        </w:tc>
        <w:tc>
          <w:tcPr>
            <w:tcW w:w="0" w:type="auto"/>
          </w:tcPr>
          <w:p w14:paraId="2D0658EA" w14:textId="77777777" w:rsidR="00A77B3E" w:rsidRPr="00800D1B" w:rsidRDefault="00623E14" w:rsidP="00975A92">
            <w:pPr>
              <w:spacing w:before="100" w:after="100"/>
              <w:ind w:left="-72"/>
              <w:jc w:val="center"/>
              <w:rPr>
                <w:color w:val="000000"/>
                <w:sz w:val="20"/>
                <w:lang w:val="sv-SE"/>
              </w:rPr>
            </w:pPr>
            <w:r w:rsidRPr="00800D1B">
              <w:rPr>
                <w:color w:val="000000"/>
                <w:sz w:val="20"/>
                <w:lang w:val="sv-SE"/>
              </w:rPr>
              <w:t>Belopp (euro)</w:t>
            </w:r>
          </w:p>
        </w:tc>
      </w:tr>
    </w:tbl>
    <w:p w14:paraId="2D0658ED" w14:textId="5025A7CD" w:rsidR="00A77B3E" w:rsidRPr="00800D1B" w:rsidRDefault="00623E14" w:rsidP="00552F60">
      <w:pPr>
        <w:spacing w:before="360"/>
        <w:rPr>
          <w:lang w:val="sv-SE"/>
        </w:rPr>
      </w:pPr>
      <w:bookmarkStart w:id="39" w:name="_Toc256000280"/>
      <w:r w:rsidRPr="00800D1B">
        <w:rPr>
          <w:lang w:val="sv-SE"/>
        </w:rPr>
        <w:t>Tabell 8: Dimension 7 – ESF+, Eruf, Sammanhållningsfonden och FRO, jämställdhetsdimensionen</w:t>
      </w:r>
      <w:bookmarkEnd w:id="39"/>
    </w:p>
    <w:p w14:paraId="2D0658EE" w14:textId="77777777" w:rsidR="00A77B3E" w:rsidRPr="00800D1B" w:rsidRDefault="00A77B3E">
      <w:pPr>
        <w:spacing w:before="100"/>
        <w:rPr>
          <w:color w:val="000000"/>
          <w:sz w:val="0"/>
          <w:lang w:val="sv-SE"/>
        </w:rPr>
      </w:pPr>
    </w:p>
    <w:tbl>
      <w:tblPr>
        <w:tblStyle w:val="Tabellrutnt"/>
        <w:tblW w:w="5000" w:type="pct"/>
        <w:tblLook w:val="04A0" w:firstRow="1" w:lastRow="0" w:firstColumn="1" w:lastColumn="0" w:noHBand="0" w:noVBand="1"/>
        <w:tblDescription w:val="En tabell med sex kolumner: Prioritering; Specifikt mål; Fond; Regionkategori; Kod; Belopp (euro). Tabellen visar information om ESF+, Eruf, Sammanhållningsfonden och FRO, jämställdhetsdimensionen."/>
      </w:tblPr>
      <w:tblGrid>
        <w:gridCol w:w="1391"/>
        <w:gridCol w:w="1568"/>
        <w:gridCol w:w="860"/>
        <w:gridCol w:w="6754"/>
        <w:gridCol w:w="2978"/>
        <w:gridCol w:w="1621"/>
      </w:tblGrid>
      <w:tr w:rsidR="003422DB" w:rsidRPr="00800D1B" w14:paraId="2D0658F5" w14:textId="77777777" w:rsidTr="00B75D96">
        <w:tc>
          <w:tcPr>
            <w:tcW w:w="0" w:type="auto"/>
          </w:tcPr>
          <w:p w14:paraId="2D0658EF" w14:textId="77777777" w:rsidR="00A77B3E" w:rsidRPr="00800D1B" w:rsidRDefault="00623E14" w:rsidP="00B75D96">
            <w:pPr>
              <w:spacing w:before="100" w:after="100"/>
              <w:ind w:left="-72"/>
              <w:jc w:val="center"/>
              <w:rPr>
                <w:color w:val="000000"/>
                <w:sz w:val="20"/>
                <w:lang w:val="sv-SE"/>
              </w:rPr>
            </w:pPr>
            <w:r w:rsidRPr="00800D1B">
              <w:rPr>
                <w:color w:val="000000"/>
                <w:sz w:val="20"/>
                <w:lang w:val="sv-SE"/>
              </w:rPr>
              <w:t>Prioritering</w:t>
            </w:r>
          </w:p>
        </w:tc>
        <w:tc>
          <w:tcPr>
            <w:tcW w:w="0" w:type="auto"/>
          </w:tcPr>
          <w:p w14:paraId="2D0658F0" w14:textId="77777777" w:rsidR="00A77B3E" w:rsidRPr="00800D1B" w:rsidRDefault="00623E14" w:rsidP="00B75D96">
            <w:pPr>
              <w:spacing w:before="100" w:after="100"/>
              <w:ind w:left="-72"/>
              <w:jc w:val="center"/>
              <w:rPr>
                <w:color w:val="000000"/>
                <w:sz w:val="20"/>
                <w:lang w:val="sv-SE"/>
              </w:rPr>
            </w:pPr>
            <w:r w:rsidRPr="00800D1B">
              <w:rPr>
                <w:color w:val="000000"/>
                <w:sz w:val="20"/>
                <w:lang w:val="sv-SE"/>
              </w:rPr>
              <w:t>Specifikt mål</w:t>
            </w:r>
          </w:p>
        </w:tc>
        <w:tc>
          <w:tcPr>
            <w:tcW w:w="0" w:type="auto"/>
          </w:tcPr>
          <w:p w14:paraId="2D0658F1" w14:textId="77777777" w:rsidR="00A77B3E" w:rsidRPr="00800D1B" w:rsidRDefault="00623E14" w:rsidP="00B75D96">
            <w:pPr>
              <w:spacing w:before="100" w:after="100"/>
              <w:ind w:left="-72"/>
              <w:jc w:val="center"/>
              <w:rPr>
                <w:color w:val="000000"/>
                <w:sz w:val="20"/>
                <w:lang w:val="sv-SE"/>
              </w:rPr>
            </w:pPr>
            <w:r w:rsidRPr="00800D1B">
              <w:rPr>
                <w:color w:val="000000"/>
                <w:sz w:val="20"/>
                <w:lang w:val="sv-SE"/>
              </w:rPr>
              <w:t>Fond</w:t>
            </w:r>
          </w:p>
        </w:tc>
        <w:tc>
          <w:tcPr>
            <w:tcW w:w="0" w:type="auto"/>
          </w:tcPr>
          <w:p w14:paraId="2D0658F2" w14:textId="77777777" w:rsidR="00A77B3E" w:rsidRPr="00800D1B" w:rsidRDefault="00623E14" w:rsidP="00B75D96">
            <w:pPr>
              <w:spacing w:before="100" w:after="100"/>
              <w:ind w:left="-72"/>
              <w:jc w:val="center"/>
              <w:rPr>
                <w:color w:val="000000"/>
                <w:sz w:val="20"/>
                <w:lang w:val="sv-SE"/>
              </w:rPr>
            </w:pPr>
            <w:r w:rsidRPr="00800D1B">
              <w:rPr>
                <w:color w:val="000000"/>
                <w:sz w:val="20"/>
                <w:lang w:val="sv-SE"/>
              </w:rPr>
              <w:t>Regionkategori</w:t>
            </w:r>
          </w:p>
        </w:tc>
        <w:tc>
          <w:tcPr>
            <w:tcW w:w="0" w:type="auto"/>
          </w:tcPr>
          <w:p w14:paraId="2D0658F3" w14:textId="77777777" w:rsidR="00A77B3E" w:rsidRPr="00800D1B" w:rsidRDefault="00623E14" w:rsidP="00B75D96">
            <w:pPr>
              <w:spacing w:before="100" w:after="100"/>
              <w:ind w:left="-72"/>
              <w:jc w:val="center"/>
              <w:rPr>
                <w:color w:val="000000"/>
                <w:sz w:val="20"/>
                <w:lang w:val="sv-SE"/>
              </w:rPr>
            </w:pPr>
            <w:r w:rsidRPr="00800D1B">
              <w:rPr>
                <w:color w:val="000000"/>
                <w:sz w:val="20"/>
                <w:lang w:val="sv-SE"/>
              </w:rPr>
              <w:t>Kod</w:t>
            </w:r>
          </w:p>
        </w:tc>
        <w:tc>
          <w:tcPr>
            <w:tcW w:w="0" w:type="auto"/>
          </w:tcPr>
          <w:p w14:paraId="2D0658F4" w14:textId="77777777" w:rsidR="00A77B3E" w:rsidRPr="00800D1B" w:rsidRDefault="00623E14" w:rsidP="00B75D96">
            <w:pPr>
              <w:spacing w:before="100" w:after="100"/>
              <w:ind w:left="-72"/>
              <w:jc w:val="center"/>
              <w:rPr>
                <w:color w:val="000000"/>
                <w:sz w:val="20"/>
                <w:lang w:val="sv-SE"/>
              </w:rPr>
            </w:pPr>
            <w:r w:rsidRPr="00800D1B">
              <w:rPr>
                <w:color w:val="000000"/>
                <w:sz w:val="20"/>
                <w:lang w:val="sv-SE"/>
              </w:rPr>
              <w:t>Belopp (euro)</w:t>
            </w:r>
          </w:p>
        </w:tc>
      </w:tr>
      <w:tr w:rsidR="003422DB" w:rsidRPr="00800D1B" w14:paraId="2D0658FC" w14:textId="77777777" w:rsidTr="00B75D96">
        <w:tc>
          <w:tcPr>
            <w:tcW w:w="0" w:type="auto"/>
          </w:tcPr>
          <w:p w14:paraId="2D0658F6" w14:textId="77777777" w:rsidR="00A77B3E" w:rsidRPr="00800D1B" w:rsidRDefault="00623E14" w:rsidP="00B75D96">
            <w:pPr>
              <w:spacing w:before="100" w:after="100"/>
              <w:ind w:left="-72"/>
              <w:rPr>
                <w:color w:val="000000"/>
                <w:sz w:val="20"/>
                <w:lang w:val="sv-SE"/>
              </w:rPr>
            </w:pPr>
            <w:r w:rsidRPr="00800D1B">
              <w:rPr>
                <w:color w:val="000000"/>
                <w:sz w:val="20"/>
                <w:lang w:val="sv-SE"/>
              </w:rPr>
              <w:t>2</w:t>
            </w:r>
          </w:p>
        </w:tc>
        <w:tc>
          <w:tcPr>
            <w:tcW w:w="0" w:type="auto"/>
          </w:tcPr>
          <w:p w14:paraId="2D0658F7" w14:textId="77777777" w:rsidR="00A77B3E" w:rsidRPr="00800D1B" w:rsidRDefault="00623E14" w:rsidP="00B75D96">
            <w:pPr>
              <w:spacing w:before="100" w:after="100"/>
              <w:ind w:left="-72"/>
              <w:rPr>
                <w:color w:val="000000"/>
                <w:sz w:val="20"/>
                <w:lang w:val="sv-SE"/>
              </w:rPr>
            </w:pPr>
            <w:r w:rsidRPr="00800D1B">
              <w:rPr>
                <w:color w:val="000000"/>
                <w:sz w:val="20"/>
                <w:lang w:val="sv-SE"/>
              </w:rPr>
              <w:t>RSO1.5</w:t>
            </w:r>
          </w:p>
        </w:tc>
        <w:tc>
          <w:tcPr>
            <w:tcW w:w="0" w:type="auto"/>
          </w:tcPr>
          <w:p w14:paraId="2D0658F8" w14:textId="77777777" w:rsidR="00A77B3E" w:rsidRPr="00800D1B" w:rsidRDefault="00623E14" w:rsidP="00B75D96">
            <w:pPr>
              <w:spacing w:before="100" w:after="100"/>
              <w:ind w:left="-72"/>
              <w:rPr>
                <w:color w:val="000000"/>
                <w:sz w:val="20"/>
                <w:lang w:val="sv-SE"/>
              </w:rPr>
            </w:pPr>
            <w:r w:rsidRPr="00800D1B">
              <w:rPr>
                <w:color w:val="000000"/>
                <w:sz w:val="20"/>
                <w:lang w:val="sv-SE"/>
              </w:rPr>
              <w:t>Eruf</w:t>
            </w:r>
          </w:p>
        </w:tc>
        <w:tc>
          <w:tcPr>
            <w:tcW w:w="0" w:type="auto"/>
          </w:tcPr>
          <w:p w14:paraId="2D0658F9" w14:textId="77777777" w:rsidR="00A77B3E" w:rsidRPr="00800D1B" w:rsidRDefault="00623E14" w:rsidP="00B75D96">
            <w:pPr>
              <w:spacing w:before="100" w:after="100"/>
              <w:ind w:left="-72"/>
              <w:rPr>
                <w:color w:val="000000"/>
                <w:sz w:val="20"/>
                <w:lang w:val="sv-SE"/>
              </w:rPr>
            </w:pPr>
            <w:r w:rsidRPr="00800D1B">
              <w:rPr>
                <w:color w:val="000000"/>
                <w:sz w:val="20"/>
                <w:lang w:val="sv-SE"/>
              </w:rPr>
              <w:t>De yttersta randområdena eller de nordliga glesbefolkade områdena</w:t>
            </w:r>
          </w:p>
        </w:tc>
        <w:tc>
          <w:tcPr>
            <w:tcW w:w="0" w:type="auto"/>
          </w:tcPr>
          <w:p w14:paraId="2D0658FA" w14:textId="77777777" w:rsidR="00A77B3E" w:rsidRPr="00800D1B" w:rsidRDefault="00623E14" w:rsidP="00B75D96">
            <w:pPr>
              <w:spacing w:before="100" w:after="100"/>
              <w:ind w:left="-72"/>
              <w:rPr>
                <w:color w:val="000000"/>
                <w:sz w:val="20"/>
                <w:lang w:val="sv-SE"/>
              </w:rPr>
            </w:pPr>
            <w:r w:rsidRPr="00800D1B">
              <w:rPr>
                <w:color w:val="000000"/>
                <w:sz w:val="20"/>
                <w:lang w:val="sv-SE"/>
              </w:rPr>
              <w:t>02. Jämställdhetsintegrering</w:t>
            </w:r>
          </w:p>
        </w:tc>
        <w:tc>
          <w:tcPr>
            <w:tcW w:w="0" w:type="auto"/>
          </w:tcPr>
          <w:p w14:paraId="2D0658FB" w14:textId="77777777" w:rsidR="00A77B3E" w:rsidRPr="00800D1B" w:rsidRDefault="00623E14" w:rsidP="00B75D96">
            <w:pPr>
              <w:spacing w:before="100" w:after="100"/>
              <w:ind w:left="-72"/>
              <w:jc w:val="right"/>
              <w:rPr>
                <w:color w:val="000000"/>
                <w:sz w:val="20"/>
                <w:lang w:val="sv-SE"/>
              </w:rPr>
            </w:pPr>
            <w:r w:rsidRPr="00800D1B">
              <w:rPr>
                <w:color w:val="000000"/>
                <w:sz w:val="20"/>
                <w:lang w:val="sv-SE"/>
              </w:rPr>
              <w:t>3 865 064,00</w:t>
            </w:r>
          </w:p>
        </w:tc>
      </w:tr>
      <w:tr w:rsidR="003422DB" w:rsidRPr="00800D1B" w14:paraId="2D065903" w14:textId="77777777" w:rsidTr="00B75D96">
        <w:tc>
          <w:tcPr>
            <w:tcW w:w="0" w:type="auto"/>
          </w:tcPr>
          <w:p w14:paraId="2D0658FD" w14:textId="77777777" w:rsidR="00A77B3E" w:rsidRPr="00800D1B" w:rsidRDefault="00623E14" w:rsidP="00B75D96">
            <w:pPr>
              <w:spacing w:before="100" w:after="100"/>
              <w:ind w:left="-72"/>
              <w:rPr>
                <w:color w:val="000000"/>
                <w:sz w:val="20"/>
                <w:lang w:val="sv-SE"/>
              </w:rPr>
            </w:pPr>
            <w:r w:rsidRPr="00800D1B">
              <w:rPr>
                <w:color w:val="000000"/>
                <w:sz w:val="20"/>
                <w:lang w:val="sv-SE"/>
              </w:rPr>
              <w:t>2</w:t>
            </w:r>
          </w:p>
        </w:tc>
        <w:tc>
          <w:tcPr>
            <w:tcW w:w="0" w:type="auto"/>
          </w:tcPr>
          <w:p w14:paraId="2D0658FE" w14:textId="77777777" w:rsidR="00A77B3E" w:rsidRPr="00800D1B" w:rsidRDefault="00623E14" w:rsidP="00B75D96">
            <w:pPr>
              <w:spacing w:before="100" w:after="100"/>
              <w:ind w:left="-72"/>
              <w:rPr>
                <w:color w:val="000000"/>
                <w:sz w:val="20"/>
                <w:lang w:val="sv-SE"/>
              </w:rPr>
            </w:pPr>
            <w:r w:rsidRPr="00800D1B">
              <w:rPr>
                <w:color w:val="000000"/>
                <w:sz w:val="20"/>
                <w:lang w:val="sv-SE"/>
              </w:rPr>
              <w:t>RSO1.5</w:t>
            </w:r>
          </w:p>
        </w:tc>
        <w:tc>
          <w:tcPr>
            <w:tcW w:w="0" w:type="auto"/>
          </w:tcPr>
          <w:p w14:paraId="2D0658FF" w14:textId="77777777" w:rsidR="00A77B3E" w:rsidRPr="00800D1B" w:rsidRDefault="00623E14" w:rsidP="00B75D96">
            <w:pPr>
              <w:spacing w:before="100" w:after="100"/>
              <w:ind w:left="-72"/>
              <w:rPr>
                <w:color w:val="000000"/>
                <w:sz w:val="20"/>
                <w:lang w:val="sv-SE"/>
              </w:rPr>
            </w:pPr>
            <w:r w:rsidRPr="00800D1B">
              <w:rPr>
                <w:color w:val="000000"/>
                <w:sz w:val="20"/>
                <w:lang w:val="sv-SE"/>
              </w:rPr>
              <w:t>Eruf</w:t>
            </w:r>
          </w:p>
        </w:tc>
        <w:tc>
          <w:tcPr>
            <w:tcW w:w="0" w:type="auto"/>
          </w:tcPr>
          <w:p w14:paraId="2D065900" w14:textId="77777777" w:rsidR="00A77B3E" w:rsidRPr="00800D1B" w:rsidRDefault="00623E14" w:rsidP="00B75D96">
            <w:pPr>
              <w:spacing w:before="100" w:after="100"/>
              <w:ind w:left="-72"/>
              <w:rPr>
                <w:color w:val="000000"/>
                <w:sz w:val="20"/>
                <w:lang w:val="sv-SE"/>
              </w:rPr>
            </w:pPr>
            <w:r w:rsidRPr="00800D1B">
              <w:rPr>
                <w:color w:val="000000"/>
                <w:sz w:val="20"/>
                <w:lang w:val="sv-SE"/>
              </w:rPr>
              <w:t>De yttersta randområdena eller de nordliga glesbefolkade områdena</w:t>
            </w:r>
          </w:p>
        </w:tc>
        <w:tc>
          <w:tcPr>
            <w:tcW w:w="0" w:type="auto"/>
          </w:tcPr>
          <w:p w14:paraId="2D065901" w14:textId="77777777" w:rsidR="00A77B3E" w:rsidRPr="00800D1B" w:rsidRDefault="00623E14" w:rsidP="00B75D96">
            <w:pPr>
              <w:spacing w:before="100" w:after="100"/>
              <w:ind w:left="-72"/>
              <w:rPr>
                <w:color w:val="000000"/>
                <w:sz w:val="20"/>
                <w:lang w:val="sv-SE"/>
              </w:rPr>
            </w:pPr>
            <w:r w:rsidRPr="00800D1B">
              <w:rPr>
                <w:color w:val="000000"/>
                <w:sz w:val="20"/>
                <w:lang w:val="sv-SE"/>
              </w:rPr>
              <w:t>03. Könsneutralitet</w:t>
            </w:r>
          </w:p>
        </w:tc>
        <w:tc>
          <w:tcPr>
            <w:tcW w:w="0" w:type="auto"/>
          </w:tcPr>
          <w:p w14:paraId="2D065902" w14:textId="77777777" w:rsidR="00A77B3E" w:rsidRPr="00800D1B" w:rsidRDefault="00623E14" w:rsidP="00B75D96">
            <w:pPr>
              <w:spacing w:before="100" w:after="100"/>
              <w:ind w:left="-72"/>
              <w:jc w:val="right"/>
              <w:rPr>
                <w:color w:val="000000"/>
                <w:sz w:val="20"/>
                <w:lang w:val="sv-SE"/>
              </w:rPr>
            </w:pPr>
            <w:r w:rsidRPr="00800D1B">
              <w:rPr>
                <w:color w:val="000000"/>
                <w:sz w:val="20"/>
                <w:lang w:val="sv-SE"/>
              </w:rPr>
              <w:t>5 797 418,00</w:t>
            </w:r>
          </w:p>
        </w:tc>
      </w:tr>
      <w:tr w:rsidR="003422DB" w:rsidRPr="00800D1B" w14:paraId="2D06590A" w14:textId="77777777" w:rsidTr="00B75D96">
        <w:tc>
          <w:tcPr>
            <w:tcW w:w="0" w:type="auto"/>
          </w:tcPr>
          <w:p w14:paraId="2D065904" w14:textId="77777777" w:rsidR="00A77B3E" w:rsidRPr="00800D1B" w:rsidRDefault="00623E14" w:rsidP="00B75D96">
            <w:pPr>
              <w:spacing w:before="100" w:after="100"/>
              <w:ind w:left="-72"/>
              <w:rPr>
                <w:color w:val="000000"/>
                <w:sz w:val="20"/>
                <w:lang w:val="sv-SE"/>
              </w:rPr>
            </w:pPr>
            <w:r w:rsidRPr="00800D1B">
              <w:rPr>
                <w:color w:val="000000"/>
                <w:sz w:val="20"/>
                <w:lang w:val="sv-SE"/>
              </w:rPr>
              <w:t>2</w:t>
            </w:r>
          </w:p>
        </w:tc>
        <w:tc>
          <w:tcPr>
            <w:tcW w:w="0" w:type="auto"/>
          </w:tcPr>
          <w:p w14:paraId="2D065905" w14:textId="77777777" w:rsidR="00A77B3E" w:rsidRPr="00800D1B" w:rsidRDefault="00623E14" w:rsidP="00B75D96">
            <w:pPr>
              <w:spacing w:before="100" w:after="100"/>
              <w:ind w:left="-72"/>
              <w:rPr>
                <w:color w:val="000000"/>
                <w:sz w:val="20"/>
                <w:lang w:val="sv-SE"/>
              </w:rPr>
            </w:pPr>
            <w:r w:rsidRPr="00800D1B">
              <w:rPr>
                <w:color w:val="000000"/>
                <w:sz w:val="20"/>
                <w:lang w:val="sv-SE"/>
              </w:rPr>
              <w:t>RSO1.5</w:t>
            </w:r>
          </w:p>
        </w:tc>
        <w:tc>
          <w:tcPr>
            <w:tcW w:w="0" w:type="auto"/>
          </w:tcPr>
          <w:p w14:paraId="2D065906" w14:textId="77777777" w:rsidR="00A77B3E" w:rsidRPr="00800D1B" w:rsidRDefault="00623E14" w:rsidP="00B75D96">
            <w:pPr>
              <w:spacing w:before="100" w:after="100"/>
              <w:ind w:left="-72"/>
              <w:rPr>
                <w:color w:val="000000"/>
                <w:sz w:val="20"/>
                <w:lang w:val="sv-SE"/>
              </w:rPr>
            </w:pPr>
            <w:r w:rsidRPr="00800D1B">
              <w:rPr>
                <w:color w:val="000000"/>
                <w:sz w:val="20"/>
                <w:lang w:val="sv-SE"/>
              </w:rPr>
              <w:t>Totalt</w:t>
            </w:r>
          </w:p>
        </w:tc>
        <w:tc>
          <w:tcPr>
            <w:tcW w:w="0" w:type="auto"/>
          </w:tcPr>
          <w:p w14:paraId="2D065907" w14:textId="77777777" w:rsidR="00A77B3E" w:rsidRPr="00800D1B" w:rsidRDefault="00A77B3E" w:rsidP="00B75D96">
            <w:pPr>
              <w:spacing w:before="100" w:after="100"/>
              <w:ind w:left="-72"/>
              <w:rPr>
                <w:color w:val="000000"/>
                <w:sz w:val="20"/>
                <w:lang w:val="sv-SE"/>
              </w:rPr>
            </w:pPr>
          </w:p>
        </w:tc>
        <w:tc>
          <w:tcPr>
            <w:tcW w:w="0" w:type="auto"/>
          </w:tcPr>
          <w:p w14:paraId="2D065908" w14:textId="77777777" w:rsidR="00A77B3E" w:rsidRPr="00800D1B" w:rsidRDefault="00A77B3E" w:rsidP="00B75D96">
            <w:pPr>
              <w:spacing w:before="100" w:after="100"/>
              <w:ind w:left="-72"/>
              <w:rPr>
                <w:color w:val="000000"/>
                <w:sz w:val="20"/>
                <w:lang w:val="sv-SE"/>
              </w:rPr>
            </w:pPr>
          </w:p>
        </w:tc>
        <w:tc>
          <w:tcPr>
            <w:tcW w:w="0" w:type="auto"/>
          </w:tcPr>
          <w:p w14:paraId="2D065909" w14:textId="77777777" w:rsidR="00A77B3E" w:rsidRPr="00800D1B" w:rsidRDefault="00623E14" w:rsidP="00B75D96">
            <w:pPr>
              <w:spacing w:before="100" w:after="100"/>
              <w:ind w:left="-72"/>
              <w:jc w:val="right"/>
              <w:rPr>
                <w:color w:val="000000"/>
                <w:sz w:val="20"/>
                <w:lang w:val="sv-SE"/>
              </w:rPr>
            </w:pPr>
            <w:r w:rsidRPr="00800D1B">
              <w:rPr>
                <w:color w:val="000000"/>
                <w:sz w:val="20"/>
                <w:lang w:val="sv-SE"/>
              </w:rPr>
              <w:t>9 662 482,00</w:t>
            </w:r>
          </w:p>
        </w:tc>
      </w:tr>
    </w:tbl>
    <w:p w14:paraId="2D06590B" w14:textId="216DEF91" w:rsidR="00A77B3E" w:rsidRPr="00800D1B" w:rsidRDefault="00623E14">
      <w:pPr>
        <w:spacing w:before="100"/>
        <w:rPr>
          <w:color w:val="000000"/>
          <w:sz w:val="20"/>
          <w:lang w:val="sv-SE"/>
        </w:rPr>
      </w:pPr>
      <w:r w:rsidRPr="00800D1B">
        <w:rPr>
          <w:color w:val="000000"/>
          <w:sz w:val="20"/>
          <w:lang w:val="sv-SE"/>
        </w:rPr>
        <w:t>* För ESF+ bidrar i princip 40 % av ESF+-medlen till uppföljning av jämställdheten. 100 % är tillämpligt när medlemsstaten väljer att använda artikel 6 i ESF+</w:t>
      </w:r>
    </w:p>
    <w:p w14:paraId="5707E1E5" w14:textId="77777777" w:rsidR="007058D0" w:rsidRPr="00800D1B" w:rsidRDefault="007058D0">
      <w:pPr>
        <w:spacing w:before="100"/>
        <w:rPr>
          <w:color w:val="000000"/>
          <w:sz w:val="20"/>
          <w:lang w:val="sv-SE"/>
        </w:rPr>
        <w:sectPr w:rsidR="007058D0" w:rsidRPr="00800D1B" w:rsidSect="0065165D">
          <w:pgSz w:w="16838" w:h="11906" w:orient="landscape" w:code="9"/>
          <w:pgMar w:top="720" w:right="720" w:bottom="864" w:left="936" w:header="288" w:footer="72" w:gutter="0"/>
          <w:cols w:space="720"/>
          <w:noEndnote/>
          <w:docGrid w:linePitch="360"/>
        </w:sectPr>
      </w:pPr>
    </w:p>
    <w:p w14:paraId="2D06590C" w14:textId="1DD32E84" w:rsidR="00A77B3E" w:rsidRPr="00800D1B" w:rsidRDefault="00623E14">
      <w:pPr>
        <w:pStyle w:val="Rubrik4"/>
        <w:numPr>
          <w:ilvl w:val="2"/>
          <w:numId w:val="95"/>
        </w:numPr>
        <w:tabs>
          <w:tab w:val="clear" w:pos="720"/>
          <w:tab w:val="left" w:pos="540"/>
        </w:tabs>
        <w:spacing w:before="100"/>
        <w:ind w:left="360"/>
      </w:pPr>
      <w:bookmarkStart w:id="40" w:name="_Toc256000281"/>
      <w:r w:rsidRPr="00800D1B">
        <w:t>Prioritering: 3. Smart specialisering inom digitalisering, entreprenörskap och kompetensförsörjning</w:t>
      </w:r>
      <w:bookmarkEnd w:id="40"/>
    </w:p>
    <w:p w14:paraId="2D06590E" w14:textId="1CE5794A" w:rsidR="00A77B3E" w:rsidRPr="00800D1B" w:rsidRDefault="00623E14">
      <w:pPr>
        <w:pStyle w:val="Rubrik5"/>
        <w:numPr>
          <w:ilvl w:val="3"/>
          <w:numId w:val="49"/>
        </w:numPr>
        <w:spacing w:before="200"/>
        <w:ind w:left="360"/>
      </w:pPr>
      <w:bookmarkStart w:id="41" w:name="_Toc256000282"/>
      <w:r w:rsidRPr="00800D1B">
        <w:t>Specifikt mål: RSO1.2. Dra nytta av digitaliseringens fördelar för invånare, företag, forskningsorganisationer och offentliga myndigheter (Eruf)</w:t>
      </w:r>
      <w:bookmarkEnd w:id="41"/>
    </w:p>
    <w:p w14:paraId="2D065910" w14:textId="7C243780" w:rsidR="00A77B3E" w:rsidRPr="00800D1B" w:rsidRDefault="00623E14">
      <w:pPr>
        <w:pStyle w:val="Rubrik6"/>
        <w:numPr>
          <w:ilvl w:val="4"/>
          <w:numId w:val="12"/>
        </w:numPr>
        <w:spacing w:before="200"/>
        <w:ind w:left="360"/>
      </w:pPr>
      <w:bookmarkStart w:id="42" w:name="_Toc256000283"/>
      <w:r w:rsidRPr="00800D1B">
        <w:t>Interventioner inom ramen för fonderna</w:t>
      </w:r>
      <w:bookmarkEnd w:id="42"/>
    </w:p>
    <w:p w14:paraId="2D065912" w14:textId="77777777" w:rsidR="00A77B3E" w:rsidRPr="00800D1B" w:rsidRDefault="00623E14">
      <w:pPr>
        <w:spacing w:before="100"/>
        <w:rPr>
          <w:color w:val="000000"/>
          <w:sz w:val="0"/>
          <w:lang w:val="sv-SE"/>
        </w:rPr>
      </w:pPr>
      <w:r w:rsidRPr="00800D1B">
        <w:rPr>
          <w:color w:val="000000"/>
          <w:lang w:val="sv-SE"/>
        </w:rPr>
        <w:t>Referens: artikel 22.3 d i, iii, iv, v, vi och vii i förordningen om gemensamma bestämmelser</w:t>
      </w:r>
    </w:p>
    <w:p w14:paraId="2D065913" w14:textId="45EB0082" w:rsidR="00A77B3E" w:rsidRPr="00800D1B" w:rsidRDefault="00623E14" w:rsidP="0070219E">
      <w:pPr>
        <w:spacing w:before="100"/>
        <w:rPr>
          <w:lang w:val="sv-SE"/>
        </w:rPr>
      </w:pPr>
      <w:bookmarkStart w:id="43" w:name="_Toc256000284"/>
      <w:r w:rsidRPr="00800D1B">
        <w:rPr>
          <w:lang w:val="sv-SE"/>
        </w:rPr>
        <w:t>Relaterade typer av åtgärder – artikel 22.3 d i i förordningen om gemensamma bestämmelser och artikel 6 i ESF+-förordningen</w:t>
      </w:r>
      <w:bookmarkEnd w:id="43"/>
    </w:p>
    <w:p w14:paraId="4DF40DEB" w14:textId="77777777" w:rsidR="00D73177" w:rsidRPr="00800D1B" w:rsidRDefault="00D73177" w:rsidP="0049557B">
      <w:pPr>
        <w:pBdr>
          <w:top w:val="single" w:sz="4" w:space="8" w:color="auto"/>
          <w:left w:val="single" w:sz="4" w:space="4" w:color="auto"/>
          <w:bottom w:val="single" w:sz="4" w:space="18" w:color="auto"/>
          <w:right w:val="single" w:sz="4" w:space="4" w:color="auto"/>
        </w:pBdr>
        <w:spacing w:before="60"/>
        <w:ind w:left="101" w:right="115"/>
        <w:rPr>
          <w:color w:val="000000"/>
          <w:lang w:val="sv-SE"/>
        </w:rPr>
      </w:pPr>
      <w:r w:rsidRPr="00800D1B">
        <w:rPr>
          <w:color w:val="000000"/>
          <w:lang w:val="sv-SE"/>
        </w:rPr>
        <w:t>Nya tekniker och applikationsområden driver på den digitala utvecklingen. Ett sådant aktuellt exempel är artificiell intelligens som under de kommande åren direkt eller indirekt kommer att påverka de flesta verksamheter och affärsområden. Digitalisering är en av de stora förändringskrafterna i ÖN, och innebär en effektivisering av traditionella processer och en omställning till nya, och inte minst att geografiska avstånd minskar i betydelse. För att säkerställa en långsiktig och hållbar digital transformation där kompetens, förmågor och kapacitet byggs upp och tas tillvara på sätt som kan gynna samhället och som inte bidrar till problem krävs mångfacetterade insatser. Transformationen behöver därför, utifrån ett regionalt perspektiv, innefatta både spets och bredd och baseras på nytta.</w:t>
      </w:r>
    </w:p>
    <w:p w14:paraId="26C6C4AB" w14:textId="77777777" w:rsidR="00D73177" w:rsidRPr="00800D1B" w:rsidRDefault="00D73177" w:rsidP="0049557B">
      <w:pPr>
        <w:pBdr>
          <w:top w:val="single" w:sz="4" w:space="8" w:color="auto"/>
          <w:left w:val="single" w:sz="4" w:space="4" w:color="auto"/>
          <w:bottom w:val="single" w:sz="4" w:space="18" w:color="auto"/>
          <w:right w:val="single" w:sz="4" w:space="4" w:color="auto"/>
        </w:pBdr>
        <w:spacing w:before="100"/>
        <w:ind w:left="101" w:right="115"/>
        <w:rPr>
          <w:color w:val="000000"/>
          <w:lang w:val="sv-SE"/>
        </w:rPr>
      </w:pPr>
      <w:r w:rsidRPr="00800D1B">
        <w:rPr>
          <w:color w:val="000000"/>
          <w:lang w:val="sv-SE"/>
        </w:rPr>
        <w:t>Digitalisering är i sig inte ett självändamål. Utan det är ett medel som hjälper oss att lösa regionala behov och utmaningar. Rätt använt är det ett verktyg för att på ett hållbart sätt skapa utveckling, konkurrens- och attraktionskraft likväl som att säkerställa en effektiv service och välfärd för att skapa hög livskvalitet till invånarna. För att såväl regionens näringsliv, offentliga sektor och civilsamhället ska kunna utvecklas och ha konkurrenskraftiga och attraktiva verksamheter krävs att de kan ta till vara på digitaliseringens möjligheter. Möjligheter till samverkan med Östersjöstrategins policyområde hälsa eller andra områden som vill nyttogöra den digitala tekniken bör eftersträvas.</w:t>
      </w:r>
    </w:p>
    <w:p w14:paraId="327394DC" w14:textId="77777777" w:rsidR="00D73177" w:rsidRPr="00800D1B" w:rsidRDefault="00D73177" w:rsidP="0049557B">
      <w:pPr>
        <w:pBdr>
          <w:top w:val="single" w:sz="4" w:space="8" w:color="auto"/>
          <w:left w:val="single" w:sz="4" w:space="4" w:color="auto"/>
          <w:bottom w:val="single" w:sz="4" w:space="18" w:color="auto"/>
          <w:right w:val="single" w:sz="4" w:space="4" w:color="auto"/>
        </w:pBdr>
        <w:spacing w:before="100"/>
        <w:ind w:left="101" w:right="115"/>
        <w:rPr>
          <w:color w:val="000000"/>
          <w:lang w:val="sv-SE"/>
        </w:rPr>
      </w:pPr>
      <w:r w:rsidRPr="00800D1B">
        <w:rPr>
          <w:color w:val="000000"/>
          <w:lang w:val="sv-SE"/>
        </w:rPr>
        <w:t>Digitalisering kan skapa värde, göra nytta och bidra till att möta samhällsutmaningar på många olika sätt. Små och medelstora företag kan t.ex. nyttja digitalisering för att effektivisera sin verksamhet, höja kvaliteten, flexibiliteten och skapa nya affärsmöjligheter genom ett förändrat utbud av produkter som kan nå en global marknad. För att klara av den digitala transformationen måste företagen kunna ta till sig ny teknikutveckling och koppla den till nya affärsmodeller samt ha förmåga att ställa om organisationen för att dra nytta av den nya tekniken. Digitalisering är inte en engångsprocess utan en pågående process som företagen kontinuerligt måste följa och anpassa sin verksamhet mot.</w:t>
      </w:r>
    </w:p>
    <w:p w14:paraId="1722935E" w14:textId="77777777" w:rsidR="00D73177" w:rsidRPr="00800D1B" w:rsidRDefault="00D73177" w:rsidP="0049557B">
      <w:pPr>
        <w:pBdr>
          <w:top w:val="single" w:sz="4" w:space="8" w:color="auto"/>
          <w:left w:val="single" w:sz="4" w:space="4" w:color="auto"/>
          <w:bottom w:val="single" w:sz="4" w:space="18" w:color="auto"/>
          <w:right w:val="single" w:sz="4" w:space="4" w:color="auto"/>
        </w:pBdr>
        <w:spacing w:before="100"/>
        <w:ind w:left="101" w:right="115"/>
        <w:rPr>
          <w:color w:val="000000"/>
          <w:lang w:val="sv-SE"/>
        </w:rPr>
      </w:pPr>
      <w:r w:rsidRPr="00800D1B">
        <w:rPr>
          <w:color w:val="000000"/>
          <w:lang w:val="sv-SE"/>
        </w:rPr>
        <w:t>Det är därför viktigt att såväl aktörer inom näringsliv, offentlig sektor och civilsamhälle kan ta tillvara på digitaliseringens potential för att öka sin utveckling, konkurrens- och attraktionskraft. Inom dessa sektorer finns det dock stora skillnader på hur bra man är på att ta tillvara digitaliseringens möjligheter och att man nyttiggör digitaliseringen av rättsväsendet så att ny teknik säkerställer dess digitala funktioner, t.ex. när det gäller cybersäkerhet. Det finns studier som visar att mindre organisationer generellt är sämre än större på att ta tillvara möjligheterna, att organisationens lokalisering kan påverkaförmågan samt att det finns stora skillnader mellan och inom olika branscher. Störst effekt av digitalisering får de organisationer som lyckas kombinera sina digitala investeringar med en tydlig strategi för sin övergripande affärs- eller verksamhetsutveckling.</w:t>
      </w:r>
    </w:p>
    <w:p w14:paraId="247C2FA7" w14:textId="77777777" w:rsidR="00D73177" w:rsidRPr="00800D1B" w:rsidRDefault="00D73177" w:rsidP="0049557B">
      <w:pPr>
        <w:pBdr>
          <w:top w:val="single" w:sz="4" w:space="8" w:color="auto"/>
          <w:left w:val="single" w:sz="4" w:space="4" w:color="auto"/>
          <w:bottom w:val="single" w:sz="4" w:space="18" w:color="auto"/>
          <w:right w:val="single" w:sz="4" w:space="4" w:color="auto"/>
        </w:pBdr>
        <w:spacing w:before="100"/>
        <w:ind w:left="101" w:right="115"/>
        <w:rPr>
          <w:color w:val="000000"/>
          <w:lang w:val="sv-SE"/>
        </w:rPr>
      </w:pPr>
      <w:r w:rsidRPr="00800D1B">
        <w:rPr>
          <w:color w:val="000000"/>
          <w:lang w:val="sv-SE"/>
        </w:rPr>
        <w:t>Genom att öka användningen av digitala lösningar kan såväl näringslivets som offentlig sektors strukturomvandling underlättas och påskyndas. Detta kan i sin tur bland annat medföra en högre kvalitet inom äldreomsorgen, en minskad miljöbelastning och ett främjade av kulturell mångfald. Samhällets konkurrenskraft ökar när nya digitala produkter, tjänster och affärsmodeller utvecklas samtidigt som det leder till ett minskat resande och en mer hållbar konsumtion och produktion.</w:t>
      </w:r>
    </w:p>
    <w:p w14:paraId="4B3CDD7A" w14:textId="77777777" w:rsidR="00D73177" w:rsidRPr="00800D1B" w:rsidRDefault="00D73177" w:rsidP="00D73177">
      <w:pPr>
        <w:pBdr>
          <w:top w:val="single" w:sz="4" w:space="1" w:color="auto"/>
          <w:left w:val="single" w:sz="4" w:space="4" w:color="auto"/>
          <w:right w:val="single" w:sz="4" w:space="4" w:color="auto"/>
        </w:pBdr>
        <w:spacing w:before="100"/>
        <w:ind w:left="101" w:right="115"/>
        <w:rPr>
          <w:color w:val="000000"/>
          <w:lang w:val="sv-SE"/>
        </w:rPr>
      </w:pPr>
      <w:r w:rsidRPr="00800D1B">
        <w:rPr>
          <w:color w:val="000000"/>
          <w:lang w:val="sv-SE"/>
        </w:rPr>
        <w:t>De stora skillnader som finns mellan och inom olika sektorer samt branscher när det gäller förmågan att nyttja digitaliseringens potential medför att det finns olika behov av stöd och insatser. För vissa företag handlar det om att komma igång och ta det första stegen på sin digitala resa medan det för andra handlar om att fortsätta en redan påbörjad resa. För att kunna stödja alla måste det finnas ett brett perspektiv där så många som möjligt kan få stöd för att ta del av den digitala transformationen men också ett perspektiv där organisationer i framkanten kan få stöd att utveckla nya digitala innovationer och lösningar.</w:t>
      </w:r>
    </w:p>
    <w:p w14:paraId="790979EB" w14:textId="77777777" w:rsidR="00D73177" w:rsidRPr="00800D1B" w:rsidRDefault="00D73177" w:rsidP="00D73177">
      <w:pPr>
        <w:pBdr>
          <w:left w:val="single" w:sz="4" w:space="4" w:color="auto"/>
          <w:bottom w:val="single" w:sz="4" w:space="20" w:color="auto"/>
          <w:right w:val="single" w:sz="4" w:space="4" w:color="auto"/>
        </w:pBdr>
        <w:spacing w:before="100"/>
        <w:ind w:left="101" w:right="115"/>
        <w:rPr>
          <w:color w:val="000000"/>
          <w:lang w:val="sv-SE"/>
        </w:rPr>
      </w:pPr>
      <w:r w:rsidRPr="00800D1B">
        <w:rPr>
          <w:color w:val="000000"/>
          <w:lang w:val="sv-SE"/>
        </w:rPr>
        <w:t>Inom många områden sker idag den digitala utvecklingen allt mer genom en samverkan av aktörer utifrån gemensamma systemperspektiv. Detta för att ta till vara möjliga synergier och för att inte begränsas av strukturella indelningar i olika sektorer, branscher eller företag. För att tillgodogöra nyttan och stärka företagens konkurrenskraft behövs dels kompetensutveckling, dels nätverk eller kluster av företag som tillsammans kan erbjuda kompletta lösningar för olika typer av systemlösningar. För att försäkra digitaliseringen som pågår i ÖN så bör det vara möjlighet att medfinansiera europeiska digitala innovationshubbar (EDIH).</w:t>
      </w:r>
    </w:p>
    <w:p w14:paraId="7B971C16" w14:textId="77777777" w:rsidR="00D73177" w:rsidRPr="00800D1B" w:rsidRDefault="00D73177" w:rsidP="00D73177">
      <w:pPr>
        <w:pBdr>
          <w:left w:val="single" w:sz="4" w:space="4" w:color="auto"/>
          <w:bottom w:val="single" w:sz="4" w:space="20" w:color="auto"/>
          <w:right w:val="single" w:sz="4" w:space="4" w:color="auto"/>
        </w:pBdr>
        <w:spacing w:before="100"/>
        <w:ind w:left="101" w:right="115"/>
        <w:rPr>
          <w:color w:val="000000"/>
          <w:lang w:val="sv-SE"/>
        </w:rPr>
      </w:pPr>
      <w:r w:rsidRPr="00800D1B">
        <w:rPr>
          <w:color w:val="000000"/>
          <w:lang w:val="sv-SE"/>
        </w:rPr>
        <w:t>I insatserna kommer bidrag att användas eftersom det avser områden där inte tillräckliga incitament finns för att använda andra finansieringsformer samt att insatsen kommer att fokusera på att ge icke-finansiellt stöd till små och medelstora företag och inte direkt generera intäkter eller leda till kostnadsbesparingar.</w:t>
      </w:r>
    </w:p>
    <w:p w14:paraId="6F1D7199" w14:textId="77777777" w:rsidR="00D73177" w:rsidRPr="00800D1B" w:rsidRDefault="00D73177" w:rsidP="00D73177">
      <w:pPr>
        <w:pBdr>
          <w:left w:val="single" w:sz="4" w:space="4" w:color="auto"/>
          <w:bottom w:val="single" w:sz="4" w:space="20" w:color="auto"/>
          <w:right w:val="single" w:sz="4" w:space="4" w:color="auto"/>
        </w:pBdr>
        <w:spacing w:before="100"/>
        <w:ind w:left="101" w:right="115"/>
        <w:rPr>
          <w:color w:val="000000"/>
          <w:lang w:val="sv-SE"/>
        </w:rPr>
      </w:pPr>
      <w:r w:rsidRPr="00800D1B">
        <w:rPr>
          <w:color w:val="000000"/>
          <w:lang w:val="sv-SE"/>
        </w:rPr>
        <w:t>Exempel på konkreta åtgärder:</w:t>
      </w:r>
    </w:p>
    <w:p w14:paraId="579BF34A" w14:textId="77777777" w:rsidR="00D73177" w:rsidRPr="00800D1B" w:rsidRDefault="00D73177">
      <w:pPr>
        <w:pStyle w:val="Liststycke"/>
        <w:numPr>
          <w:ilvl w:val="0"/>
          <w:numId w:val="11"/>
        </w:numPr>
        <w:pBdr>
          <w:left w:val="single" w:sz="4" w:space="4" w:color="auto"/>
          <w:bottom w:val="single" w:sz="4" w:space="20" w:color="auto"/>
          <w:right w:val="single" w:sz="4" w:space="4" w:color="auto"/>
        </w:pBdr>
        <w:spacing w:before="100"/>
        <w:ind w:left="258" w:right="115" w:hanging="157"/>
        <w:rPr>
          <w:color w:val="000000"/>
          <w:lang w:val="sv-SE"/>
        </w:rPr>
      </w:pPr>
      <w:r w:rsidRPr="00800D1B">
        <w:rPr>
          <w:color w:val="000000"/>
          <w:lang w:val="sv-SE"/>
        </w:rPr>
        <w:t>Förstudier</w:t>
      </w:r>
    </w:p>
    <w:p w14:paraId="14D14FB4" w14:textId="77777777" w:rsidR="00D73177" w:rsidRPr="00800D1B" w:rsidRDefault="00D73177">
      <w:pPr>
        <w:pStyle w:val="Liststycke"/>
        <w:numPr>
          <w:ilvl w:val="0"/>
          <w:numId w:val="11"/>
        </w:numPr>
        <w:pBdr>
          <w:left w:val="single" w:sz="4" w:space="4" w:color="auto"/>
          <w:bottom w:val="single" w:sz="4" w:space="20" w:color="auto"/>
          <w:right w:val="single" w:sz="4" w:space="4" w:color="auto"/>
        </w:pBdr>
        <w:spacing w:before="100"/>
        <w:ind w:left="258" w:right="115" w:hanging="157"/>
        <w:rPr>
          <w:color w:val="000000"/>
          <w:lang w:val="sv-SE"/>
        </w:rPr>
      </w:pPr>
      <w:r w:rsidRPr="00800D1B">
        <w:rPr>
          <w:color w:val="000000"/>
          <w:lang w:val="sv-SE"/>
        </w:rPr>
        <w:t xml:space="preserve">Stimulera utveckling och användning av digital teknik samt en ökad digital delaktighet med potential att leda näringslivets och organisationers strukturomvandling. </w:t>
      </w:r>
    </w:p>
    <w:p w14:paraId="3CEB5C7F" w14:textId="77777777" w:rsidR="00D73177" w:rsidRPr="00800D1B" w:rsidRDefault="00D73177">
      <w:pPr>
        <w:pStyle w:val="Liststycke"/>
        <w:numPr>
          <w:ilvl w:val="0"/>
          <w:numId w:val="11"/>
        </w:numPr>
        <w:pBdr>
          <w:left w:val="single" w:sz="4" w:space="4" w:color="auto"/>
          <w:bottom w:val="single" w:sz="4" w:space="20" w:color="auto"/>
          <w:right w:val="single" w:sz="4" w:space="4" w:color="auto"/>
        </w:pBdr>
        <w:spacing w:before="100"/>
        <w:ind w:left="258" w:right="115" w:hanging="157"/>
        <w:rPr>
          <w:color w:val="000000"/>
          <w:lang w:val="sv-SE"/>
        </w:rPr>
      </w:pPr>
      <w:r w:rsidRPr="00800D1B">
        <w:rPr>
          <w:color w:val="000000"/>
          <w:lang w:val="sv-SE"/>
        </w:rPr>
        <w:t xml:space="preserve">Uppmuntra nya affärs- och organisationsmodeller för att tillgodogöra digitaliseringens potential. </w:t>
      </w:r>
    </w:p>
    <w:p w14:paraId="2C483F24" w14:textId="77777777" w:rsidR="00D73177" w:rsidRPr="00800D1B" w:rsidRDefault="00D73177">
      <w:pPr>
        <w:pStyle w:val="Liststycke"/>
        <w:numPr>
          <w:ilvl w:val="0"/>
          <w:numId w:val="11"/>
        </w:numPr>
        <w:pBdr>
          <w:left w:val="single" w:sz="4" w:space="4" w:color="auto"/>
          <w:bottom w:val="single" w:sz="4" w:space="20" w:color="auto"/>
          <w:right w:val="single" w:sz="4" w:space="4" w:color="auto"/>
        </w:pBdr>
        <w:spacing w:before="100"/>
        <w:ind w:left="258" w:right="115" w:hanging="157"/>
        <w:rPr>
          <w:color w:val="000000"/>
          <w:lang w:val="sv-SE"/>
        </w:rPr>
      </w:pPr>
      <w:r w:rsidRPr="00800D1B">
        <w:rPr>
          <w:color w:val="000000"/>
          <w:lang w:val="sv-SE"/>
        </w:rPr>
        <w:t xml:space="preserve">Aktiviteter som utvecklar och ökar användandet av digitala tjänster i näringsliv och organisationer för att effektivisera verksamheten, höja kvaliteten samt underlätta och förenkla för privatpersoner, företag och organisationer. </w:t>
      </w:r>
    </w:p>
    <w:p w14:paraId="6AAB1B19" w14:textId="77777777" w:rsidR="00D73177" w:rsidRPr="00800D1B" w:rsidRDefault="00D73177">
      <w:pPr>
        <w:pStyle w:val="Liststycke"/>
        <w:numPr>
          <w:ilvl w:val="0"/>
          <w:numId w:val="11"/>
        </w:numPr>
        <w:pBdr>
          <w:left w:val="single" w:sz="4" w:space="4" w:color="auto"/>
          <w:bottom w:val="single" w:sz="4" w:space="20" w:color="auto"/>
          <w:right w:val="single" w:sz="4" w:space="4" w:color="auto"/>
        </w:pBdr>
        <w:spacing w:before="100"/>
        <w:ind w:left="258" w:right="115" w:hanging="157"/>
        <w:rPr>
          <w:color w:val="000000"/>
          <w:lang w:val="sv-SE"/>
        </w:rPr>
      </w:pPr>
      <w:r w:rsidRPr="00800D1B">
        <w:rPr>
          <w:color w:val="000000"/>
          <w:lang w:val="sv-SE"/>
        </w:rPr>
        <w:t xml:space="preserve">Insatser som leder till utveckling av digitala varor och tjänster som kan erbjudas på en såväl lokal, nationell som global marknad. </w:t>
      </w:r>
    </w:p>
    <w:p w14:paraId="413B71D0" w14:textId="77777777" w:rsidR="00D73177" w:rsidRPr="00800D1B" w:rsidRDefault="00D73177">
      <w:pPr>
        <w:pStyle w:val="Liststycke"/>
        <w:numPr>
          <w:ilvl w:val="0"/>
          <w:numId w:val="11"/>
        </w:numPr>
        <w:pBdr>
          <w:left w:val="single" w:sz="4" w:space="4" w:color="auto"/>
          <w:bottom w:val="single" w:sz="4" w:space="20" w:color="auto"/>
          <w:right w:val="single" w:sz="4" w:space="4" w:color="auto"/>
        </w:pBdr>
        <w:spacing w:before="100"/>
        <w:ind w:left="258" w:right="115" w:hanging="157"/>
        <w:rPr>
          <w:color w:val="000000"/>
          <w:lang w:val="sv-SE"/>
        </w:rPr>
      </w:pPr>
      <w:r w:rsidRPr="00800D1B">
        <w:rPr>
          <w:color w:val="000000"/>
          <w:lang w:val="sv-SE"/>
        </w:rPr>
        <w:t>Förbättra den långsiktiga förmågan och kapaciteten för digital transformation i syfte att möta samhällsutmaningar och minska inomregionala skillnader.</w:t>
      </w:r>
    </w:p>
    <w:p w14:paraId="208A0956" w14:textId="77777777" w:rsidR="00D73177" w:rsidRPr="00800D1B" w:rsidRDefault="00D73177" w:rsidP="00D73177">
      <w:pPr>
        <w:pBdr>
          <w:left w:val="single" w:sz="4" w:space="4" w:color="auto"/>
          <w:bottom w:val="single" w:sz="4" w:space="20" w:color="auto"/>
          <w:right w:val="single" w:sz="4" w:space="4" w:color="auto"/>
        </w:pBdr>
        <w:spacing w:before="100"/>
        <w:ind w:left="101" w:right="115"/>
        <w:rPr>
          <w:color w:val="000000"/>
          <w:lang w:val="sv-SE"/>
        </w:rPr>
      </w:pPr>
      <w:r w:rsidRPr="00800D1B">
        <w:rPr>
          <w:color w:val="000000"/>
          <w:u w:val="single"/>
          <w:lang w:val="sv-SE"/>
        </w:rPr>
        <w:t>Förenlighet med principen om att inte orsaka betydande skada (art. 9.4 i förordningen om gemensamma bestämmelser</w:t>
      </w:r>
      <w:r w:rsidRPr="00800D1B">
        <w:rPr>
          <w:color w:val="000000"/>
          <w:lang w:val="sv-SE"/>
        </w:rPr>
        <w:t>)</w:t>
      </w:r>
    </w:p>
    <w:p w14:paraId="6A94FABC" w14:textId="77777777" w:rsidR="00D73177" w:rsidRPr="00800D1B" w:rsidRDefault="00D73177" w:rsidP="00D73177">
      <w:pPr>
        <w:pBdr>
          <w:left w:val="single" w:sz="4" w:space="4" w:color="auto"/>
          <w:bottom w:val="single" w:sz="4" w:space="20" w:color="auto"/>
          <w:right w:val="single" w:sz="4" w:space="4" w:color="auto"/>
        </w:pBdr>
        <w:spacing w:before="100" w:after="300"/>
        <w:ind w:left="101" w:right="115"/>
        <w:rPr>
          <w:color w:val="000000"/>
          <w:lang w:val="sv-SE"/>
        </w:rPr>
      </w:pPr>
      <w:r w:rsidRPr="00800D1B">
        <w:rPr>
          <w:color w:val="000000"/>
          <w:lang w:val="sv-SE"/>
        </w:rPr>
        <w:t>Insatserna har bedömts vara förenliga med principen om att inte orsaka betydande skada eftersom de har bedömts i enlighet med kommissionens tekniska vägledning om tillämpningen av principen om att inte orsaka betydande skada inom ramen för förordningen om faciliteten för återhämtning och resiliens.</w:t>
      </w:r>
    </w:p>
    <w:p w14:paraId="2D06592A" w14:textId="0821D9C9" w:rsidR="00A77B3E" w:rsidRPr="00800D1B" w:rsidRDefault="00623E14" w:rsidP="0070219E">
      <w:pPr>
        <w:spacing w:before="360"/>
        <w:rPr>
          <w:lang w:val="sv-SE"/>
        </w:rPr>
      </w:pPr>
      <w:bookmarkStart w:id="44" w:name="_Toc256000285"/>
      <w:r w:rsidRPr="00800D1B">
        <w:rPr>
          <w:lang w:val="sv-SE"/>
        </w:rPr>
        <w:t>Huvudsakliga målgrupper – artikel 22.3 d iii i förordningen om gemensamma bestämmelser</w:t>
      </w:r>
      <w:bookmarkEnd w:id="44"/>
    </w:p>
    <w:p w14:paraId="2B59B17E" w14:textId="77777777" w:rsidR="00D73177" w:rsidRPr="00800D1B" w:rsidRDefault="00D73177" w:rsidP="00A67879">
      <w:pPr>
        <w:pBdr>
          <w:top w:val="single" w:sz="4" w:space="5" w:color="auto"/>
          <w:left w:val="single" w:sz="4" w:space="4" w:color="auto"/>
          <w:bottom w:val="single" w:sz="4" w:space="5" w:color="auto"/>
          <w:right w:val="single" w:sz="4" w:space="4" w:color="auto"/>
        </w:pBdr>
        <w:spacing w:before="100"/>
        <w:ind w:left="101" w:right="115"/>
        <w:rPr>
          <w:color w:val="000000"/>
          <w:lang w:val="sv-SE"/>
        </w:rPr>
      </w:pPr>
      <w:r w:rsidRPr="00800D1B">
        <w:rPr>
          <w:color w:val="000000"/>
          <w:lang w:val="sv-SE"/>
        </w:rPr>
        <w:t>De huvudsakliga målgrupperna är offentliga aktörer, universitet och högskolor, forskningsinstitut och övriga forsknings- och utbildningsaktörer, små och medelstora företag, ekonomiska föreningar och civilsamhället. Särskilt fokus bör läggas på att säkerställa att insatserna bidrar till att inkludera underrepresenterade grupper i innovationssystemet samt att nå en bredd av organisationer och företag. Vid utformandet av insatser är det viktigt att använda ett jämställdhets- och mångfaldsperspektiv.</w:t>
      </w:r>
    </w:p>
    <w:p w14:paraId="2D065931" w14:textId="5D9BDB6E" w:rsidR="00A77B3E" w:rsidRPr="00800D1B" w:rsidRDefault="00623E14" w:rsidP="0070219E">
      <w:pPr>
        <w:spacing w:before="840"/>
        <w:rPr>
          <w:lang w:val="sv-SE"/>
        </w:rPr>
      </w:pPr>
      <w:bookmarkStart w:id="45" w:name="_Toc256000286"/>
      <w:r w:rsidRPr="00800D1B">
        <w:rPr>
          <w:lang w:val="sv-SE"/>
        </w:rPr>
        <w:t>Åtgärder för säkerställande av jämställdhet, inkludering och icke-diskriminering – artikel 22.3 d iv i förordningen om gemensamma bestämmelser och artikel 6 i ESF+-förordningen</w:t>
      </w:r>
      <w:bookmarkEnd w:id="45"/>
    </w:p>
    <w:p w14:paraId="1424062A" w14:textId="77777777" w:rsidR="0049702E" w:rsidRPr="00800D1B" w:rsidRDefault="0049702E" w:rsidP="0070219E">
      <w:pPr>
        <w:pBdr>
          <w:top w:val="single" w:sz="4" w:space="8" w:color="auto"/>
          <w:left w:val="single" w:sz="4" w:space="4" w:color="auto"/>
          <w:bottom w:val="single" w:sz="4" w:space="25" w:color="auto"/>
          <w:right w:val="single" w:sz="4" w:space="4" w:color="auto"/>
        </w:pBdr>
        <w:spacing w:before="240"/>
        <w:ind w:left="101" w:right="115"/>
        <w:rPr>
          <w:color w:val="000000"/>
          <w:lang w:val="sv-SE"/>
        </w:rPr>
      </w:pPr>
      <w:r w:rsidRPr="00800D1B">
        <w:rPr>
          <w:color w:val="000000"/>
          <w:lang w:val="sv-SE"/>
        </w:rPr>
        <w:t>Jämställdhet, icke- diskriminering och tillgänglighet ska genomsyra insatserna i programmet, det vill säga, jämställdhetsintegrering är ett krav. Ingen får diskrimineras på grund av kön, könsöverskridande identitet eller uttryck, etnisk tillhörighet, religion eller annan trosuppfattning, funktionsnedsättning, sexuell läggning eller ålder. Projekten ska innehålla särskilda insatser för jämställdhet även om huvudsyftet är ett annat. Det ska tydligt beskrivas förväntade resultat kopplat till jämställdhet. Vid ansökningsförfarandet genomförs en jämställdhetsanalys som synkroniseras med övriga hållbarhetsaspekter att ta hänsyn till. Analysen ska visa hur framtagandet av insatser påverkar jämställdheten och det ska finnas minst ett mål som adresserar detsamma. Detta betyder att samtliga insatser i detta särskilda mål minst möter kraven för kod 02 i tabell 8.</w:t>
      </w:r>
    </w:p>
    <w:p w14:paraId="450D31D4" w14:textId="77777777" w:rsidR="0049702E" w:rsidRPr="00800D1B" w:rsidRDefault="0049702E" w:rsidP="0049557B">
      <w:pPr>
        <w:pBdr>
          <w:top w:val="single" w:sz="4" w:space="8" w:color="auto"/>
          <w:left w:val="single" w:sz="4" w:space="4" w:color="auto"/>
          <w:bottom w:val="single" w:sz="4" w:space="25" w:color="auto"/>
          <w:right w:val="single" w:sz="4" w:space="4" w:color="auto"/>
        </w:pBdr>
        <w:spacing w:before="100"/>
        <w:ind w:left="101" w:right="115"/>
        <w:rPr>
          <w:color w:val="000000"/>
          <w:lang w:val="sv-SE"/>
        </w:rPr>
      </w:pPr>
      <w:r w:rsidRPr="00800D1B">
        <w:rPr>
          <w:color w:val="000000"/>
          <w:lang w:val="sv-SE"/>
        </w:rPr>
        <w:t>Förutom att alla insatser inom detta särskilda mål ska möta kod 02 ser vi även att flera projekt ska innehålla särskilda insatser för jämställdhet. Särskilda insatser innebär att projektets huvudsakliga mål är att förbättra jämställdhet mellan kvinnor och män. Analysen ska därmed visa hur utmaningar och problem inom jämställdhetsområdet ligger till grund varför projektet behövs och målen tar tydligt fasta på en förflyttning mot ökad jämställdhet. Projekten bidrar därmed direkt till det globala målet 5.</w:t>
      </w:r>
    </w:p>
    <w:p w14:paraId="263D712D" w14:textId="77777777" w:rsidR="0049702E" w:rsidRPr="00800D1B" w:rsidRDefault="0049702E" w:rsidP="0049557B">
      <w:pPr>
        <w:pBdr>
          <w:top w:val="single" w:sz="4" w:space="8" w:color="auto"/>
          <w:left w:val="single" w:sz="4" w:space="4" w:color="auto"/>
          <w:bottom w:val="single" w:sz="4" w:space="25" w:color="auto"/>
          <w:right w:val="single" w:sz="4" w:space="4" w:color="auto"/>
        </w:pBdr>
        <w:spacing w:before="100" w:after="300"/>
        <w:ind w:left="101" w:right="115"/>
        <w:rPr>
          <w:color w:val="000000"/>
          <w:lang w:val="sv-SE"/>
        </w:rPr>
      </w:pPr>
      <w:r w:rsidRPr="00800D1B">
        <w:rPr>
          <w:color w:val="000000"/>
          <w:lang w:val="sv-SE"/>
        </w:rPr>
        <w:t>Samtliga projekt ska vid rapportering påvisa hur resultatet bidragit till att framsteg gjorts gentemot en ökad jämställdhet.</w:t>
      </w:r>
    </w:p>
    <w:p w14:paraId="2D06593A" w14:textId="05B568DA" w:rsidR="00A77B3E" w:rsidRPr="00800D1B" w:rsidRDefault="00623E14" w:rsidP="001C4055">
      <w:pPr>
        <w:spacing w:before="480" w:after="100"/>
        <w:rPr>
          <w:lang w:val="sv-SE"/>
        </w:rPr>
      </w:pPr>
      <w:bookmarkStart w:id="46" w:name="_Toc256000287"/>
      <w:r w:rsidRPr="00800D1B">
        <w:rPr>
          <w:lang w:val="sv-SE"/>
        </w:rPr>
        <w:t>Angivande av de specifika målterritorierna, inbegripet planerad användning av territoriella verktyg – artikel 22.3 d v i förordningen om gemensamma bestämmelser</w:t>
      </w:r>
      <w:bookmarkEnd w:id="46"/>
    </w:p>
    <w:p w14:paraId="1B8437FB" w14:textId="2C4871A1" w:rsidR="0020257C" w:rsidRPr="00800D1B" w:rsidRDefault="0020257C" w:rsidP="001C4055">
      <w:pPr>
        <w:pBdr>
          <w:top w:val="single" w:sz="4" w:space="10" w:color="auto"/>
          <w:left w:val="single" w:sz="4" w:space="4" w:color="auto"/>
          <w:bottom w:val="single" w:sz="4" w:space="20" w:color="auto"/>
          <w:right w:val="single" w:sz="4" w:space="4" w:color="auto"/>
          <w:between w:val="single" w:sz="4" w:space="10" w:color="auto"/>
          <w:bar w:val="single" w:sz="4" w:color="auto"/>
        </w:pBdr>
        <w:ind w:left="90" w:right="152"/>
        <w:rPr>
          <w:lang w:val="sv-SE"/>
        </w:rPr>
      </w:pPr>
      <w:r w:rsidRPr="00800D1B">
        <w:rPr>
          <w:lang w:val="sv-SE"/>
        </w:rPr>
        <w:t>Nej</w:t>
      </w:r>
    </w:p>
    <w:p w14:paraId="2D065941" w14:textId="620CC901" w:rsidR="00A77B3E" w:rsidRPr="00800D1B" w:rsidRDefault="00623E14" w:rsidP="0070219E">
      <w:pPr>
        <w:spacing w:before="480"/>
        <w:rPr>
          <w:lang w:val="sv-SE"/>
        </w:rPr>
      </w:pPr>
      <w:bookmarkStart w:id="47" w:name="_Toc256000288"/>
      <w:r w:rsidRPr="00800D1B">
        <w:rPr>
          <w:lang w:val="sv-SE"/>
        </w:rPr>
        <w:t>Interregionala, gränsregionala och transnationella åtgärder – artikel 22.3 d vi i förordningen om gemensamma bestämmelser</w:t>
      </w:r>
      <w:bookmarkEnd w:id="47"/>
    </w:p>
    <w:p w14:paraId="28DF3BFF" w14:textId="4BBC7672" w:rsidR="00ED146C" w:rsidRPr="00800D1B" w:rsidRDefault="00D40ECC" w:rsidP="00D40ECC">
      <w:pPr>
        <w:spacing w:before="360"/>
        <w:ind w:left="101"/>
        <w:rPr>
          <w:color w:val="000000"/>
          <w:lang w:val="sv-SE"/>
        </w:rPr>
      </w:pPr>
      <w:r w:rsidRPr="00800D1B">
        <w:rPr>
          <w:color w:val="000000"/>
          <w:lang w:val="sv-SE"/>
        </w:rPr>
        <mc:AlternateContent>
          <mc:Choice Requires="wps">
            <w:drawing>
              <wp:anchor distT="0" distB="0" distL="114300" distR="114300" simplePos="0" relativeHeight="251662336" behindDoc="0" locked="0" layoutInCell="1" allowOverlap="1" wp14:anchorId="0B72877B" wp14:editId="31AB7B5E">
                <wp:simplePos x="0" y="0"/>
                <wp:positionH relativeFrom="column">
                  <wp:posOffset>-22860</wp:posOffset>
                </wp:positionH>
                <wp:positionV relativeFrom="page">
                  <wp:posOffset>5440680</wp:posOffset>
                </wp:positionV>
                <wp:extent cx="9662160" cy="1546860"/>
                <wp:effectExtent l="0" t="0" r="15240" b="15240"/>
                <wp:wrapNone/>
                <wp:docPr id="7" name="Rectangle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662160" cy="15468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9B5C2F" id="Rectangle 7" o:spid="_x0000_s1026" alt="&quot;&quot;" style="position:absolute;margin-left:-1.8pt;margin-top:428.4pt;width:760.8pt;height:121.8pt;z-index:25166233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" filled="f" strokecolor="black [3213]" strokeweight=".5pt">
                <w10:wrap anchory="page"/>
              </v:rect>
            </w:pict>
          </mc:Fallback>
        </mc:AlternateContent>
      </w:r>
      <w:r w:rsidR="00ED146C" w:rsidRPr="00800D1B">
        <w:rPr>
          <w:color w:val="000000"/>
          <w:lang w:val="sv-SE"/>
        </w:rPr>
        <w:t xml:space="preserve">En intervention får helt eller delvis genomföras i annat land, även utanför EU, under förutsättning att insatsen bidrar till det specifika målet. Samarbete med aktörer i ett eller flera andra länder kan vara integrerat i ett projekt för att stärka arbetet mot projektmålet. För att stärka arbetet mot projektmålet kan samarbete med aktörer i ett eller flera andra länder också läggas till ett redan pågående projekt i form av ett påbyggnadsprojekt. </w:t>
      </w:r>
    </w:p>
    <w:p w14:paraId="170D7417" w14:textId="664542BC" w:rsidR="00ED146C" w:rsidRPr="00800D1B" w:rsidRDefault="00ED146C" w:rsidP="00D40ECC">
      <w:pPr>
        <w:spacing w:before="100"/>
        <w:ind w:left="101" w:right="115"/>
        <w:rPr>
          <w:color w:val="000000"/>
          <w:lang w:val="sv-SE"/>
        </w:rPr>
      </w:pPr>
      <w:r w:rsidRPr="00800D1B">
        <w:rPr>
          <w:color w:val="000000"/>
          <w:lang w:val="sv-SE"/>
        </w:rPr>
        <w:t xml:space="preserve">EU:s strategi för Östersjöregionen ger en viktig vägledning för valet av insatser och bidrar till att det regionala strukturfondsprogrammet kan användas på ett målmedvetet och fokuserat sätt för att möta gemensamma utmaningar i regionen. En möjlig region att kunna samverka är med Uleåborg och exempel på en aktör är Oulun kaupunki. </w:t>
      </w:r>
    </w:p>
    <w:p w14:paraId="7A2B50A5" w14:textId="6476333E" w:rsidR="00ED146C" w:rsidRPr="00800D1B" w:rsidRDefault="00ED146C" w:rsidP="00D40ECC">
      <w:pPr>
        <w:spacing w:before="100"/>
        <w:ind w:left="101" w:right="115"/>
        <w:rPr>
          <w:color w:val="000000"/>
          <w:lang w:val="sv-SE"/>
        </w:rPr>
      </w:pPr>
      <w:r w:rsidRPr="00800D1B">
        <w:rPr>
          <w:color w:val="000000"/>
          <w:lang w:val="sv-SE"/>
        </w:rPr>
        <w:t>Regionen är med i S3-plattformen Wireless ICT och har utifrån detta ansökt om medel för att bli del i det framtida I3. Initiativet går ut på att samlas, skala upp och föra innovation till den europeiska marknaden.</w:t>
      </w:r>
    </w:p>
    <w:p w14:paraId="6AC1D648" w14:textId="1818C65D" w:rsidR="00ED146C" w:rsidRPr="00800D1B" w:rsidRDefault="001C4055" w:rsidP="00D40ECC">
      <w:pPr>
        <w:spacing w:before="100" w:after="300"/>
        <w:ind w:left="101" w:right="115"/>
        <w:rPr>
          <w:color w:val="000000"/>
          <w:lang w:val="sv-SE"/>
        </w:rPr>
      </w:pPr>
      <w:r w:rsidRPr="00800D1B">
        <w:rPr>
          <w:color w:val="000000"/>
          <w:lang w:val="sv-SE"/>
        </w:rPr>
        <mc:AlternateContent>
          <mc:Choice Requires="wps">
            <w:drawing>
              <wp:anchor distT="0" distB="0" distL="114300" distR="114300" simplePos="0" relativeHeight="251697152" behindDoc="0" locked="0" layoutInCell="1" allowOverlap="1" wp14:anchorId="63FAF507" wp14:editId="1BF35367">
                <wp:simplePos x="0" y="0"/>
                <wp:positionH relativeFrom="column">
                  <wp:posOffset>-15240</wp:posOffset>
                </wp:positionH>
                <wp:positionV relativeFrom="page">
                  <wp:posOffset>426720</wp:posOffset>
                </wp:positionV>
                <wp:extent cx="9662160" cy="1264920"/>
                <wp:effectExtent l="0" t="0" r="15240" b="11430"/>
                <wp:wrapNone/>
                <wp:docPr id="5" name="Rectangl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662160" cy="12649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1F352F4" id="Rectangle 5" o:spid="_x0000_s1026" alt="&quot;&quot;" style="position:absolute;margin-left:-1.2pt;margin-top:33.6pt;width:760.8pt;height:99.6pt;z-index:25169715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" filled="f" strokecolor="black [3213]" strokeweight=".5pt">
                <w10:wrap anchory="page"/>
              </v:rect>
            </w:pict>
          </mc:Fallback>
        </mc:AlternateContent>
      </w:r>
      <w:r w:rsidR="00ED146C" w:rsidRPr="00800D1B">
        <w:rPr>
          <w:color w:val="000000"/>
          <w:lang w:val="sv-SE"/>
        </w:rPr>
        <w:t>Inom detta specifika mål har regionen ambitionen att etablera sig som en svensk nod inom det planerade europeiska nätverket för digitala innovationshubbar, EDIH, inom ramen för programmet för ett digitalt Europa. Innovationshubbarna ska stödja den framtida digitala omvandlingen av den europeiska ekonomin och samhället. EU-kommissionens plan är att mellan 130 och 260 europeiska innovationshubbar, med start år 2021, ska ha en central roll vid implementeringen av EU-programmet för ett digitalt Europa. Hubbarna ska bereda marken för digitala tekniker som AI cybersäkerhet och högpresterande datorsystem. Arbetet utgår från AI Innovation of Sweden som har identifierat nyckelaktörer att samarbeta med i Europa för att bli ännu bättre på att accelerera AI i Sverige i privat och offentlig sektor genom samarbete och delning mellan branscher.</w:t>
      </w:r>
    </w:p>
    <w:p w14:paraId="2D06594B" w14:textId="01567133" w:rsidR="00A77B3E" w:rsidRPr="00800D1B" w:rsidRDefault="00623E14" w:rsidP="0070219E">
      <w:pPr>
        <w:spacing w:before="600" w:after="100"/>
        <w:rPr>
          <w:lang w:val="sv-SE"/>
        </w:rPr>
      </w:pPr>
      <w:bookmarkStart w:id="48" w:name="_Toc256000289"/>
      <w:r w:rsidRPr="00800D1B">
        <w:rPr>
          <w:lang w:val="sv-SE"/>
        </w:rPr>
        <w:t>Planerad användning av finansieringsinstrument – artikel 22.3 d vii i förordningen om gemensamma bestämmelser</w:t>
      </w:r>
      <w:bookmarkEnd w:id="48"/>
    </w:p>
    <w:p w14:paraId="20908836" w14:textId="77777777" w:rsidR="005D0334" w:rsidRPr="00800D1B" w:rsidRDefault="005D0334" w:rsidP="001C4055">
      <w:pPr>
        <w:pBdr>
          <w:top w:val="single" w:sz="4" w:space="10" w:color="auto"/>
          <w:left w:val="single" w:sz="4" w:space="4" w:color="auto"/>
          <w:bottom w:val="single" w:sz="4" w:space="20" w:color="auto"/>
          <w:right w:val="single" w:sz="4" w:space="4" w:color="auto"/>
        </w:pBdr>
        <w:spacing w:before="100"/>
        <w:ind w:left="101" w:right="115"/>
        <w:rPr>
          <w:color w:val="000000"/>
          <w:lang w:val="sv-SE"/>
        </w:rPr>
      </w:pPr>
      <w:r w:rsidRPr="00800D1B">
        <w:rPr>
          <w:color w:val="000000"/>
          <w:lang w:val="sv-SE"/>
        </w:rPr>
        <w:t>Nej</w:t>
      </w:r>
    </w:p>
    <w:p w14:paraId="2D065952" w14:textId="66DFDD6B" w:rsidR="00A77B3E" w:rsidRPr="00800D1B" w:rsidRDefault="00623E14" w:rsidP="001C4055">
      <w:pPr>
        <w:pStyle w:val="Rubrik6"/>
        <w:numPr>
          <w:ilvl w:val="4"/>
          <w:numId w:val="13"/>
        </w:numPr>
        <w:spacing w:before="300"/>
        <w:ind w:left="360"/>
      </w:pPr>
      <w:bookmarkStart w:id="49" w:name="_Toc256000290"/>
      <w:r w:rsidRPr="00800D1B">
        <w:t>Indikatorer</w:t>
      </w:r>
      <w:bookmarkEnd w:id="49"/>
    </w:p>
    <w:p w14:paraId="2D065953" w14:textId="77777777" w:rsidR="00A77B3E" w:rsidRPr="00800D1B" w:rsidRDefault="00A77B3E">
      <w:pPr>
        <w:spacing w:before="100"/>
        <w:rPr>
          <w:color w:val="000000"/>
          <w:sz w:val="0"/>
          <w:lang w:val="sv-SE"/>
        </w:rPr>
      </w:pPr>
    </w:p>
    <w:p w14:paraId="2D065954" w14:textId="77777777" w:rsidR="00A77B3E" w:rsidRPr="00800D1B" w:rsidRDefault="00623E14">
      <w:pPr>
        <w:spacing w:before="100"/>
        <w:rPr>
          <w:color w:val="000000"/>
          <w:sz w:val="0"/>
          <w:lang w:val="sv-SE"/>
        </w:rPr>
      </w:pPr>
      <w:r w:rsidRPr="00800D1B">
        <w:rPr>
          <w:color w:val="000000"/>
          <w:lang w:val="sv-SE"/>
        </w:rPr>
        <w:t>Referens: Artikel 22.3 d ii i förordningen om gemensamma bestämmelser och artikel 8 i Eruf-förordningen och förordningen om Sammanhållningsfonden</w:t>
      </w:r>
    </w:p>
    <w:p w14:paraId="2D065955" w14:textId="6E910459" w:rsidR="00A77B3E" w:rsidRPr="00800D1B" w:rsidRDefault="00623E14" w:rsidP="00431BFA">
      <w:pPr>
        <w:spacing w:before="100" w:after="100"/>
        <w:rPr>
          <w:lang w:val="sv-SE"/>
        </w:rPr>
      </w:pPr>
      <w:bookmarkStart w:id="50" w:name="_Toc256000291"/>
      <w:r w:rsidRPr="00800D1B">
        <w:rPr>
          <w:lang w:val="sv-SE"/>
        </w:rPr>
        <w:t>Tabell 2: Utfallsindikatorer</w:t>
      </w:r>
      <w:bookmarkEnd w:id="50"/>
    </w:p>
    <w:p w14:paraId="2D065956" w14:textId="77777777" w:rsidR="00A77B3E" w:rsidRPr="00800D1B" w:rsidRDefault="00A77B3E">
      <w:pPr>
        <w:spacing w:before="100"/>
        <w:rPr>
          <w:color w:val="000000"/>
          <w:sz w:val="0"/>
          <w:lang w:val="sv-SE"/>
        </w:rPr>
      </w:pPr>
    </w:p>
    <w:tbl>
      <w:tblPr>
        <w:tblStyle w:val="Tabellrutnt"/>
        <w:tblW w:w="5000" w:type="pct"/>
        <w:tblLook w:val="04A0" w:firstRow="1" w:lastRow="0" w:firstColumn="1" w:lastColumn="0" w:noHBand="0" w:noVBand="1"/>
        <w:tblDescription w:val="En tabell med nio kolumner: Prioritering; Specifikt mål; Fond; Regionkategori; ID; Indikator; Mätenhet; Delmål (2024); Mål (2029). Tabellen visar information om Utfallsindikatorer."/>
      </w:tblPr>
      <w:tblGrid>
        <w:gridCol w:w="1111"/>
        <w:gridCol w:w="1066"/>
        <w:gridCol w:w="601"/>
        <w:gridCol w:w="3290"/>
        <w:gridCol w:w="834"/>
        <w:gridCol w:w="3990"/>
        <w:gridCol w:w="1648"/>
        <w:gridCol w:w="1293"/>
        <w:gridCol w:w="1339"/>
      </w:tblGrid>
      <w:tr w:rsidR="003422DB" w:rsidRPr="00800D1B" w14:paraId="2D065960" w14:textId="77777777" w:rsidTr="007C7342">
        <w:tc>
          <w:tcPr>
            <w:tcW w:w="0" w:type="auto"/>
          </w:tcPr>
          <w:p w14:paraId="2D065957" w14:textId="77777777" w:rsidR="00A77B3E" w:rsidRPr="00800D1B" w:rsidRDefault="00623E14" w:rsidP="00722CEA">
            <w:pPr>
              <w:spacing w:before="100" w:after="100"/>
              <w:ind w:left="-72"/>
              <w:jc w:val="center"/>
              <w:rPr>
                <w:color w:val="000000"/>
                <w:sz w:val="20"/>
                <w:lang w:val="sv-SE"/>
              </w:rPr>
            </w:pPr>
            <w:r w:rsidRPr="00800D1B">
              <w:rPr>
                <w:color w:val="000000"/>
                <w:sz w:val="20"/>
                <w:lang w:val="sv-SE"/>
              </w:rPr>
              <w:t>Prioritering</w:t>
            </w:r>
          </w:p>
        </w:tc>
        <w:tc>
          <w:tcPr>
            <w:tcW w:w="0" w:type="auto"/>
          </w:tcPr>
          <w:p w14:paraId="2D065958" w14:textId="77777777" w:rsidR="00A77B3E" w:rsidRPr="00800D1B" w:rsidRDefault="00623E14" w:rsidP="00722CEA">
            <w:pPr>
              <w:spacing w:before="100" w:after="100"/>
              <w:ind w:left="-72"/>
              <w:jc w:val="center"/>
              <w:rPr>
                <w:color w:val="000000"/>
                <w:sz w:val="20"/>
                <w:lang w:val="sv-SE"/>
              </w:rPr>
            </w:pPr>
            <w:r w:rsidRPr="00800D1B">
              <w:rPr>
                <w:color w:val="000000"/>
                <w:sz w:val="20"/>
                <w:lang w:val="sv-SE"/>
              </w:rPr>
              <w:t>Specifikt mål</w:t>
            </w:r>
          </w:p>
        </w:tc>
        <w:tc>
          <w:tcPr>
            <w:tcW w:w="0" w:type="auto"/>
          </w:tcPr>
          <w:p w14:paraId="2D065959" w14:textId="77777777" w:rsidR="00A77B3E" w:rsidRPr="00800D1B" w:rsidRDefault="00623E14" w:rsidP="00722CEA">
            <w:pPr>
              <w:spacing w:before="100" w:after="100"/>
              <w:ind w:left="-72"/>
              <w:jc w:val="center"/>
              <w:rPr>
                <w:color w:val="000000"/>
                <w:sz w:val="20"/>
                <w:lang w:val="sv-SE"/>
              </w:rPr>
            </w:pPr>
            <w:r w:rsidRPr="00800D1B">
              <w:rPr>
                <w:color w:val="000000"/>
                <w:sz w:val="20"/>
                <w:lang w:val="sv-SE"/>
              </w:rPr>
              <w:t>Fond</w:t>
            </w:r>
          </w:p>
        </w:tc>
        <w:tc>
          <w:tcPr>
            <w:tcW w:w="0" w:type="auto"/>
          </w:tcPr>
          <w:p w14:paraId="2D06595A" w14:textId="77777777" w:rsidR="00A77B3E" w:rsidRPr="00800D1B" w:rsidRDefault="00623E14" w:rsidP="00722CEA">
            <w:pPr>
              <w:spacing w:before="100" w:after="100"/>
              <w:ind w:left="-72"/>
              <w:jc w:val="center"/>
              <w:rPr>
                <w:color w:val="000000"/>
                <w:sz w:val="20"/>
                <w:lang w:val="sv-SE"/>
              </w:rPr>
            </w:pPr>
            <w:r w:rsidRPr="00800D1B">
              <w:rPr>
                <w:color w:val="000000"/>
                <w:sz w:val="20"/>
                <w:lang w:val="sv-SE"/>
              </w:rPr>
              <w:t>Regionkategori</w:t>
            </w:r>
          </w:p>
        </w:tc>
        <w:tc>
          <w:tcPr>
            <w:tcW w:w="0" w:type="auto"/>
          </w:tcPr>
          <w:p w14:paraId="2D06595B" w14:textId="77777777" w:rsidR="00A77B3E" w:rsidRPr="00800D1B" w:rsidRDefault="00623E14" w:rsidP="00722CEA">
            <w:pPr>
              <w:spacing w:before="100" w:after="100"/>
              <w:ind w:left="-72"/>
              <w:jc w:val="center"/>
              <w:rPr>
                <w:color w:val="000000"/>
                <w:sz w:val="20"/>
                <w:lang w:val="sv-SE"/>
              </w:rPr>
            </w:pPr>
            <w:r w:rsidRPr="00800D1B">
              <w:rPr>
                <w:color w:val="000000"/>
                <w:sz w:val="20"/>
                <w:lang w:val="sv-SE"/>
              </w:rPr>
              <w:t>ID</w:t>
            </w:r>
          </w:p>
        </w:tc>
        <w:tc>
          <w:tcPr>
            <w:tcW w:w="0" w:type="auto"/>
          </w:tcPr>
          <w:p w14:paraId="2D06595C" w14:textId="77777777" w:rsidR="00A77B3E" w:rsidRPr="00800D1B" w:rsidRDefault="00623E14" w:rsidP="00722CEA">
            <w:pPr>
              <w:spacing w:before="100" w:after="100"/>
              <w:ind w:left="-72"/>
              <w:jc w:val="center"/>
              <w:rPr>
                <w:color w:val="000000"/>
                <w:sz w:val="20"/>
                <w:lang w:val="sv-SE"/>
              </w:rPr>
            </w:pPr>
            <w:r w:rsidRPr="00800D1B">
              <w:rPr>
                <w:color w:val="000000"/>
                <w:sz w:val="20"/>
                <w:lang w:val="sv-SE"/>
              </w:rPr>
              <w:t>Indikator</w:t>
            </w:r>
          </w:p>
        </w:tc>
        <w:tc>
          <w:tcPr>
            <w:tcW w:w="0" w:type="auto"/>
          </w:tcPr>
          <w:p w14:paraId="2D06595D" w14:textId="77777777" w:rsidR="00A77B3E" w:rsidRPr="00800D1B" w:rsidRDefault="00623E14" w:rsidP="00722CEA">
            <w:pPr>
              <w:spacing w:before="100" w:after="100"/>
              <w:ind w:left="-72"/>
              <w:jc w:val="center"/>
              <w:rPr>
                <w:color w:val="000000"/>
                <w:sz w:val="20"/>
                <w:lang w:val="sv-SE"/>
              </w:rPr>
            </w:pPr>
            <w:r w:rsidRPr="00800D1B">
              <w:rPr>
                <w:color w:val="000000"/>
                <w:sz w:val="20"/>
                <w:lang w:val="sv-SE"/>
              </w:rPr>
              <w:t>Mätenhet</w:t>
            </w:r>
          </w:p>
        </w:tc>
        <w:tc>
          <w:tcPr>
            <w:tcW w:w="0" w:type="auto"/>
          </w:tcPr>
          <w:p w14:paraId="2D06595E" w14:textId="77777777" w:rsidR="00A77B3E" w:rsidRPr="00800D1B" w:rsidRDefault="00623E14" w:rsidP="00722CEA">
            <w:pPr>
              <w:spacing w:before="100" w:after="100"/>
              <w:ind w:left="-72"/>
              <w:jc w:val="center"/>
              <w:rPr>
                <w:color w:val="000000"/>
                <w:sz w:val="20"/>
                <w:lang w:val="sv-SE"/>
              </w:rPr>
            </w:pPr>
            <w:r w:rsidRPr="00800D1B">
              <w:rPr>
                <w:color w:val="000000"/>
                <w:sz w:val="20"/>
                <w:lang w:val="sv-SE"/>
              </w:rPr>
              <w:t>Delmål (2024)</w:t>
            </w:r>
          </w:p>
        </w:tc>
        <w:tc>
          <w:tcPr>
            <w:tcW w:w="0" w:type="auto"/>
          </w:tcPr>
          <w:p w14:paraId="2D06595F" w14:textId="77777777" w:rsidR="00A77B3E" w:rsidRPr="00800D1B" w:rsidRDefault="00623E14" w:rsidP="00722CEA">
            <w:pPr>
              <w:spacing w:before="100" w:after="100"/>
              <w:ind w:left="-72"/>
              <w:jc w:val="center"/>
              <w:rPr>
                <w:color w:val="000000"/>
                <w:sz w:val="20"/>
                <w:lang w:val="sv-SE"/>
              </w:rPr>
            </w:pPr>
            <w:r w:rsidRPr="00800D1B">
              <w:rPr>
                <w:color w:val="000000"/>
                <w:sz w:val="20"/>
                <w:lang w:val="sv-SE"/>
              </w:rPr>
              <w:t>Mål (2029)</w:t>
            </w:r>
          </w:p>
        </w:tc>
      </w:tr>
      <w:tr w:rsidR="003422DB" w:rsidRPr="00800D1B" w14:paraId="2D06596A" w14:textId="77777777" w:rsidTr="007C7342">
        <w:tc>
          <w:tcPr>
            <w:tcW w:w="0" w:type="auto"/>
          </w:tcPr>
          <w:p w14:paraId="2D065961" w14:textId="77777777" w:rsidR="00A77B3E" w:rsidRPr="00800D1B" w:rsidRDefault="00623E14" w:rsidP="00722CEA">
            <w:pPr>
              <w:spacing w:before="100" w:after="100"/>
              <w:ind w:left="-72"/>
              <w:rPr>
                <w:color w:val="000000"/>
                <w:sz w:val="20"/>
                <w:lang w:val="sv-SE"/>
              </w:rPr>
            </w:pPr>
            <w:r w:rsidRPr="00800D1B">
              <w:rPr>
                <w:color w:val="000000"/>
                <w:sz w:val="20"/>
                <w:lang w:val="sv-SE"/>
              </w:rPr>
              <w:t>3</w:t>
            </w:r>
          </w:p>
        </w:tc>
        <w:tc>
          <w:tcPr>
            <w:tcW w:w="0" w:type="auto"/>
          </w:tcPr>
          <w:p w14:paraId="2D065962" w14:textId="77777777" w:rsidR="00A77B3E" w:rsidRPr="00800D1B" w:rsidRDefault="00623E14" w:rsidP="00722CEA">
            <w:pPr>
              <w:spacing w:before="100" w:after="100"/>
              <w:ind w:left="-72"/>
              <w:rPr>
                <w:color w:val="000000"/>
                <w:sz w:val="20"/>
                <w:lang w:val="sv-SE"/>
              </w:rPr>
            </w:pPr>
            <w:r w:rsidRPr="00800D1B">
              <w:rPr>
                <w:color w:val="000000"/>
                <w:sz w:val="20"/>
                <w:lang w:val="sv-SE"/>
              </w:rPr>
              <w:t>RSO1.2</w:t>
            </w:r>
          </w:p>
        </w:tc>
        <w:tc>
          <w:tcPr>
            <w:tcW w:w="0" w:type="auto"/>
          </w:tcPr>
          <w:p w14:paraId="2D065963" w14:textId="77777777" w:rsidR="00A77B3E" w:rsidRPr="00800D1B" w:rsidRDefault="00623E14" w:rsidP="00722CEA">
            <w:pPr>
              <w:spacing w:before="100" w:after="100"/>
              <w:ind w:left="-72"/>
              <w:rPr>
                <w:color w:val="000000"/>
                <w:sz w:val="20"/>
                <w:lang w:val="sv-SE"/>
              </w:rPr>
            </w:pPr>
            <w:r w:rsidRPr="00800D1B">
              <w:rPr>
                <w:color w:val="000000"/>
                <w:sz w:val="20"/>
                <w:lang w:val="sv-SE"/>
              </w:rPr>
              <w:t>Eruf</w:t>
            </w:r>
          </w:p>
        </w:tc>
        <w:tc>
          <w:tcPr>
            <w:tcW w:w="0" w:type="auto"/>
          </w:tcPr>
          <w:p w14:paraId="2D065964" w14:textId="77777777" w:rsidR="00A77B3E" w:rsidRPr="00800D1B" w:rsidRDefault="00623E14" w:rsidP="00722CEA">
            <w:pPr>
              <w:spacing w:before="100" w:after="100"/>
              <w:ind w:left="-72"/>
              <w:rPr>
                <w:color w:val="000000"/>
                <w:sz w:val="20"/>
                <w:lang w:val="sv-SE"/>
              </w:rPr>
            </w:pPr>
            <w:r w:rsidRPr="00800D1B">
              <w:rPr>
                <w:color w:val="000000"/>
                <w:sz w:val="20"/>
                <w:lang w:val="sv-SE"/>
              </w:rPr>
              <w:t>Mer utvecklade regioner</w:t>
            </w:r>
          </w:p>
        </w:tc>
        <w:tc>
          <w:tcPr>
            <w:tcW w:w="0" w:type="auto"/>
          </w:tcPr>
          <w:p w14:paraId="2D065965" w14:textId="77777777" w:rsidR="00A77B3E" w:rsidRPr="00800D1B" w:rsidRDefault="00623E14" w:rsidP="00722CEA">
            <w:pPr>
              <w:spacing w:before="100" w:after="100"/>
              <w:ind w:left="-72"/>
              <w:rPr>
                <w:color w:val="000000"/>
                <w:sz w:val="20"/>
                <w:lang w:val="sv-SE"/>
              </w:rPr>
            </w:pPr>
            <w:r w:rsidRPr="00800D1B">
              <w:rPr>
                <w:color w:val="000000"/>
                <w:sz w:val="20"/>
                <w:lang w:val="sv-SE"/>
              </w:rPr>
              <w:t>RCO01</w:t>
            </w:r>
          </w:p>
        </w:tc>
        <w:tc>
          <w:tcPr>
            <w:tcW w:w="0" w:type="auto"/>
          </w:tcPr>
          <w:p w14:paraId="2D065966" w14:textId="77777777" w:rsidR="00A77B3E" w:rsidRPr="00800D1B" w:rsidRDefault="00623E14" w:rsidP="00722CEA">
            <w:pPr>
              <w:spacing w:before="100" w:after="100"/>
              <w:ind w:left="-72"/>
              <w:rPr>
                <w:color w:val="000000"/>
                <w:sz w:val="20"/>
                <w:lang w:val="sv-SE"/>
              </w:rPr>
            </w:pPr>
            <w:r w:rsidRPr="00800D1B">
              <w:rPr>
                <w:color w:val="000000"/>
                <w:sz w:val="20"/>
                <w:lang w:val="sv-SE"/>
              </w:rPr>
              <w:t>Företag som får stöd (varav mikroföretag, små företag, medelstora företag, stora företag)</w:t>
            </w:r>
          </w:p>
        </w:tc>
        <w:tc>
          <w:tcPr>
            <w:tcW w:w="0" w:type="auto"/>
          </w:tcPr>
          <w:p w14:paraId="2D065967" w14:textId="77777777" w:rsidR="00A77B3E" w:rsidRPr="00800D1B" w:rsidRDefault="00623E14" w:rsidP="00722CEA">
            <w:pPr>
              <w:spacing w:before="100" w:after="100"/>
              <w:ind w:left="-72"/>
              <w:rPr>
                <w:color w:val="000000"/>
                <w:sz w:val="20"/>
                <w:lang w:val="sv-SE"/>
              </w:rPr>
            </w:pPr>
            <w:r w:rsidRPr="00800D1B">
              <w:rPr>
                <w:color w:val="000000"/>
                <w:sz w:val="20"/>
                <w:lang w:val="sv-SE"/>
              </w:rPr>
              <w:t>företag</w:t>
            </w:r>
          </w:p>
        </w:tc>
        <w:tc>
          <w:tcPr>
            <w:tcW w:w="0" w:type="auto"/>
          </w:tcPr>
          <w:p w14:paraId="2D065968" w14:textId="77777777" w:rsidR="00A77B3E" w:rsidRPr="00800D1B" w:rsidRDefault="00623E14" w:rsidP="00722CEA">
            <w:pPr>
              <w:spacing w:before="100" w:after="100"/>
              <w:ind w:left="-72"/>
              <w:jc w:val="right"/>
              <w:rPr>
                <w:color w:val="000000"/>
                <w:sz w:val="20"/>
                <w:lang w:val="sv-SE"/>
              </w:rPr>
            </w:pPr>
            <w:r w:rsidRPr="00800D1B">
              <w:rPr>
                <w:color w:val="000000"/>
                <w:sz w:val="20"/>
                <w:lang w:val="sv-SE"/>
              </w:rPr>
              <w:t>27,00</w:t>
            </w:r>
          </w:p>
        </w:tc>
        <w:tc>
          <w:tcPr>
            <w:tcW w:w="0" w:type="auto"/>
          </w:tcPr>
          <w:p w14:paraId="2D065969" w14:textId="77777777" w:rsidR="00A77B3E" w:rsidRPr="00800D1B" w:rsidRDefault="00623E14" w:rsidP="00722CEA">
            <w:pPr>
              <w:spacing w:before="100" w:after="100"/>
              <w:ind w:left="-72"/>
              <w:jc w:val="right"/>
              <w:rPr>
                <w:color w:val="000000"/>
                <w:sz w:val="20"/>
                <w:lang w:val="sv-SE"/>
              </w:rPr>
            </w:pPr>
            <w:r w:rsidRPr="00800D1B">
              <w:rPr>
                <w:color w:val="000000"/>
                <w:sz w:val="20"/>
                <w:lang w:val="sv-SE"/>
              </w:rPr>
              <w:t>272,00</w:t>
            </w:r>
          </w:p>
        </w:tc>
      </w:tr>
      <w:tr w:rsidR="003422DB" w:rsidRPr="00800D1B" w14:paraId="2D065974" w14:textId="77777777" w:rsidTr="007C7342">
        <w:tc>
          <w:tcPr>
            <w:tcW w:w="0" w:type="auto"/>
          </w:tcPr>
          <w:p w14:paraId="2D06596B" w14:textId="77777777" w:rsidR="00A77B3E" w:rsidRPr="00800D1B" w:rsidRDefault="00623E14" w:rsidP="00722CEA">
            <w:pPr>
              <w:spacing w:before="100" w:after="100"/>
              <w:ind w:left="-72"/>
              <w:rPr>
                <w:color w:val="000000"/>
                <w:sz w:val="20"/>
                <w:lang w:val="sv-SE"/>
              </w:rPr>
            </w:pPr>
            <w:r w:rsidRPr="00800D1B">
              <w:rPr>
                <w:color w:val="000000"/>
                <w:sz w:val="20"/>
                <w:lang w:val="sv-SE"/>
              </w:rPr>
              <w:t>3</w:t>
            </w:r>
          </w:p>
        </w:tc>
        <w:tc>
          <w:tcPr>
            <w:tcW w:w="0" w:type="auto"/>
          </w:tcPr>
          <w:p w14:paraId="2D06596C" w14:textId="77777777" w:rsidR="00A77B3E" w:rsidRPr="00800D1B" w:rsidRDefault="00623E14" w:rsidP="00722CEA">
            <w:pPr>
              <w:spacing w:before="100" w:after="100"/>
              <w:ind w:left="-72"/>
              <w:rPr>
                <w:color w:val="000000"/>
                <w:sz w:val="20"/>
                <w:lang w:val="sv-SE"/>
              </w:rPr>
            </w:pPr>
            <w:r w:rsidRPr="00800D1B">
              <w:rPr>
                <w:color w:val="000000"/>
                <w:sz w:val="20"/>
                <w:lang w:val="sv-SE"/>
              </w:rPr>
              <w:t>RSO1.2</w:t>
            </w:r>
          </w:p>
        </w:tc>
        <w:tc>
          <w:tcPr>
            <w:tcW w:w="0" w:type="auto"/>
          </w:tcPr>
          <w:p w14:paraId="2D06596D" w14:textId="77777777" w:rsidR="00A77B3E" w:rsidRPr="00800D1B" w:rsidRDefault="00623E14" w:rsidP="00722CEA">
            <w:pPr>
              <w:spacing w:before="100" w:after="100"/>
              <w:ind w:left="-72"/>
              <w:rPr>
                <w:color w:val="000000"/>
                <w:sz w:val="20"/>
                <w:lang w:val="sv-SE"/>
              </w:rPr>
            </w:pPr>
            <w:r w:rsidRPr="00800D1B">
              <w:rPr>
                <w:color w:val="000000"/>
                <w:sz w:val="20"/>
                <w:lang w:val="sv-SE"/>
              </w:rPr>
              <w:t>Eruf</w:t>
            </w:r>
          </w:p>
        </w:tc>
        <w:tc>
          <w:tcPr>
            <w:tcW w:w="0" w:type="auto"/>
          </w:tcPr>
          <w:p w14:paraId="2D06596E" w14:textId="77777777" w:rsidR="00A77B3E" w:rsidRPr="00800D1B" w:rsidRDefault="00623E14" w:rsidP="00722CEA">
            <w:pPr>
              <w:spacing w:before="100" w:after="100"/>
              <w:ind w:left="-72"/>
              <w:rPr>
                <w:color w:val="000000"/>
                <w:sz w:val="20"/>
                <w:lang w:val="sv-SE"/>
              </w:rPr>
            </w:pPr>
            <w:r w:rsidRPr="00800D1B">
              <w:rPr>
                <w:color w:val="000000"/>
                <w:sz w:val="20"/>
                <w:lang w:val="sv-SE"/>
              </w:rPr>
              <w:t>Mer utvecklade regioner</w:t>
            </w:r>
          </w:p>
        </w:tc>
        <w:tc>
          <w:tcPr>
            <w:tcW w:w="0" w:type="auto"/>
          </w:tcPr>
          <w:p w14:paraId="2D06596F" w14:textId="77777777" w:rsidR="00A77B3E" w:rsidRPr="00800D1B" w:rsidRDefault="00623E14" w:rsidP="00722CEA">
            <w:pPr>
              <w:spacing w:before="100" w:after="100"/>
              <w:ind w:left="-72"/>
              <w:rPr>
                <w:color w:val="000000"/>
                <w:sz w:val="20"/>
                <w:lang w:val="sv-SE"/>
              </w:rPr>
            </w:pPr>
            <w:r w:rsidRPr="00800D1B">
              <w:rPr>
                <w:color w:val="000000"/>
                <w:sz w:val="20"/>
                <w:lang w:val="sv-SE"/>
              </w:rPr>
              <w:t>RCO04</w:t>
            </w:r>
          </w:p>
        </w:tc>
        <w:tc>
          <w:tcPr>
            <w:tcW w:w="0" w:type="auto"/>
          </w:tcPr>
          <w:p w14:paraId="2D065970" w14:textId="77777777" w:rsidR="00A77B3E" w:rsidRPr="00800D1B" w:rsidRDefault="00623E14" w:rsidP="00722CEA">
            <w:pPr>
              <w:spacing w:before="100" w:after="100"/>
              <w:ind w:left="-72"/>
              <w:rPr>
                <w:color w:val="000000"/>
                <w:sz w:val="20"/>
                <w:lang w:val="sv-SE"/>
              </w:rPr>
            </w:pPr>
            <w:r w:rsidRPr="00800D1B">
              <w:rPr>
                <w:color w:val="000000"/>
                <w:sz w:val="20"/>
                <w:lang w:val="sv-SE"/>
              </w:rPr>
              <w:t>Företag som får icke-finansiellt stöd</w:t>
            </w:r>
          </w:p>
        </w:tc>
        <w:tc>
          <w:tcPr>
            <w:tcW w:w="0" w:type="auto"/>
          </w:tcPr>
          <w:p w14:paraId="2D065971" w14:textId="77777777" w:rsidR="00A77B3E" w:rsidRPr="00800D1B" w:rsidRDefault="00623E14" w:rsidP="00722CEA">
            <w:pPr>
              <w:spacing w:before="100" w:after="100"/>
              <w:ind w:left="-72"/>
              <w:rPr>
                <w:color w:val="000000"/>
                <w:sz w:val="20"/>
                <w:lang w:val="sv-SE"/>
              </w:rPr>
            </w:pPr>
            <w:r w:rsidRPr="00800D1B">
              <w:rPr>
                <w:color w:val="000000"/>
                <w:sz w:val="20"/>
                <w:lang w:val="sv-SE"/>
              </w:rPr>
              <w:t>företag</w:t>
            </w:r>
          </w:p>
        </w:tc>
        <w:tc>
          <w:tcPr>
            <w:tcW w:w="0" w:type="auto"/>
          </w:tcPr>
          <w:p w14:paraId="2D065972" w14:textId="77777777" w:rsidR="00A77B3E" w:rsidRPr="00800D1B" w:rsidRDefault="00623E14" w:rsidP="00722CEA">
            <w:pPr>
              <w:spacing w:before="100" w:after="100"/>
              <w:ind w:left="-72"/>
              <w:jc w:val="right"/>
              <w:rPr>
                <w:color w:val="000000"/>
                <w:sz w:val="20"/>
                <w:lang w:val="sv-SE"/>
              </w:rPr>
            </w:pPr>
            <w:r w:rsidRPr="00800D1B">
              <w:rPr>
                <w:color w:val="000000"/>
                <w:sz w:val="20"/>
                <w:lang w:val="sv-SE"/>
              </w:rPr>
              <w:t>27,00</w:t>
            </w:r>
          </w:p>
        </w:tc>
        <w:tc>
          <w:tcPr>
            <w:tcW w:w="0" w:type="auto"/>
          </w:tcPr>
          <w:p w14:paraId="2D065973" w14:textId="77777777" w:rsidR="00A77B3E" w:rsidRPr="00800D1B" w:rsidRDefault="00623E14" w:rsidP="00722CEA">
            <w:pPr>
              <w:spacing w:before="100" w:after="100"/>
              <w:ind w:left="-72"/>
              <w:jc w:val="right"/>
              <w:rPr>
                <w:color w:val="000000"/>
                <w:sz w:val="20"/>
                <w:lang w:val="sv-SE"/>
              </w:rPr>
            </w:pPr>
            <w:r w:rsidRPr="00800D1B">
              <w:rPr>
                <w:color w:val="000000"/>
                <w:sz w:val="20"/>
                <w:lang w:val="sv-SE"/>
              </w:rPr>
              <w:t>272,00</w:t>
            </w:r>
          </w:p>
        </w:tc>
      </w:tr>
      <w:tr w:rsidR="003422DB" w:rsidRPr="00800D1B" w14:paraId="2D06597E" w14:textId="77777777" w:rsidTr="007C7342">
        <w:tc>
          <w:tcPr>
            <w:tcW w:w="0" w:type="auto"/>
          </w:tcPr>
          <w:p w14:paraId="2D065975" w14:textId="77777777" w:rsidR="00A77B3E" w:rsidRPr="00800D1B" w:rsidRDefault="00623E14" w:rsidP="00722CEA">
            <w:pPr>
              <w:spacing w:before="100" w:after="100"/>
              <w:ind w:left="-72"/>
              <w:rPr>
                <w:color w:val="000000"/>
                <w:sz w:val="20"/>
                <w:lang w:val="sv-SE"/>
              </w:rPr>
            </w:pPr>
            <w:r w:rsidRPr="00800D1B">
              <w:rPr>
                <w:color w:val="000000"/>
                <w:sz w:val="20"/>
                <w:lang w:val="sv-SE"/>
              </w:rPr>
              <w:t>3</w:t>
            </w:r>
          </w:p>
        </w:tc>
        <w:tc>
          <w:tcPr>
            <w:tcW w:w="0" w:type="auto"/>
          </w:tcPr>
          <w:p w14:paraId="2D065976" w14:textId="77777777" w:rsidR="00A77B3E" w:rsidRPr="00800D1B" w:rsidRDefault="00623E14" w:rsidP="00722CEA">
            <w:pPr>
              <w:spacing w:before="100" w:after="100"/>
              <w:ind w:left="-72"/>
              <w:rPr>
                <w:color w:val="000000"/>
                <w:sz w:val="20"/>
                <w:lang w:val="sv-SE"/>
              </w:rPr>
            </w:pPr>
            <w:r w:rsidRPr="00800D1B">
              <w:rPr>
                <w:color w:val="000000"/>
                <w:sz w:val="20"/>
                <w:lang w:val="sv-SE"/>
              </w:rPr>
              <w:t>RSO1.2</w:t>
            </w:r>
          </w:p>
        </w:tc>
        <w:tc>
          <w:tcPr>
            <w:tcW w:w="0" w:type="auto"/>
          </w:tcPr>
          <w:p w14:paraId="2D065977" w14:textId="77777777" w:rsidR="00A77B3E" w:rsidRPr="00800D1B" w:rsidRDefault="00623E14" w:rsidP="00722CEA">
            <w:pPr>
              <w:spacing w:before="100" w:after="100"/>
              <w:ind w:left="-72"/>
              <w:rPr>
                <w:color w:val="000000"/>
                <w:sz w:val="20"/>
                <w:lang w:val="sv-SE"/>
              </w:rPr>
            </w:pPr>
            <w:r w:rsidRPr="00800D1B">
              <w:rPr>
                <w:color w:val="000000"/>
                <w:sz w:val="20"/>
                <w:lang w:val="sv-SE"/>
              </w:rPr>
              <w:t>Eruf</w:t>
            </w:r>
          </w:p>
        </w:tc>
        <w:tc>
          <w:tcPr>
            <w:tcW w:w="0" w:type="auto"/>
          </w:tcPr>
          <w:p w14:paraId="2D065978" w14:textId="77777777" w:rsidR="00A77B3E" w:rsidRPr="00800D1B" w:rsidRDefault="00623E14" w:rsidP="00722CEA">
            <w:pPr>
              <w:spacing w:before="100" w:after="100"/>
              <w:ind w:left="-72"/>
              <w:rPr>
                <w:color w:val="000000"/>
                <w:sz w:val="20"/>
                <w:lang w:val="sv-SE"/>
              </w:rPr>
            </w:pPr>
            <w:r w:rsidRPr="00800D1B">
              <w:rPr>
                <w:color w:val="000000"/>
                <w:sz w:val="20"/>
                <w:lang w:val="sv-SE"/>
              </w:rPr>
              <w:t>Mer utvecklade regioner</w:t>
            </w:r>
          </w:p>
        </w:tc>
        <w:tc>
          <w:tcPr>
            <w:tcW w:w="0" w:type="auto"/>
          </w:tcPr>
          <w:p w14:paraId="2D065979" w14:textId="77777777" w:rsidR="00A77B3E" w:rsidRPr="00800D1B" w:rsidRDefault="00623E14" w:rsidP="00722CEA">
            <w:pPr>
              <w:spacing w:before="100" w:after="100"/>
              <w:ind w:left="-72"/>
              <w:rPr>
                <w:color w:val="000000"/>
                <w:sz w:val="20"/>
                <w:lang w:val="sv-SE"/>
              </w:rPr>
            </w:pPr>
            <w:r w:rsidRPr="00800D1B">
              <w:rPr>
                <w:color w:val="000000"/>
                <w:sz w:val="20"/>
                <w:lang w:val="sv-SE"/>
              </w:rPr>
              <w:t>RCO13</w:t>
            </w:r>
          </w:p>
        </w:tc>
        <w:tc>
          <w:tcPr>
            <w:tcW w:w="0" w:type="auto"/>
          </w:tcPr>
          <w:p w14:paraId="2D06597A" w14:textId="77777777" w:rsidR="00A77B3E" w:rsidRPr="00800D1B" w:rsidRDefault="00623E14" w:rsidP="00722CEA">
            <w:pPr>
              <w:spacing w:before="100" w:after="100"/>
              <w:ind w:left="-72"/>
              <w:rPr>
                <w:color w:val="000000"/>
                <w:sz w:val="20"/>
                <w:lang w:val="sv-SE"/>
              </w:rPr>
            </w:pPr>
            <w:r w:rsidRPr="00800D1B">
              <w:rPr>
                <w:color w:val="000000"/>
                <w:sz w:val="20"/>
                <w:lang w:val="sv-SE"/>
              </w:rPr>
              <w:t>Värdet av digitala tjänster, produkter och processer som utvecklats för företag</w:t>
            </w:r>
          </w:p>
        </w:tc>
        <w:tc>
          <w:tcPr>
            <w:tcW w:w="0" w:type="auto"/>
          </w:tcPr>
          <w:p w14:paraId="2D06597B" w14:textId="77777777" w:rsidR="00A77B3E" w:rsidRPr="00800D1B" w:rsidRDefault="00623E14" w:rsidP="00722CEA">
            <w:pPr>
              <w:spacing w:before="100" w:after="100"/>
              <w:ind w:left="-72"/>
              <w:rPr>
                <w:color w:val="000000"/>
                <w:sz w:val="20"/>
                <w:lang w:val="sv-SE"/>
              </w:rPr>
            </w:pPr>
            <w:r w:rsidRPr="00800D1B">
              <w:rPr>
                <w:color w:val="000000"/>
                <w:sz w:val="20"/>
                <w:lang w:val="sv-SE"/>
              </w:rPr>
              <w:t>euro</w:t>
            </w:r>
          </w:p>
        </w:tc>
        <w:tc>
          <w:tcPr>
            <w:tcW w:w="0" w:type="auto"/>
          </w:tcPr>
          <w:p w14:paraId="2D06597C" w14:textId="77777777" w:rsidR="00A77B3E" w:rsidRPr="00800D1B" w:rsidRDefault="00623E14" w:rsidP="00722CEA">
            <w:pPr>
              <w:spacing w:before="100" w:after="100"/>
              <w:ind w:left="-72"/>
              <w:jc w:val="right"/>
              <w:rPr>
                <w:color w:val="000000"/>
                <w:sz w:val="20"/>
                <w:lang w:val="sv-SE"/>
              </w:rPr>
            </w:pPr>
            <w:r w:rsidRPr="00800D1B">
              <w:rPr>
                <w:color w:val="000000"/>
                <w:sz w:val="20"/>
                <w:lang w:val="sv-SE"/>
              </w:rPr>
              <w:t>1 312 062,00</w:t>
            </w:r>
          </w:p>
        </w:tc>
        <w:tc>
          <w:tcPr>
            <w:tcW w:w="0" w:type="auto"/>
          </w:tcPr>
          <w:p w14:paraId="2D06597D" w14:textId="77777777" w:rsidR="00A77B3E" w:rsidRPr="00800D1B" w:rsidRDefault="00623E14" w:rsidP="00722CEA">
            <w:pPr>
              <w:spacing w:before="100" w:after="100"/>
              <w:ind w:left="-72"/>
              <w:jc w:val="right"/>
              <w:rPr>
                <w:color w:val="000000"/>
                <w:sz w:val="20"/>
                <w:lang w:val="sv-SE"/>
              </w:rPr>
            </w:pPr>
            <w:r w:rsidRPr="00800D1B">
              <w:rPr>
                <w:color w:val="000000"/>
                <w:sz w:val="20"/>
                <w:lang w:val="sv-SE"/>
              </w:rPr>
              <w:t>13 120 617,00</w:t>
            </w:r>
          </w:p>
        </w:tc>
      </w:tr>
      <w:tr w:rsidR="003422DB" w:rsidRPr="00800D1B" w14:paraId="2D065988" w14:textId="77777777" w:rsidTr="007C7342">
        <w:tc>
          <w:tcPr>
            <w:tcW w:w="0" w:type="auto"/>
          </w:tcPr>
          <w:p w14:paraId="2D06597F" w14:textId="77777777" w:rsidR="00A77B3E" w:rsidRPr="00800D1B" w:rsidRDefault="00623E14" w:rsidP="00722CEA">
            <w:pPr>
              <w:spacing w:before="100" w:after="100"/>
              <w:ind w:left="-72"/>
              <w:rPr>
                <w:color w:val="000000"/>
                <w:sz w:val="20"/>
                <w:lang w:val="sv-SE"/>
              </w:rPr>
            </w:pPr>
            <w:r w:rsidRPr="00800D1B">
              <w:rPr>
                <w:color w:val="000000"/>
                <w:sz w:val="20"/>
                <w:lang w:val="sv-SE"/>
              </w:rPr>
              <w:t>3</w:t>
            </w:r>
          </w:p>
        </w:tc>
        <w:tc>
          <w:tcPr>
            <w:tcW w:w="0" w:type="auto"/>
          </w:tcPr>
          <w:p w14:paraId="2D065980" w14:textId="77777777" w:rsidR="00A77B3E" w:rsidRPr="00800D1B" w:rsidRDefault="00623E14" w:rsidP="00722CEA">
            <w:pPr>
              <w:spacing w:before="100" w:after="100"/>
              <w:ind w:left="-72"/>
              <w:rPr>
                <w:color w:val="000000"/>
                <w:sz w:val="20"/>
                <w:lang w:val="sv-SE"/>
              </w:rPr>
            </w:pPr>
            <w:r w:rsidRPr="00800D1B">
              <w:rPr>
                <w:color w:val="000000"/>
                <w:sz w:val="20"/>
                <w:lang w:val="sv-SE"/>
              </w:rPr>
              <w:t>RSO1.2</w:t>
            </w:r>
          </w:p>
        </w:tc>
        <w:tc>
          <w:tcPr>
            <w:tcW w:w="0" w:type="auto"/>
          </w:tcPr>
          <w:p w14:paraId="2D065981" w14:textId="77777777" w:rsidR="00A77B3E" w:rsidRPr="00800D1B" w:rsidRDefault="00623E14" w:rsidP="00722CEA">
            <w:pPr>
              <w:spacing w:before="100" w:after="100"/>
              <w:ind w:left="-72"/>
              <w:rPr>
                <w:color w:val="000000"/>
                <w:sz w:val="20"/>
                <w:lang w:val="sv-SE"/>
              </w:rPr>
            </w:pPr>
            <w:r w:rsidRPr="00800D1B">
              <w:rPr>
                <w:color w:val="000000"/>
                <w:sz w:val="20"/>
                <w:lang w:val="sv-SE"/>
              </w:rPr>
              <w:t>Eruf</w:t>
            </w:r>
          </w:p>
        </w:tc>
        <w:tc>
          <w:tcPr>
            <w:tcW w:w="0" w:type="auto"/>
          </w:tcPr>
          <w:p w14:paraId="2D065982" w14:textId="77777777" w:rsidR="00A77B3E" w:rsidRPr="00800D1B" w:rsidRDefault="00623E14" w:rsidP="00722CEA">
            <w:pPr>
              <w:spacing w:before="100" w:after="100"/>
              <w:ind w:left="-72"/>
              <w:rPr>
                <w:color w:val="000000"/>
                <w:sz w:val="20"/>
                <w:lang w:val="sv-SE"/>
              </w:rPr>
            </w:pPr>
            <w:r w:rsidRPr="00800D1B">
              <w:rPr>
                <w:color w:val="000000"/>
                <w:sz w:val="20"/>
                <w:lang w:val="sv-SE"/>
              </w:rPr>
              <w:t>Mer utvecklade regioner</w:t>
            </w:r>
          </w:p>
        </w:tc>
        <w:tc>
          <w:tcPr>
            <w:tcW w:w="0" w:type="auto"/>
          </w:tcPr>
          <w:p w14:paraId="2D065983" w14:textId="77777777" w:rsidR="00A77B3E" w:rsidRPr="00800D1B" w:rsidRDefault="00623E14" w:rsidP="00722CEA">
            <w:pPr>
              <w:spacing w:before="100" w:after="100"/>
              <w:ind w:left="-72"/>
              <w:rPr>
                <w:color w:val="000000"/>
                <w:sz w:val="20"/>
                <w:lang w:val="sv-SE"/>
              </w:rPr>
            </w:pPr>
            <w:r w:rsidRPr="00800D1B">
              <w:rPr>
                <w:color w:val="000000"/>
                <w:sz w:val="20"/>
                <w:lang w:val="sv-SE"/>
              </w:rPr>
              <w:t>RCO14</w:t>
            </w:r>
          </w:p>
        </w:tc>
        <w:tc>
          <w:tcPr>
            <w:tcW w:w="0" w:type="auto"/>
          </w:tcPr>
          <w:p w14:paraId="2D065984" w14:textId="77777777" w:rsidR="00A77B3E" w:rsidRPr="00800D1B" w:rsidRDefault="00623E14" w:rsidP="00722CEA">
            <w:pPr>
              <w:spacing w:before="100" w:after="100"/>
              <w:ind w:left="-72"/>
              <w:rPr>
                <w:color w:val="000000"/>
                <w:sz w:val="20"/>
                <w:lang w:val="sv-SE"/>
              </w:rPr>
            </w:pPr>
            <w:r w:rsidRPr="00800D1B">
              <w:rPr>
                <w:color w:val="000000"/>
                <w:sz w:val="20"/>
                <w:lang w:val="sv-SE"/>
              </w:rPr>
              <w:t>Offentliga institutioner som får stöd att digitalisera tjänster, produkter och processer</w:t>
            </w:r>
          </w:p>
        </w:tc>
        <w:tc>
          <w:tcPr>
            <w:tcW w:w="0" w:type="auto"/>
          </w:tcPr>
          <w:p w14:paraId="2D065985" w14:textId="77777777" w:rsidR="00A77B3E" w:rsidRPr="00800D1B" w:rsidRDefault="00623E14" w:rsidP="00722CEA">
            <w:pPr>
              <w:spacing w:before="100" w:after="100"/>
              <w:ind w:left="-72"/>
              <w:rPr>
                <w:color w:val="000000"/>
                <w:sz w:val="20"/>
                <w:lang w:val="sv-SE"/>
              </w:rPr>
            </w:pPr>
            <w:r w:rsidRPr="00800D1B">
              <w:rPr>
                <w:color w:val="000000"/>
                <w:sz w:val="20"/>
                <w:lang w:val="sv-SE"/>
              </w:rPr>
              <w:t>offentliga institutioner</w:t>
            </w:r>
          </w:p>
        </w:tc>
        <w:tc>
          <w:tcPr>
            <w:tcW w:w="0" w:type="auto"/>
          </w:tcPr>
          <w:p w14:paraId="2D065986" w14:textId="77777777" w:rsidR="00A77B3E" w:rsidRPr="00800D1B" w:rsidRDefault="00623E14" w:rsidP="00722CEA">
            <w:pPr>
              <w:spacing w:before="100" w:after="100"/>
              <w:ind w:left="-72"/>
              <w:jc w:val="right"/>
              <w:rPr>
                <w:color w:val="000000"/>
                <w:sz w:val="20"/>
                <w:lang w:val="sv-SE"/>
              </w:rPr>
            </w:pPr>
            <w:r w:rsidRPr="00800D1B">
              <w:rPr>
                <w:color w:val="000000"/>
                <w:sz w:val="20"/>
                <w:lang w:val="sv-SE"/>
              </w:rPr>
              <w:t>1,00</w:t>
            </w:r>
          </w:p>
        </w:tc>
        <w:tc>
          <w:tcPr>
            <w:tcW w:w="0" w:type="auto"/>
          </w:tcPr>
          <w:p w14:paraId="2D065987" w14:textId="77777777" w:rsidR="00A77B3E" w:rsidRPr="00800D1B" w:rsidRDefault="00623E14" w:rsidP="00722CEA">
            <w:pPr>
              <w:spacing w:before="100" w:after="100"/>
              <w:ind w:left="-72"/>
              <w:jc w:val="right"/>
              <w:rPr>
                <w:color w:val="000000"/>
                <w:sz w:val="20"/>
                <w:lang w:val="sv-SE"/>
              </w:rPr>
            </w:pPr>
            <w:r w:rsidRPr="00800D1B">
              <w:rPr>
                <w:color w:val="000000"/>
                <w:sz w:val="20"/>
                <w:lang w:val="sv-SE"/>
              </w:rPr>
              <w:t>14,00</w:t>
            </w:r>
          </w:p>
        </w:tc>
      </w:tr>
      <w:tr w:rsidR="003422DB" w:rsidRPr="00800D1B" w14:paraId="2D065992" w14:textId="77777777" w:rsidTr="007C7342">
        <w:tc>
          <w:tcPr>
            <w:tcW w:w="0" w:type="auto"/>
          </w:tcPr>
          <w:p w14:paraId="2D065989" w14:textId="77777777" w:rsidR="00A77B3E" w:rsidRPr="00800D1B" w:rsidRDefault="00623E14" w:rsidP="00722CEA">
            <w:pPr>
              <w:spacing w:before="100" w:after="100"/>
              <w:ind w:left="-72"/>
              <w:rPr>
                <w:color w:val="000000"/>
                <w:sz w:val="20"/>
                <w:lang w:val="sv-SE"/>
              </w:rPr>
            </w:pPr>
            <w:r w:rsidRPr="00800D1B">
              <w:rPr>
                <w:color w:val="000000"/>
                <w:sz w:val="20"/>
                <w:lang w:val="sv-SE"/>
              </w:rPr>
              <w:t>3</w:t>
            </w:r>
          </w:p>
        </w:tc>
        <w:tc>
          <w:tcPr>
            <w:tcW w:w="0" w:type="auto"/>
          </w:tcPr>
          <w:p w14:paraId="2D06598A" w14:textId="77777777" w:rsidR="00A77B3E" w:rsidRPr="00800D1B" w:rsidRDefault="00623E14" w:rsidP="00722CEA">
            <w:pPr>
              <w:spacing w:before="100" w:after="100"/>
              <w:ind w:left="-72"/>
              <w:rPr>
                <w:color w:val="000000"/>
                <w:sz w:val="20"/>
                <w:lang w:val="sv-SE"/>
              </w:rPr>
            </w:pPr>
            <w:r w:rsidRPr="00800D1B">
              <w:rPr>
                <w:color w:val="000000"/>
                <w:sz w:val="20"/>
                <w:lang w:val="sv-SE"/>
              </w:rPr>
              <w:t>RSO1.2</w:t>
            </w:r>
          </w:p>
        </w:tc>
        <w:tc>
          <w:tcPr>
            <w:tcW w:w="0" w:type="auto"/>
          </w:tcPr>
          <w:p w14:paraId="2D06598B" w14:textId="77777777" w:rsidR="00A77B3E" w:rsidRPr="00800D1B" w:rsidRDefault="00623E14" w:rsidP="00722CEA">
            <w:pPr>
              <w:spacing w:before="100" w:after="100"/>
              <w:ind w:left="-72"/>
              <w:rPr>
                <w:color w:val="000000"/>
                <w:sz w:val="20"/>
                <w:lang w:val="sv-SE"/>
              </w:rPr>
            </w:pPr>
            <w:r w:rsidRPr="00800D1B">
              <w:rPr>
                <w:color w:val="000000"/>
                <w:sz w:val="20"/>
                <w:lang w:val="sv-SE"/>
              </w:rPr>
              <w:t>Eruf</w:t>
            </w:r>
          </w:p>
        </w:tc>
        <w:tc>
          <w:tcPr>
            <w:tcW w:w="0" w:type="auto"/>
          </w:tcPr>
          <w:p w14:paraId="2D06598C" w14:textId="77777777" w:rsidR="00A77B3E" w:rsidRPr="00800D1B" w:rsidRDefault="00623E14" w:rsidP="00722CEA">
            <w:pPr>
              <w:spacing w:before="100" w:after="100"/>
              <w:ind w:left="-72"/>
              <w:rPr>
                <w:color w:val="000000"/>
                <w:sz w:val="20"/>
                <w:lang w:val="sv-SE"/>
              </w:rPr>
            </w:pPr>
            <w:r w:rsidRPr="00800D1B">
              <w:rPr>
                <w:color w:val="000000"/>
                <w:sz w:val="20"/>
                <w:lang w:val="sv-SE"/>
              </w:rPr>
              <w:t>Mer utvecklade regioner</w:t>
            </w:r>
          </w:p>
        </w:tc>
        <w:tc>
          <w:tcPr>
            <w:tcW w:w="0" w:type="auto"/>
          </w:tcPr>
          <w:p w14:paraId="2D06598D" w14:textId="77777777" w:rsidR="00A77B3E" w:rsidRPr="00800D1B" w:rsidRDefault="00623E14" w:rsidP="00722CEA">
            <w:pPr>
              <w:spacing w:before="100" w:after="100"/>
              <w:ind w:left="-72"/>
              <w:rPr>
                <w:color w:val="000000"/>
                <w:sz w:val="20"/>
                <w:lang w:val="sv-SE"/>
              </w:rPr>
            </w:pPr>
            <w:r w:rsidRPr="00800D1B">
              <w:rPr>
                <w:color w:val="000000"/>
                <w:sz w:val="20"/>
                <w:lang w:val="sv-SE"/>
              </w:rPr>
              <w:t>SWO01</w:t>
            </w:r>
          </w:p>
        </w:tc>
        <w:tc>
          <w:tcPr>
            <w:tcW w:w="0" w:type="auto"/>
          </w:tcPr>
          <w:p w14:paraId="2D06598E" w14:textId="77777777" w:rsidR="00A77B3E" w:rsidRPr="00800D1B" w:rsidRDefault="00623E14" w:rsidP="00722CEA">
            <w:pPr>
              <w:spacing w:before="100" w:after="100"/>
              <w:ind w:left="-72"/>
              <w:rPr>
                <w:color w:val="000000"/>
                <w:sz w:val="20"/>
                <w:lang w:val="sv-SE"/>
              </w:rPr>
            </w:pPr>
            <w:r w:rsidRPr="00800D1B">
              <w:rPr>
                <w:color w:val="000000"/>
                <w:sz w:val="20"/>
                <w:lang w:val="sv-SE"/>
              </w:rPr>
              <w:t>Antal organisationer som får stöd</w:t>
            </w:r>
          </w:p>
        </w:tc>
        <w:tc>
          <w:tcPr>
            <w:tcW w:w="0" w:type="auto"/>
          </w:tcPr>
          <w:p w14:paraId="2D06598F" w14:textId="77777777" w:rsidR="00A77B3E" w:rsidRPr="00800D1B" w:rsidRDefault="00623E14" w:rsidP="00722CEA">
            <w:pPr>
              <w:spacing w:before="100" w:after="100"/>
              <w:ind w:left="-72"/>
              <w:rPr>
                <w:color w:val="000000"/>
                <w:sz w:val="20"/>
                <w:lang w:val="sv-SE"/>
              </w:rPr>
            </w:pPr>
            <w:r w:rsidRPr="00800D1B">
              <w:rPr>
                <w:color w:val="000000"/>
                <w:sz w:val="20"/>
                <w:lang w:val="sv-SE"/>
              </w:rPr>
              <w:t>Organisationer</w:t>
            </w:r>
          </w:p>
        </w:tc>
        <w:tc>
          <w:tcPr>
            <w:tcW w:w="0" w:type="auto"/>
          </w:tcPr>
          <w:p w14:paraId="2D065990" w14:textId="77777777" w:rsidR="00A77B3E" w:rsidRPr="00800D1B" w:rsidRDefault="00623E14" w:rsidP="00722CEA">
            <w:pPr>
              <w:spacing w:before="100" w:after="100"/>
              <w:ind w:left="-72"/>
              <w:jc w:val="right"/>
              <w:rPr>
                <w:color w:val="000000"/>
                <w:sz w:val="20"/>
                <w:lang w:val="sv-SE"/>
              </w:rPr>
            </w:pPr>
            <w:r w:rsidRPr="00800D1B">
              <w:rPr>
                <w:color w:val="000000"/>
                <w:sz w:val="20"/>
                <w:lang w:val="sv-SE"/>
              </w:rPr>
              <w:t>1,00</w:t>
            </w:r>
          </w:p>
        </w:tc>
        <w:tc>
          <w:tcPr>
            <w:tcW w:w="0" w:type="auto"/>
          </w:tcPr>
          <w:p w14:paraId="2D065991" w14:textId="77777777" w:rsidR="00A77B3E" w:rsidRPr="00800D1B" w:rsidRDefault="00623E14" w:rsidP="00722CEA">
            <w:pPr>
              <w:spacing w:before="100" w:after="100"/>
              <w:ind w:left="-72"/>
              <w:jc w:val="right"/>
              <w:rPr>
                <w:color w:val="000000"/>
                <w:sz w:val="20"/>
                <w:lang w:val="sv-SE"/>
              </w:rPr>
            </w:pPr>
            <w:r w:rsidRPr="00800D1B">
              <w:rPr>
                <w:color w:val="000000"/>
                <w:sz w:val="20"/>
                <w:lang w:val="sv-SE"/>
              </w:rPr>
              <w:t>7,00</w:t>
            </w:r>
          </w:p>
        </w:tc>
      </w:tr>
      <w:tr w:rsidR="003422DB" w:rsidRPr="00800D1B" w14:paraId="2D06599C" w14:textId="77777777" w:rsidTr="007C7342">
        <w:tc>
          <w:tcPr>
            <w:tcW w:w="0" w:type="auto"/>
          </w:tcPr>
          <w:p w14:paraId="2D065993" w14:textId="77777777" w:rsidR="00A77B3E" w:rsidRPr="00800D1B" w:rsidRDefault="00623E14" w:rsidP="00722CEA">
            <w:pPr>
              <w:spacing w:before="100" w:after="100"/>
              <w:ind w:left="-72"/>
              <w:rPr>
                <w:color w:val="000000"/>
                <w:sz w:val="20"/>
                <w:lang w:val="sv-SE"/>
              </w:rPr>
            </w:pPr>
            <w:r w:rsidRPr="00800D1B">
              <w:rPr>
                <w:color w:val="000000"/>
                <w:sz w:val="20"/>
                <w:lang w:val="sv-SE"/>
              </w:rPr>
              <w:t>3</w:t>
            </w:r>
          </w:p>
        </w:tc>
        <w:tc>
          <w:tcPr>
            <w:tcW w:w="0" w:type="auto"/>
          </w:tcPr>
          <w:p w14:paraId="2D065994" w14:textId="77777777" w:rsidR="00A77B3E" w:rsidRPr="00800D1B" w:rsidRDefault="00623E14" w:rsidP="00722CEA">
            <w:pPr>
              <w:spacing w:before="100" w:after="100"/>
              <w:ind w:left="-72"/>
              <w:rPr>
                <w:color w:val="000000"/>
                <w:sz w:val="20"/>
                <w:lang w:val="sv-SE"/>
              </w:rPr>
            </w:pPr>
            <w:r w:rsidRPr="00800D1B">
              <w:rPr>
                <w:color w:val="000000"/>
                <w:sz w:val="20"/>
                <w:lang w:val="sv-SE"/>
              </w:rPr>
              <w:t>RSO1.2</w:t>
            </w:r>
          </w:p>
        </w:tc>
        <w:tc>
          <w:tcPr>
            <w:tcW w:w="0" w:type="auto"/>
          </w:tcPr>
          <w:p w14:paraId="2D065995" w14:textId="77777777" w:rsidR="00A77B3E" w:rsidRPr="00800D1B" w:rsidRDefault="00623E14" w:rsidP="00722CEA">
            <w:pPr>
              <w:spacing w:before="100" w:after="100"/>
              <w:ind w:left="-72"/>
              <w:rPr>
                <w:color w:val="000000"/>
                <w:sz w:val="20"/>
                <w:lang w:val="sv-SE"/>
              </w:rPr>
            </w:pPr>
            <w:r w:rsidRPr="00800D1B">
              <w:rPr>
                <w:color w:val="000000"/>
                <w:sz w:val="20"/>
                <w:lang w:val="sv-SE"/>
              </w:rPr>
              <w:t>Eruf</w:t>
            </w:r>
          </w:p>
        </w:tc>
        <w:tc>
          <w:tcPr>
            <w:tcW w:w="0" w:type="auto"/>
          </w:tcPr>
          <w:p w14:paraId="2D065996" w14:textId="77777777" w:rsidR="00A77B3E" w:rsidRPr="00800D1B" w:rsidRDefault="00623E14" w:rsidP="00722CEA">
            <w:pPr>
              <w:spacing w:before="100" w:after="100"/>
              <w:ind w:left="-72"/>
              <w:rPr>
                <w:color w:val="000000"/>
                <w:sz w:val="20"/>
                <w:lang w:val="sv-SE"/>
              </w:rPr>
            </w:pPr>
            <w:r w:rsidRPr="00800D1B">
              <w:rPr>
                <w:color w:val="000000"/>
                <w:sz w:val="20"/>
                <w:lang w:val="sv-SE"/>
              </w:rPr>
              <w:t>De yttersta randområdena eller de nordliga glesbefolkade områdena</w:t>
            </w:r>
          </w:p>
        </w:tc>
        <w:tc>
          <w:tcPr>
            <w:tcW w:w="0" w:type="auto"/>
          </w:tcPr>
          <w:p w14:paraId="2D065997" w14:textId="77777777" w:rsidR="00A77B3E" w:rsidRPr="00800D1B" w:rsidRDefault="00623E14" w:rsidP="00722CEA">
            <w:pPr>
              <w:spacing w:before="100" w:after="100"/>
              <w:ind w:left="-72"/>
              <w:rPr>
                <w:color w:val="000000"/>
                <w:sz w:val="20"/>
                <w:lang w:val="sv-SE"/>
              </w:rPr>
            </w:pPr>
            <w:r w:rsidRPr="00800D1B">
              <w:rPr>
                <w:color w:val="000000"/>
                <w:sz w:val="20"/>
                <w:lang w:val="sv-SE"/>
              </w:rPr>
              <w:t>RCO01</w:t>
            </w:r>
          </w:p>
        </w:tc>
        <w:tc>
          <w:tcPr>
            <w:tcW w:w="0" w:type="auto"/>
          </w:tcPr>
          <w:p w14:paraId="2D065998" w14:textId="77777777" w:rsidR="00A77B3E" w:rsidRPr="00800D1B" w:rsidRDefault="00623E14" w:rsidP="00722CEA">
            <w:pPr>
              <w:spacing w:before="100" w:after="100"/>
              <w:ind w:left="-72"/>
              <w:rPr>
                <w:color w:val="000000"/>
                <w:sz w:val="20"/>
                <w:lang w:val="sv-SE"/>
              </w:rPr>
            </w:pPr>
            <w:r w:rsidRPr="00800D1B">
              <w:rPr>
                <w:color w:val="000000"/>
                <w:sz w:val="20"/>
                <w:lang w:val="sv-SE"/>
              </w:rPr>
              <w:t>Företag som får stöd (varav mikroföretag, små företag, medelstora företag, stora företag)</w:t>
            </w:r>
          </w:p>
        </w:tc>
        <w:tc>
          <w:tcPr>
            <w:tcW w:w="0" w:type="auto"/>
          </w:tcPr>
          <w:p w14:paraId="2D065999" w14:textId="77777777" w:rsidR="00A77B3E" w:rsidRPr="00800D1B" w:rsidRDefault="00623E14" w:rsidP="00722CEA">
            <w:pPr>
              <w:spacing w:before="100" w:after="100"/>
              <w:ind w:left="-72"/>
              <w:rPr>
                <w:color w:val="000000"/>
                <w:sz w:val="20"/>
                <w:lang w:val="sv-SE"/>
              </w:rPr>
            </w:pPr>
            <w:r w:rsidRPr="00800D1B">
              <w:rPr>
                <w:color w:val="000000"/>
                <w:sz w:val="20"/>
                <w:lang w:val="sv-SE"/>
              </w:rPr>
              <w:t>företag</w:t>
            </w:r>
          </w:p>
        </w:tc>
        <w:tc>
          <w:tcPr>
            <w:tcW w:w="0" w:type="auto"/>
          </w:tcPr>
          <w:p w14:paraId="2D06599A" w14:textId="77777777" w:rsidR="00A77B3E" w:rsidRPr="00800D1B" w:rsidRDefault="00623E14" w:rsidP="00722CEA">
            <w:pPr>
              <w:spacing w:before="100" w:after="100"/>
              <w:ind w:left="-72"/>
              <w:jc w:val="right"/>
              <w:rPr>
                <w:color w:val="000000"/>
                <w:sz w:val="20"/>
                <w:lang w:val="sv-SE"/>
              </w:rPr>
            </w:pPr>
            <w:r w:rsidRPr="00800D1B">
              <w:rPr>
                <w:color w:val="000000"/>
                <w:sz w:val="20"/>
                <w:lang w:val="sv-SE"/>
              </w:rPr>
              <w:t>1,00</w:t>
            </w:r>
          </w:p>
        </w:tc>
        <w:tc>
          <w:tcPr>
            <w:tcW w:w="0" w:type="auto"/>
          </w:tcPr>
          <w:p w14:paraId="2D06599B" w14:textId="77777777" w:rsidR="00A77B3E" w:rsidRPr="00800D1B" w:rsidRDefault="00623E14" w:rsidP="00722CEA">
            <w:pPr>
              <w:spacing w:before="100" w:after="100"/>
              <w:ind w:left="-72"/>
              <w:jc w:val="right"/>
              <w:rPr>
                <w:color w:val="000000"/>
                <w:sz w:val="20"/>
                <w:lang w:val="sv-SE"/>
              </w:rPr>
            </w:pPr>
            <w:r w:rsidRPr="00800D1B">
              <w:rPr>
                <w:color w:val="000000"/>
                <w:sz w:val="20"/>
                <w:lang w:val="sv-SE"/>
              </w:rPr>
              <w:t>9,00</w:t>
            </w:r>
          </w:p>
        </w:tc>
      </w:tr>
      <w:tr w:rsidR="003422DB" w:rsidRPr="00800D1B" w14:paraId="2D0659A6" w14:textId="77777777" w:rsidTr="007C7342">
        <w:tc>
          <w:tcPr>
            <w:tcW w:w="0" w:type="auto"/>
          </w:tcPr>
          <w:p w14:paraId="2D06599D" w14:textId="77777777" w:rsidR="00A77B3E" w:rsidRPr="00800D1B" w:rsidRDefault="00623E14" w:rsidP="00722CEA">
            <w:pPr>
              <w:spacing w:before="100" w:after="100"/>
              <w:ind w:left="-72"/>
              <w:rPr>
                <w:color w:val="000000"/>
                <w:sz w:val="20"/>
                <w:lang w:val="sv-SE"/>
              </w:rPr>
            </w:pPr>
            <w:r w:rsidRPr="00800D1B">
              <w:rPr>
                <w:color w:val="000000"/>
                <w:sz w:val="20"/>
                <w:lang w:val="sv-SE"/>
              </w:rPr>
              <w:t>3</w:t>
            </w:r>
          </w:p>
        </w:tc>
        <w:tc>
          <w:tcPr>
            <w:tcW w:w="0" w:type="auto"/>
          </w:tcPr>
          <w:p w14:paraId="2D06599E" w14:textId="77777777" w:rsidR="00A77B3E" w:rsidRPr="00800D1B" w:rsidRDefault="00623E14" w:rsidP="00722CEA">
            <w:pPr>
              <w:spacing w:before="100" w:after="100"/>
              <w:ind w:left="-72"/>
              <w:rPr>
                <w:color w:val="000000"/>
                <w:sz w:val="20"/>
                <w:lang w:val="sv-SE"/>
              </w:rPr>
            </w:pPr>
            <w:r w:rsidRPr="00800D1B">
              <w:rPr>
                <w:color w:val="000000"/>
                <w:sz w:val="20"/>
                <w:lang w:val="sv-SE"/>
              </w:rPr>
              <w:t>RSO1.2</w:t>
            </w:r>
          </w:p>
        </w:tc>
        <w:tc>
          <w:tcPr>
            <w:tcW w:w="0" w:type="auto"/>
          </w:tcPr>
          <w:p w14:paraId="2D06599F" w14:textId="77777777" w:rsidR="00A77B3E" w:rsidRPr="00800D1B" w:rsidRDefault="00623E14" w:rsidP="00722CEA">
            <w:pPr>
              <w:spacing w:before="100" w:after="100"/>
              <w:ind w:left="-72"/>
              <w:rPr>
                <w:color w:val="000000"/>
                <w:sz w:val="20"/>
                <w:lang w:val="sv-SE"/>
              </w:rPr>
            </w:pPr>
            <w:r w:rsidRPr="00800D1B">
              <w:rPr>
                <w:color w:val="000000"/>
                <w:sz w:val="20"/>
                <w:lang w:val="sv-SE"/>
              </w:rPr>
              <w:t>Eruf</w:t>
            </w:r>
          </w:p>
        </w:tc>
        <w:tc>
          <w:tcPr>
            <w:tcW w:w="0" w:type="auto"/>
          </w:tcPr>
          <w:p w14:paraId="2D0659A0" w14:textId="77777777" w:rsidR="00A77B3E" w:rsidRPr="00800D1B" w:rsidRDefault="00623E14" w:rsidP="00722CEA">
            <w:pPr>
              <w:spacing w:before="100" w:after="100"/>
              <w:ind w:left="-72"/>
              <w:rPr>
                <w:color w:val="000000"/>
                <w:sz w:val="20"/>
                <w:lang w:val="sv-SE"/>
              </w:rPr>
            </w:pPr>
            <w:r w:rsidRPr="00800D1B">
              <w:rPr>
                <w:color w:val="000000"/>
                <w:sz w:val="20"/>
                <w:lang w:val="sv-SE"/>
              </w:rPr>
              <w:t>De yttersta randområdena eller de nordliga glesbefolkade områdena</w:t>
            </w:r>
          </w:p>
        </w:tc>
        <w:tc>
          <w:tcPr>
            <w:tcW w:w="0" w:type="auto"/>
          </w:tcPr>
          <w:p w14:paraId="2D0659A1" w14:textId="77777777" w:rsidR="00A77B3E" w:rsidRPr="00800D1B" w:rsidRDefault="00623E14" w:rsidP="00722CEA">
            <w:pPr>
              <w:spacing w:before="100" w:after="100"/>
              <w:ind w:left="-72"/>
              <w:rPr>
                <w:color w:val="000000"/>
                <w:sz w:val="20"/>
                <w:lang w:val="sv-SE"/>
              </w:rPr>
            </w:pPr>
            <w:r w:rsidRPr="00800D1B">
              <w:rPr>
                <w:color w:val="000000"/>
                <w:sz w:val="20"/>
                <w:lang w:val="sv-SE"/>
              </w:rPr>
              <w:t>RCO04</w:t>
            </w:r>
          </w:p>
        </w:tc>
        <w:tc>
          <w:tcPr>
            <w:tcW w:w="0" w:type="auto"/>
          </w:tcPr>
          <w:p w14:paraId="2D0659A2" w14:textId="77777777" w:rsidR="00A77B3E" w:rsidRPr="00800D1B" w:rsidRDefault="00623E14" w:rsidP="00722CEA">
            <w:pPr>
              <w:spacing w:before="100" w:after="100"/>
              <w:ind w:left="-72"/>
              <w:rPr>
                <w:color w:val="000000"/>
                <w:sz w:val="20"/>
                <w:lang w:val="sv-SE"/>
              </w:rPr>
            </w:pPr>
            <w:r w:rsidRPr="00800D1B">
              <w:rPr>
                <w:color w:val="000000"/>
                <w:sz w:val="20"/>
                <w:lang w:val="sv-SE"/>
              </w:rPr>
              <w:t>Företag som får icke-finansiellt stöd</w:t>
            </w:r>
          </w:p>
        </w:tc>
        <w:tc>
          <w:tcPr>
            <w:tcW w:w="0" w:type="auto"/>
          </w:tcPr>
          <w:p w14:paraId="2D0659A3" w14:textId="77777777" w:rsidR="00A77B3E" w:rsidRPr="00800D1B" w:rsidRDefault="00623E14" w:rsidP="00722CEA">
            <w:pPr>
              <w:spacing w:before="100" w:after="100"/>
              <w:ind w:left="-72"/>
              <w:rPr>
                <w:color w:val="000000"/>
                <w:sz w:val="20"/>
                <w:lang w:val="sv-SE"/>
              </w:rPr>
            </w:pPr>
            <w:r w:rsidRPr="00800D1B">
              <w:rPr>
                <w:color w:val="000000"/>
                <w:sz w:val="20"/>
                <w:lang w:val="sv-SE"/>
              </w:rPr>
              <w:t>företag</w:t>
            </w:r>
          </w:p>
        </w:tc>
        <w:tc>
          <w:tcPr>
            <w:tcW w:w="0" w:type="auto"/>
          </w:tcPr>
          <w:p w14:paraId="2D0659A4" w14:textId="77777777" w:rsidR="00A77B3E" w:rsidRPr="00800D1B" w:rsidRDefault="00623E14" w:rsidP="00722CEA">
            <w:pPr>
              <w:spacing w:before="100" w:after="100"/>
              <w:ind w:left="-72"/>
              <w:jc w:val="right"/>
              <w:rPr>
                <w:color w:val="000000"/>
                <w:sz w:val="20"/>
                <w:lang w:val="sv-SE"/>
              </w:rPr>
            </w:pPr>
            <w:r w:rsidRPr="00800D1B">
              <w:rPr>
                <w:color w:val="000000"/>
                <w:sz w:val="20"/>
                <w:lang w:val="sv-SE"/>
              </w:rPr>
              <w:t>1,00</w:t>
            </w:r>
          </w:p>
        </w:tc>
        <w:tc>
          <w:tcPr>
            <w:tcW w:w="0" w:type="auto"/>
          </w:tcPr>
          <w:p w14:paraId="2D0659A5" w14:textId="77777777" w:rsidR="00A77B3E" w:rsidRPr="00800D1B" w:rsidRDefault="00623E14" w:rsidP="00722CEA">
            <w:pPr>
              <w:spacing w:before="100" w:after="100"/>
              <w:ind w:left="-72"/>
              <w:jc w:val="right"/>
              <w:rPr>
                <w:color w:val="000000"/>
                <w:sz w:val="20"/>
                <w:lang w:val="sv-SE"/>
              </w:rPr>
            </w:pPr>
            <w:r w:rsidRPr="00800D1B">
              <w:rPr>
                <w:color w:val="000000"/>
                <w:sz w:val="20"/>
                <w:lang w:val="sv-SE"/>
              </w:rPr>
              <w:t>9,00</w:t>
            </w:r>
          </w:p>
        </w:tc>
      </w:tr>
      <w:tr w:rsidR="003422DB" w:rsidRPr="00800D1B" w14:paraId="2D0659B0" w14:textId="77777777" w:rsidTr="007C7342">
        <w:tc>
          <w:tcPr>
            <w:tcW w:w="0" w:type="auto"/>
          </w:tcPr>
          <w:p w14:paraId="2D0659A7" w14:textId="77777777" w:rsidR="00A77B3E" w:rsidRPr="00800D1B" w:rsidRDefault="00623E14" w:rsidP="00722CEA">
            <w:pPr>
              <w:spacing w:before="100" w:after="100"/>
              <w:ind w:left="-72"/>
              <w:rPr>
                <w:color w:val="000000"/>
                <w:sz w:val="20"/>
                <w:lang w:val="sv-SE"/>
              </w:rPr>
            </w:pPr>
            <w:r w:rsidRPr="00800D1B">
              <w:rPr>
                <w:color w:val="000000"/>
                <w:sz w:val="20"/>
                <w:lang w:val="sv-SE"/>
              </w:rPr>
              <w:t>3</w:t>
            </w:r>
          </w:p>
        </w:tc>
        <w:tc>
          <w:tcPr>
            <w:tcW w:w="0" w:type="auto"/>
          </w:tcPr>
          <w:p w14:paraId="2D0659A8" w14:textId="77777777" w:rsidR="00A77B3E" w:rsidRPr="00800D1B" w:rsidRDefault="00623E14" w:rsidP="00722CEA">
            <w:pPr>
              <w:spacing w:before="100" w:after="100"/>
              <w:ind w:left="-72"/>
              <w:rPr>
                <w:color w:val="000000"/>
                <w:sz w:val="20"/>
                <w:lang w:val="sv-SE"/>
              </w:rPr>
            </w:pPr>
            <w:r w:rsidRPr="00800D1B">
              <w:rPr>
                <w:color w:val="000000"/>
                <w:sz w:val="20"/>
                <w:lang w:val="sv-SE"/>
              </w:rPr>
              <w:t>RSO1.2</w:t>
            </w:r>
          </w:p>
        </w:tc>
        <w:tc>
          <w:tcPr>
            <w:tcW w:w="0" w:type="auto"/>
          </w:tcPr>
          <w:p w14:paraId="2D0659A9" w14:textId="77777777" w:rsidR="00A77B3E" w:rsidRPr="00800D1B" w:rsidRDefault="00623E14" w:rsidP="00722CEA">
            <w:pPr>
              <w:spacing w:before="100" w:after="100"/>
              <w:ind w:left="-72"/>
              <w:rPr>
                <w:color w:val="000000"/>
                <w:sz w:val="20"/>
                <w:lang w:val="sv-SE"/>
              </w:rPr>
            </w:pPr>
            <w:r w:rsidRPr="00800D1B">
              <w:rPr>
                <w:color w:val="000000"/>
                <w:sz w:val="20"/>
                <w:lang w:val="sv-SE"/>
              </w:rPr>
              <w:t>Eruf</w:t>
            </w:r>
          </w:p>
        </w:tc>
        <w:tc>
          <w:tcPr>
            <w:tcW w:w="0" w:type="auto"/>
          </w:tcPr>
          <w:p w14:paraId="2D0659AA" w14:textId="77777777" w:rsidR="00A77B3E" w:rsidRPr="00800D1B" w:rsidRDefault="00623E14" w:rsidP="00722CEA">
            <w:pPr>
              <w:spacing w:before="100" w:after="100"/>
              <w:ind w:left="-72"/>
              <w:rPr>
                <w:color w:val="000000"/>
                <w:sz w:val="20"/>
                <w:lang w:val="sv-SE"/>
              </w:rPr>
            </w:pPr>
            <w:r w:rsidRPr="00800D1B">
              <w:rPr>
                <w:color w:val="000000"/>
                <w:sz w:val="20"/>
                <w:lang w:val="sv-SE"/>
              </w:rPr>
              <w:t>De yttersta randområdena eller de nordliga glesbefolkade områdena</w:t>
            </w:r>
          </w:p>
        </w:tc>
        <w:tc>
          <w:tcPr>
            <w:tcW w:w="0" w:type="auto"/>
          </w:tcPr>
          <w:p w14:paraId="2D0659AB" w14:textId="77777777" w:rsidR="00A77B3E" w:rsidRPr="00800D1B" w:rsidRDefault="00623E14" w:rsidP="00722CEA">
            <w:pPr>
              <w:spacing w:before="100" w:after="100"/>
              <w:ind w:left="-72"/>
              <w:rPr>
                <w:color w:val="000000"/>
                <w:sz w:val="20"/>
                <w:lang w:val="sv-SE"/>
              </w:rPr>
            </w:pPr>
            <w:r w:rsidRPr="00800D1B">
              <w:rPr>
                <w:color w:val="000000"/>
                <w:sz w:val="20"/>
                <w:lang w:val="sv-SE"/>
              </w:rPr>
              <w:t>RCO13</w:t>
            </w:r>
          </w:p>
        </w:tc>
        <w:tc>
          <w:tcPr>
            <w:tcW w:w="0" w:type="auto"/>
          </w:tcPr>
          <w:p w14:paraId="2D0659AC" w14:textId="77777777" w:rsidR="00A77B3E" w:rsidRPr="00800D1B" w:rsidRDefault="00623E14" w:rsidP="00722CEA">
            <w:pPr>
              <w:spacing w:before="100" w:after="100"/>
              <w:ind w:left="-72"/>
              <w:rPr>
                <w:color w:val="000000"/>
                <w:sz w:val="20"/>
                <w:lang w:val="sv-SE"/>
              </w:rPr>
            </w:pPr>
            <w:r w:rsidRPr="00800D1B">
              <w:rPr>
                <w:color w:val="000000"/>
                <w:sz w:val="20"/>
                <w:lang w:val="sv-SE"/>
              </w:rPr>
              <w:t>Värdet av digitala tjänster, produkter och processer som utvecklats för företag</w:t>
            </w:r>
          </w:p>
        </w:tc>
        <w:tc>
          <w:tcPr>
            <w:tcW w:w="0" w:type="auto"/>
          </w:tcPr>
          <w:p w14:paraId="2D0659AD" w14:textId="77777777" w:rsidR="00A77B3E" w:rsidRPr="00800D1B" w:rsidRDefault="00623E14" w:rsidP="00722CEA">
            <w:pPr>
              <w:spacing w:before="100" w:after="100"/>
              <w:ind w:left="-72"/>
              <w:rPr>
                <w:color w:val="000000"/>
                <w:sz w:val="20"/>
                <w:lang w:val="sv-SE"/>
              </w:rPr>
            </w:pPr>
            <w:r w:rsidRPr="00800D1B">
              <w:rPr>
                <w:color w:val="000000"/>
                <w:sz w:val="20"/>
                <w:lang w:val="sv-SE"/>
              </w:rPr>
              <w:t>euro</w:t>
            </w:r>
          </w:p>
        </w:tc>
        <w:tc>
          <w:tcPr>
            <w:tcW w:w="0" w:type="auto"/>
          </w:tcPr>
          <w:p w14:paraId="2D0659AE" w14:textId="77777777" w:rsidR="00A77B3E" w:rsidRPr="00800D1B" w:rsidRDefault="00623E14" w:rsidP="00722CEA">
            <w:pPr>
              <w:spacing w:before="100" w:after="100"/>
              <w:ind w:left="-72"/>
              <w:jc w:val="right"/>
              <w:rPr>
                <w:color w:val="000000"/>
                <w:sz w:val="20"/>
                <w:lang w:val="sv-SE"/>
              </w:rPr>
            </w:pPr>
            <w:r w:rsidRPr="00800D1B">
              <w:rPr>
                <w:color w:val="000000"/>
                <w:sz w:val="20"/>
                <w:lang w:val="sv-SE"/>
              </w:rPr>
              <w:t>56 736,00</w:t>
            </w:r>
          </w:p>
        </w:tc>
        <w:tc>
          <w:tcPr>
            <w:tcW w:w="0" w:type="auto"/>
          </w:tcPr>
          <w:p w14:paraId="2D0659AF" w14:textId="77777777" w:rsidR="00A77B3E" w:rsidRPr="00800D1B" w:rsidRDefault="00623E14" w:rsidP="00722CEA">
            <w:pPr>
              <w:spacing w:before="100" w:after="100"/>
              <w:ind w:left="-72"/>
              <w:jc w:val="right"/>
              <w:rPr>
                <w:color w:val="000000"/>
                <w:sz w:val="20"/>
                <w:lang w:val="sv-SE"/>
              </w:rPr>
            </w:pPr>
            <w:r w:rsidRPr="00800D1B">
              <w:rPr>
                <w:color w:val="000000"/>
                <w:sz w:val="20"/>
                <w:lang w:val="sv-SE"/>
              </w:rPr>
              <w:t>567 357,00</w:t>
            </w:r>
          </w:p>
        </w:tc>
      </w:tr>
      <w:tr w:rsidR="003422DB" w:rsidRPr="00800D1B" w14:paraId="2D0659BA" w14:textId="77777777" w:rsidTr="007C7342">
        <w:tc>
          <w:tcPr>
            <w:tcW w:w="0" w:type="auto"/>
          </w:tcPr>
          <w:p w14:paraId="2D0659B1" w14:textId="77777777" w:rsidR="00A77B3E" w:rsidRPr="00800D1B" w:rsidRDefault="00623E14" w:rsidP="00722CEA">
            <w:pPr>
              <w:spacing w:before="100" w:after="100"/>
              <w:ind w:left="-72"/>
              <w:rPr>
                <w:color w:val="000000"/>
                <w:sz w:val="20"/>
                <w:lang w:val="sv-SE"/>
              </w:rPr>
            </w:pPr>
            <w:r w:rsidRPr="00800D1B">
              <w:rPr>
                <w:color w:val="000000"/>
                <w:sz w:val="20"/>
                <w:lang w:val="sv-SE"/>
              </w:rPr>
              <w:t>3</w:t>
            </w:r>
          </w:p>
        </w:tc>
        <w:tc>
          <w:tcPr>
            <w:tcW w:w="0" w:type="auto"/>
          </w:tcPr>
          <w:p w14:paraId="2D0659B2" w14:textId="77777777" w:rsidR="00A77B3E" w:rsidRPr="00800D1B" w:rsidRDefault="00623E14" w:rsidP="00722CEA">
            <w:pPr>
              <w:spacing w:before="100" w:after="100"/>
              <w:ind w:left="-72"/>
              <w:rPr>
                <w:color w:val="000000"/>
                <w:sz w:val="20"/>
                <w:lang w:val="sv-SE"/>
              </w:rPr>
            </w:pPr>
            <w:r w:rsidRPr="00800D1B">
              <w:rPr>
                <w:color w:val="000000"/>
                <w:sz w:val="20"/>
                <w:lang w:val="sv-SE"/>
              </w:rPr>
              <w:t>RSO1.2</w:t>
            </w:r>
          </w:p>
        </w:tc>
        <w:tc>
          <w:tcPr>
            <w:tcW w:w="0" w:type="auto"/>
          </w:tcPr>
          <w:p w14:paraId="2D0659B3" w14:textId="77777777" w:rsidR="00A77B3E" w:rsidRPr="00800D1B" w:rsidRDefault="00623E14" w:rsidP="00722CEA">
            <w:pPr>
              <w:spacing w:before="100" w:after="100"/>
              <w:ind w:left="-72"/>
              <w:rPr>
                <w:color w:val="000000"/>
                <w:sz w:val="20"/>
                <w:lang w:val="sv-SE"/>
              </w:rPr>
            </w:pPr>
            <w:r w:rsidRPr="00800D1B">
              <w:rPr>
                <w:color w:val="000000"/>
                <w:sz w:val="20"/>
                <w:lang w:val="sv-SE"/>
              </w:rPr>
              <w:t>Eruf</w:t>
            </w:r>
          </w:p>
        </w:tc>
        <w:tc>
          <w:tcPr>
            <w:tcW w:w="0" w:type="auto"/>
          </w:tcPr>
          <w:p w14:paraId="2D0659B4" w14:textId="77777777" w:rsidR="00A77B3E" w:rsidRPr="00800D1B" w:rsidRDefault="00623E14" w:rsidP="00722CEA">
            <w:pPr>
              <w:spacing w:before="100" w:after="100"/>
              <w:ind w:left="-72"/>
              <w:rPr>
                <w:color w:val="000000"/>
                <w:sz w:val="20"/>
                <w:lang w:val="sv-SE"/>
              </w:rPr>
            </w:pPr>
            <w:r w:rsidRPr="00800D1B">
              <w:rPr>
                <w:color w:val="000000"/>
                <w:sz w:val="20"/>
                <w:lang w:val="sv-SE"/>
              </w:rPr>
              <w:t>De yttersta randområdena eller de nordliga glesbefolkade områdena</w:t>
            </w:r>
          </w:p>
        </w:tc>
        <w:tc>
          <w:tcPr>
            <w:tcW w:w="0" w:type="auto"/>
          </w:tcPr>
          <w:p w14:paraId="2D0659B5" w14:textId="77777777" w:rsidR="00A77B3E" w:rsidRPr="00800D1B" w:rsidRDefault="00623E14" w:rsidP="00722CEA">
            <w:pPr>
              <w:spacing w:before="100" w:after="100"/>
              <w:ind w:left="-72"/>
              <w:rPr>
                <w:color w:val="000000"/>
                <w:sz w:val="20"/>
                <w:lang w:val="sv-SE"/>
              </w:rPr>
            </w:pPr>
            <w:r w:rsidRPr="00800D1B">
              <w:rPr>
                <w:color w:val="000000"/>
                <w:sz w:val="20"/>
                <w:lang w:val="sv-SE"/>
              </w:rPr>
              <w:t>RCO14</w:t>
            </w:r>
          </w:p>
        </w:tc>
        <w:tc>
          <w:tcPr>
            <w:tcW w:w="0" w:type="auto"/>
          </w:tcPr>
          <w:p w14:paraId="2D0659B6" w14:textId="77777777" w:rsidR="00A77B3E" w:rsidRPr="00800D1B" w:rsidRDefault="00623E14" w:rsidP="00722CEA">
            <w:pPr>
              <w:spacing w:before="100" w:after="100"/>
              <w:ind w:left="-72"/>
              <w:rPr>
                <w:color w:val="000000"/>
                <w:sz w:val="20"/>
                <w:lang w:val="sv-SE"/>
              </w:rPr>
            </w:pPr>
            <w:r w:rsidRPr="00800D1B">
              <w:rPr>
                <w:color w:val="000000"/>
                <w:sz w:val="20"/>
                <w:lang w:val="sv-SE"/>
              </w:rPr>
              <w:t>Offentliga institutioner som får stöd att digitalisera tjänster, produkter och processer</w:t>
            </w:r>
          </w:p>
        </w:tc>
        <w:tc>
          <w:tcPr>
            <w:tcW w:w="0" w:type="auto"/>
          </w:tcPr>
          <w:p w14:paraId="2D0659B7" w14:textId="77777777" w:rsidR="00A77B3E" w:rsidRPr="00800D1B" w:rsidRDefault="00623E14" w:rsidP="00722CEA">
            <w:pPr>
              <w:spacing w:before="100" w:after="100"/>
              <w:ind w:left="-72"/>
              <w:rPr>
                <w:color w:val="000000"/>
                <w:sz w:val="20"/>
                <w:lang w:val="sv-SE"/>
              </w:rPr>
            </w:pPr>
            <w:r w:rsidRPr="00800D1B">
              <w:rPr>
                <w:color w:val="000000"/>
                <w:sz w:val="20"/>
                <w:lang w:val="sv-SE"/>
              </w:rPr>
              <w:t>offentliga institutioner</w:t>
            </w:r>
          </w:p>
        </w:tc>
        <w:tc>
          <w:tcPr>
            <w:tcW w:w="0" w:type="auto"/>
          </w:tcPr>
          <w:p w14:paraId="2D0659B8" w14:textId="77777777" w:rsidR="00A77B3E" w:rsidRPr="00800D1B" w:rsidRDefault="00623E14" w:rsidP="00722CEA">
            <w:pPr>
              <w:spacing w:before="100" w:after="100"/>
              <w:ind w:left="-72"/>
              <w:jc w:val="right"/>
              <w:rPr>
                <w:color w:val="000000"/>
                <w:sz w:val="20"/>
                <w:lang w:val="sv-SE"/>
              </w:rPr>
            </w:pPr>
            <w:r w:rsidRPr="00800D1B">
              <w:rPr>
                <w:color w:val="000000"/>
                <w:sz w:val="20"/>
                <w:lang w:val="sv-SE"/>
              </w:rPr>
              <w:t>0,00</w:t>
            </w:r>
          </w:p>
        </w:tc>
        <w:tc>
          <w:tcPr>
            <w:tcW w:w="0" w:type="auto"/>
          </w:tcPr>
          <w:p w14:paraId="2D0659B9" w14:textId="77777777" w:rsidR="00A77B3E" w:rsidRPr="00800D1B" w:rsidRDefault="00623E14" w:rsidP="00722CEA">
            <w:pPr>
              <w:spacing w:before="100" w:after="100"/>
              <w:ind w:left="-72"/>
              <w:jc w:val="right"/>
              <w:rPr>
                <w:color w:val="000000"/>
                <w:sz w:val="20"/>
                <w:lang w:val="sv-SE"/>
              </w:rPr>
            </w:pPr>
            <w:r w:rsidRPr="00800D1B">
              <w:rPr>
                <w:color w:val="000000"/>
                <w:sz w:val="20"/>
                <w:lang w:val="sv-SE"/>
              </w:rPr>
              <w:t>1,00</w:t>
            </w:r>
          </w:p>
        </w:tc>
      </w:tr>
      <w:tr w:rsidR="003422DB" w:rsidRPr="00800D1B" w14:paraId="2D0659C4" w14:textId="77777777" w:rsidTr="007C7342">
        <w:tc>
          <w:tcPr>
            <w:tcW w:w="0" w:type="auto"/>
          </w:tcPr>
          <w:p w14:paraId="2D0659BB" w14:textId="77777777" w:rsidR="00A77B3E" w:rsidRPr="00800D1B" w:rsidRDefault="00623E14" w:rsidP="00722CEA">
            <w:pPr>
              <w:spacing w:before="100" w:after="100"/>
              <w:ind w:left="-72"/>
              <w:rPr>
                <w:color w:val="000000"/>
                <w:sz w:val="20"/>
                <w:lang w:val="sv-SE"/>
              </w:rPr>
            </w:pPr>
            <w:r w:rsidRPr="00800D1B">
              <w:rPr>
                <w:color w:val="000000"/>
                <w:sz w:val="20"/>
                <w:lang w:val="sv-SE"/>
              </w:rPr>
              <w:t>3</w:t>
            </w:r>
          </w:p>
        </w:tc>
        <w:tc>
          <w:tcPr>
            <w:tcW w:w="0" w:type="auto"/>
          </w:tcPr>
          <w:p w14:paraId="2D0659BC" w14:textId="77777777" w:rsidR="00A77B3E" w:rsidRPr="00800D1B" w:rsidRDefault="00623E14" w:rsidP="00722CEA">
            <w:pPr>
              <w:spacing w:before="100" w:after="100"/>
              <w:ind w:left="-72"/>
              <w:rPr>
                <w:color w:val="000000"/>
                <w:sz w:val="20"/>
                <w:lang w:val="sv-SE"/>
              </w:rPr>
            </w:pPr>
            <w:r w:rsidRPr="00800D1B">
              <w:rPr>
                <w:color w:val="000000"/>
                <w:sz w:val="20"/>
                <w:lang w:val="sv-SE"/>
              </w:rPr>
              <w:t>RSO1.2</w:t>
            </w:r>
          </w:p>
        </w:tc>
        <w:tc>
          <w:tcPr>
            <w:tcW w:w="0" w:type="auto"/>
          </w:tcPr>
          <w:p w14:paraId="2D0659BD" w14:textId="77777777" w:rsidR="00A77B3E" w:rsidRPr="00800D1B" w:rsidRDefault="00623E14" w:rsidP="00722CEA">
            <w:pPr>
              <w:spacing w:before="100" w:after="100"/>
              <w:ind w:left="-72"/>
              <w:rPr>
                <w:color w:val="000000"/>
                <w:sz w:val="20"/>
                <w:lang w:val="sv-SE"/>
              </w:rPr>
            </w:pPr>
            <w:r w:rsidRPr="00800D1B">
              <w:rPr>
                <w:color w:val="000000"/>
                <w:sz w:val="20"/>
                <w:lang w:val="sv-SE"/>
              </w:rPr>
              <w:t>Eruf</w:t>
            </w:r>
          </w:p>
        </w:tc>
        <w:tc>
          <w:tcPr>
            <w:tcW w:w="0" w:type="auto"/>
          </w:tcPr>
          <w:p w14:paraId="2D0659BE" w14:textId="77777777" w:rsidR="00A77B3E" w:rsidRPr="00800D1B" w:rsidRDefault="00623E14" w:rsidP="00722CEA">
            <w:pPr>
              <w:spacing w:before="100" w:after="100"/>
              <w:ind w:left="-72"/>
              <w:rPr>
                <w:color w:val="000000"/>
                <w:sz w:val="20"/>
                <w:lang w:val="sv-SE"/>
              </w:rPr>
            </w:pPr>
            <w:r w:rsidRPr="00800D1B">
              <w:rPr>
                <w:color w:val="000000"/>
                <w:sz w:val="20"/>
                <w:lang w:val="sv-SE"/>
              </w:rPr>
              <w:t>De yttersta randområdena eller de nordliga glesbefolkade områdena</w:t>
            </w:r>
          </w:p>
        </w:tc>
        <w:tc>
          <w:tcPr>
            <w:tcW w:w="0" w:type="auto"/>
          </w:tcPr>
          <w:p w14:paraId="2D0659BF" w14:textId="77777777" w:rsidR="00A77B3E" w:rsidRPr="00800D1B" w:rsidRDefault="00623E14" w:rsidP="00722CEA">
            <w:pPr>
              <w:spacing w:before="100" w:after="100"/>
              <w:ind w:left="-72"/>
              <w:rPr>
                <w:color w:val="000000"/>
                <w:sz w:val="20"/>
                <w:lang w:val="sv-SE"/>
              </w:rPr>
            </w:pPr>
            <w:r w:rsidRPr="00800D1B">
              <w:rPr>
                <w:color w:val="000000"/>
                <w:sz w:val="20"/>
                <w:lang w:val="sv-SE"/>
              </w:rPr>
              <w:t>SWO01</w:t>
            </w:r>
          </w:p>
        </w:tc>
        <w:tc>
          <w:tcPr>
            <w:tcW w:w="0" w:type="auto"/>
          </w:tcPr>
          <w:p w14:paraId="2D0659C0" w14:textId="77777777" w:rsidR="00A77B3E" w:rsidRPr="00800D1B" w:rsidRDefault="00623E14" w:rsidP="00722CEA">
            <w:pPr>
              <w:spacing w:before="100" w:after="100"/>
              <w:ind w:left="-72"/>
              <w:rPr>
                <w:color w:val="000000"/>
                <w:sz w:val="20"/>
                <w:lang w:val="sv-SE"/>
              </w:rPr>
            </w:pPr>
            <w:r w:rsidRPr="00800D1B">
              <w:rPr>
                <w:color w:val="000000"/>
                <w:sz w:val="20"/>
                <w:lang w:val="sv-SE"/>
              </w:rPr>
              <w:t>Antal organisationer som får stöd</w:t>
            </w:r>
          </w:p>
        </w:tc>
        <w:tc>
          <w:tcPr>
            <w:tcW w:w="0" w:type="auto"/>
          </w:tcPr>
          <w:p w14:paraId="2D0659C1" w14:textId="77777777" w:rsidR="00A77B3E" w:rsidRPr="00800D1B" w:rsidRDefault="00623E14" w:rsidP="00722CEA">
            <w:pPr>
              <w:spacing w:before="100" w:after="100"/>
              <w:ind w:left="-72"/>
              <w:rPr>
                <w:color w:val="000000"/>
                <w:sz w:val="20"/>
                <w:lang w:val="sv-SE"/>
              </w:rPr>
            </w:pPr>
            <w:r w:rsidRPr="00800D1B">
              <w:rPr>
                <w:color w:val="000000"/>
                <w:sz w:val="20"/>
                <w:lang w:val="sv-SE"/>
              </w:rPr>
              <w:t>Organisationer</w:t>
            </w:r>
          </w:p>
        </w:tc>
        <w:tc>
          <w:tcPr>
            <w:tcW w:w="0" w:type="auto"/>
          </w:tcPr>
          <w:p w14:paraId="2D0659C2" w14:textId="77777777" w:rsidR="00A77B3E" w:rsidRPr="00800D1B" w:rsidRDefault="00623E14" w:rsidP="00722CEA">
            <w:pPr>
              <w:spacing w:before="100" w:after="100"/>
              <w:ind w:left="-72"/>
              <w:jc w:val="right"/>
              <w:rPr>
                <w:color w:val="000000"/>
                <w:sz w:val="20"/>
                <w:lang w:val="sv-SE"/>
              </w:rPr>
            </w:pPr>
            <w:r w:rsidRPr="00800D1B">
              <w:rPr>
                <w:color w:val="000000"/>
                <w:sz w:val="20"/>
                <w:lang w:val="sv-SE"/>
              </w:rPr>
              <w:t>0,00</w:t>
            </w:r>
          </w:p>
        </w:tc>
        <w:tc>
          <w:tcPr>
            <w:tcW w:w="0" w:type="auto"/>
          </w:tcPr>
          <w:p w14:paraId="2D0659C3" w14:textId="77777777" w:rsidR="00A77B3E" w:rsidRPr="00800D1B" w:rsidRDefault="00623E14" w:rsidP="00722CEA">
            <w:pPr>
              <w:spacing w:before="100" w:after="100"/>
              <w:ind w:left="-72"/>
              <w:jc w:val="right"/>
              <w:rPr>
                <w:color w:val="000000"/>
                <w:sz w:val="20"/>
                <w:lang w:val="sv-SE"/>
              </w:rPr>
            </w:pPr>
            <w:r w:rsidRPr="00800D1B">
              <w:rPr>
                <w:color w:val="000000"/>
                <w:sz w:val="20"/>
                <w:lang w:val="sv-SE"/>
              </w:rPr>
              <w:t>1,00</w:t>
            </w:r>
          </w:p>
        </w:tc>
      </w:tr>
    </w:tbl>
    <w:p w14:paraId="2D0659C6" w14:textId="77777777" w:rsidR="00A77B3E" w:rsidRPr="00800D1B" w:rsidRDefault="00623E14" w:rsidP="004A3429">
      <w:pPr>
        <w:spacing w:before="360"/>
        <w:rPr>
          <w:color w:val="000000"/>
          <w:sz w:val="0"/>
          <w:lang w:val="sv-SE"/>
        </w:rPr>
      </w:pPr>
      <w:r w:rsidRPr="00800D1B">
        <w:rPr>
          <w:color w:val="000000"/>
          <w:lang w:val="sv-SE"/>
        </w:rPr>
        <w:t>Referens: Artikel 22.3 d ii i förordningen om gemensamma bestämmelser</w:t>
      </w:r>
    </w:p>
    <w:p w14:paraId="2D0659C7" w14:textId="3EFBFF43" w:rsidR="00A77B3E" w:rsidRPr="00800D1B" w:rsidRDefault="00623E14" w:rsidP="00431BFA">
      <w:pPr>
        <w:spacing w:before="100" w:after="100"/>
        <w:rPr>
          <w:lang w:val="sv-SE"/>
        </w:rPr>
      </w:pPr>
      <w:bookmarkStart w:id="51" w:name="_Toc256000292"/>
      <w:r w:rsidRPr="00800D1B">
        <w:rPr>
          <w:lang w:val="sv-SE"/>
        </w:rPr>
        <w:t>Tabell 3: Resultatindikatorer</w:t>
      </w:r>
      <w:bookmarkEnd w:id="51"/>
    </w:p>
    <w:p w14:paraId="2D0659C8" w14:textId="77777777" w:rsidR="00A77B3E" w:rsidRPr="00800D1B" w:rsidRDefault="00A77B3E">
      <w:pPr>
        <w:spacing w:before="100"/>
        <w:rPr>
          <w:color w:val="000000"/>
          <w:sz w:val="0"/>
          <w:lang w:val="sv-SE"/>
        </w:rPr>
      </w:pPr>
    </w:p>
    <w:tbl>
      <w:tblPr>
        <w:tblStyle w:val="Tabellrutnt"/>
        <w:tblW w:w="5000" w:type="pct"/>
        <w:tblLook w:val="04A0" w:firstRow="1" w:lastRow="0" w:firstColumn="1" w:lastColumn="0" w:noHBand="0" w:noVBand="1"/>
        <w:tblDescription w:val="En tabell med tolv kolumner: Prioritering; Specifikt mål; Fond; Regionkategori; ID; Indikator; Mätenhet; Utgångsvärde eller referensvärde; Referensår; Mål (2029); Datakälla; Kommentarer. Tabellen visar information om Resultatindikatorer."/>
      </w:tblPr>
      <w:tblGrid>
        <w:gridCol w:w="1078"/>
        <w:gridCol w:w="919"/>
        <w:gridCol w:w="568"/>
        <w:gridCol w:w="1879"/>
        <w:gridCol w:w="790"/>
        <w:gridCol w:w="2965"/>
        <w:gridCol w:w="1345"/>
        <w:gridCol w:w="1447"/>
        <w:gridCol w:w="1023"/>
        <w:gridCol w:w="968"/>
        <w:gridCol w:w="923"/>
        <w:gridCol w:w="1267"/>
      </w:tblGrid>
      <w:tr w:rsidR="003422DB" w:rsidRPr="00800D1B" w14:paraId="2D0659D5" w14:textId="77777777" w:rsidTr="00722CEA">
        <w:tc>
          <w:tcPr>
            <w:tcW w:w="0" w:type="auto"/>
          </w:tcPr>
          <w:p w14:paraId="2D0659C9" w14:textId="77777777" w:rsidR="00A77B3E" w:rsidRPr="00800D1B" w:rsidRDefault="00623E14" w:rsidP="00722CEA">
            <w:pPr>
              <w:spacing w:before="100" w:after="100"/>
              <w:ind w:left="-72"/>
              <w:jc w:val="center"/>
              <w:rPr>
                <w:color w:val="000000"/>
                <w:sz w:val="20"/>
                <w:lang w:val="sv-SE"/>
              </w:rPr>
            </w:pPr>
            <w:r w:rsidRPr="00800D1B">
              <w:rPr>
                <w:color w:val="000000"/>
                <w:sz w:val="20"/>
                <w:lang w:val="sv-SE"/>
              </w:rPr>
              <w:t>Prioritering</w:t>
            </w:r>
          </w:p>
        </w:tc>
        <w:tc>
          <w:tcPr>
            <w:tcW w:w="0" w:type="auto"/>
          </w:tcPr>
          <w:p w14:paraId="2D0659CA" w14:textId="77777777" w:rsidR="00A77B3E" w:rsidRPr="00800D1B" w:rsidRDefault="00623E14" w:rsidP="00722CEA">
            <w:pPr>
              <w:spacing w:before="100" w:after="100"/>
              <w:ind w:left="-72" w:right="-96"/>
              <w:jc w:val="center"/>
              <w:rPr>
                <w:color w:val="000000"/>
                <w:sz w:val="20"/>
                <w:lang w:val="sv-SE"/>
              </w:rPr>
            </w:pPr>
            <w:r w:rsidRPr="00800D1B">
              <w:rPr>
                <w:color w:val="000000"/>
                <w:sz w:val="20"/>
                <w:lang w:val="sv-SE"/>
              </w:rPr>
              <w:t>Specifikt mål</w:t>
            </w:r>
          </w:p>
        </w:tc>
        <w:tc>
          <w:tcPr>
            <w:tcW w:w="0" w:type="auto"/>
          </w:tcPr>
          <w:p w14:paraId="2D0659CB" w14:textId="77777777" w:rsidR="00A77B3E" w:rsidRPr="00800D1B" w:rsidRDefault="00623E14" w:rsidP="00722CEA">
            <w:pPr>
              <w:spacing w:before="100" w:after="100"/>
              <w:ind w:left="-72"/>
              <w:jc w:val="center"/>
              <w:rPr>
                <w:color w:val="000000"/>
                <w:sz w:val="20"/>
                <w:lang w:val="sv-SE"/>
              </w:rPr>
            </w:pPr>
            <w:r w:rsidRPr="00800D1B">
              <w:rPr>
                <w:color w:val="000000"/>
                <w:sz w:val="20"/>
                <w:lang w:val="sv-SE"/>
              </w:rPr>
              <w:t>Fond</w:t>
            </w:r>
          </w:p>
        </w:tc>
        <w:tc>
          <w:tcPr>
            <w:tcW w:w="0" w:type="auto"/>
          </w:tcPr>
          <w:p w14:paraId="2D0659CC" w14:textId="77777777" w:rsidR="00A77B3E" w:rsidRPr="00800D1B" w:rsidRDefault="00623E14" w:rsidP="00722CEA">
            <w:pPr>
              <w:spacing w:before="100" w:after="100"/>
              <w:ind w:left="-72"/>
              <w:jc w:val="center"/>
              <w:rPr>
                <w:color w:val="000000"/>
                <w:sz w:val="20"/>
                <w:lang w:val="sv-SE"/>
              </w:rPr>
            </w:pPr>
            <w:r w:rsidRPr="00800D1B">
              <w:rPr>
                <w:color w:val="000000"/>
                <w:sz w:val="20"/>
                <w:lang w:val="sv-SE"/>
              </w:rPr>
              <w:t>Regionkategori</w:t>
            </w:r>
          </w:p>
        </w:tc>
        <w:tc>
          <w:tcPr>
            <w:tcW w:w="0" w:type="auto"/>
          </w:tcPr>
          <w:p w14:paraId="2D0659CD" w14:textId="77777777" w:rsidR="00A77B3E" w:rsidRPr="00800D1B" w:rsidRDefault="00623E14" w:rsidP="00722CEA">
            <w:pPr>
              <w:spacing w:before="100" w:after="100"/>
              <w:ind w:left="-72"/>
              <w:jc w:val="center"/>
              <w:rPr>
                <w:color w:val="000000"/>
                <w:sz w:val="20"/>
                <w:lang w:val="sv-SE"/>
              </w:rPr>
            </w:pPr>
            <w:r w:rsidRPr="00800D1B">
              <w:rPr>
                <w:color w:val="000000"/>
                <w:sz w:val="20"/>
                <w:lang w:val="sv-SE"/>
              </w:rPr>
              <w:t>ID</w:t>
            </w:r>
          </w:p>
        </w:tc>
        <w:tc>
          <w:tcPr>
            <w:tcW w:w="0" w:type="auto"/>
          </w:tcPr>
          <w:p w14:paraId="2D0659CE" w14:textId="77777777" w:rsidR="00A77B3E" w:rsidRPr="00800D1B" w:rsidRDefault="00623E14" w:rsidP="00722CEA">
            <w:pPr>
              <w:spacing w:before="100" w:after="100"/>
              <w:ind w:left="-72"/>
              <w:jc w:val="center"/>
              <w:rPr>
                <w:color w:val="000000"/>
                <w:sz w:val="20"/>
                <w:lang w:val="sv-SE"/>
              </w:rPr>
            </w:pPr>
            <w:r w:rsidRPr="00800D1B">
              <w:rPr>
                <w:color w:val="000000"/>
                <w:sz w:val="20"/>
                <w:lang w:val="sv-SE"/>
              </w:rPr>
              <w:t>Indikator</w:t>
            </w:r>
          </w:p>
        </w:tc>
        <w:tc>
          <w:tcPr>
            <w:tcW w:w="0" w:type="auto"/>
          </w:tcPr>
          <w:p w14:paraId="2D0659CF" w14:textId="77777777" w:rsidR="00A77B3E" w:rsidRPr="00800D1B" w:rsidRDefault="00623E14" w:rsidP="00722CEA">
            <w:pPr>
              <w:spacing w:before="100" w:after="100"/>
              <w:ind w:left="-72"/>
              <w:jc w:val="center"/>
              <w:rPr>
                <w:color w:val="000000"/>
                <w:sz w:val="20"/>
                <w:lang w:val="sv-SE"/>
              </w:rPr>
            </w:pPr>
            <w:r w:rsidRPr="00800D1B">
              <w:rPr>
                <w:color w:val="000000"/>
                <w:sz w:val="20"/>
                <w:lang w:val="sv-SE"/>
              </w:rPr>
              <w:t>Mätenhet</w:t>
            </w:r>
          </w:p>
        </w:tc>
        <w:tc>
          <w:tcPr>
            <w:tcW w:w="0" w:type="auto"/>
          </w:tcPr>
          <w:p w14:paraId="2D0659D0" w14:textId="77777777" w:rsidR="00A77B3E" w:rsidRPr="00800D1B" w:rsidRDefault="00623E14" w:rsidP="00722CEA">
            <w:pPr>
              <w:spacing w:before="100" w:after="100"/>
              <w:ind w:left="-72"/>
              <w:jc w:val="center"/>
              <w:rPr>
                <w:color w:val="000000"/>
                <w:sz w:val="20"/>
                <w:lang w:val="sv-SE"/>
              </w:rPr>
            </w:pPr>
            <w:r w:rsidRPr="00800D1B">
              <w:rPr>
                <w:color w:val="000000"/>
                <w:sz w:val="20"/>
                <w:lang w:val="sv-SE"/>
              </w:rPr>
              <w:t>Utgångsvärde eller referensvärde</w:t>
            </w:r>
          </w:p>
        </w:tc>
        <w:tc>
          <w:tcPr>
            <w:tcW w:w="0" w:type="auto"/>
          </w:tcPr>
          <w:p w14:paraId="2D0659D1" w14:textId="77777777" w:rsidR="00A77B3E" w:rsidRPr="00800D1B" w:rsidRDefault="00623E14" w:rsidP="00722CEA">
            <w:pPr>
              <w:spacing w:before="100" w:after="100"/>
              <w:ind w:left="-72"/>
              <w:jc w:val="center"/>
              <w:rPr>
                <w:color w:val="000000"/>
                <w:sz w:val="20"/>
                <w:lang w:val="sv-SE"/>
              </w:rPr>
            </w:pPr>
            <w:r w:rsidRPr="00800D1B">
              <w:rPr>
                <w:color w:val="000000"/>
                <w:sz w:val="20"/>
                <w:lang w:val="sv-SE"/>
              </w:rPr>
              <w:t>Referensår</w:t>
            </w:r>
          </w:p>
        </w:tc>
        <w:tc>
          <w:tcPr>
            <w:tcW w:w="0" w:type="auto"/>
          </w:tcPr>
          <w:p w14:paraId="2D0659D2" w14:textId="77777777" w:rsidR="00A77B3E" w:rsidRPr="00800D1B" w:rsidRDefault="00623E14" w:rsidP="00722CEA">
            <w:pPr>
              <w:spacing w:before="100" w:after="100"/>
              <w:ind w:left="-72"/>
              <w:jc w:val="center"/>
              <w:rPr>
                <w:color w:val="000000"/>
                <w:sz w:val="20"/>
                <w:lang w:val="sv-SE"/>
              </w:rPr>
            </w:pPr>
            <w:r w:rsidRPr="00800D1B">
              <w:rPr>
                <w:color w:val="000000"/>
                <w:sz w:val="20"/>
                <w:lang w:val="sv-SE"/>
              </w:rPr>
              <w:t>Mål (2029)</w:t>
            </w:r>
          </w:p>
        </w:tc>
        <w:tc>
          <w:tcPr>
            <w:tcW w:w="0" w:type="auto"/>
          </w:tcPr>
          <w:p w14:paraId="2D0659D3" w14:textId="77777777" w:rsidR="00A77B3E" w:rsidRPr="00800D1B" w:rsidRDefault="00623E14" w:rsidP="00722CEA">
            <w:pPr>
              <w:spacing w:before="100" w:after="100"/>
              <w:ind w:left="-72"/>
              <w:jc w:val="center"/>
              <w:rPr>
                <w:color w:val="000000"/>
                <w:sz w:val="20"/>
                <w:lang w:val="sv-SE"/>
              </w:rPr>
            </w:pPr>
            <w:r w:rsidRPr="00800D1B">
              <w:rPr>
                <w:color w:val="000000"/>
                <w:sz w:val="20"/>
                <w:lang w:val="sv-SE"/>
              </w:rPr>
              <w:t>Datakälla</w:t>
            </w:r>
          </w:p>
        </w:tc>
        <w:tc>
          <w:tcPr>
            <w:tcW w:w="0" w:type="auto"/>
          </w:tcPr>
          <w:p w14:paraId="2D0659D4" w14:textId="77777777" w:rsidR="00A77B3E" w:rsidRPr="00800D1B" w:rsidRDefault="00623E14" w:rsidP="00722CEA">
            <w:pPr>
              <w:spacing w:before="100" w:after="100"/>
              <w:ind w:left="-72"/>
              <w:jc w:val="center"/>
              <w:rPr>
                <w:color w:val="000000"/>
                <w:sz w:val="20"/>
                <w:lang w:val="sv-SE"/>
              </w:rPr>
            </w:pPr>
            <w:r w:rsidRPr="00800D1B">
              <w:rPr>
                <w:color w:val="000000"/>
                <w:sz w:val="20"/>
                <w:lang w:val="sv-SE"/>
              </w:rPr>
              <w:t>Kommentarer</w:t>
            </w:r>
          </w:p>
        </w:tc>
      </w:tr>
      <w:tr w:rsidR="003422DB" w:rsidRPr="00800D1B" w14:paraId="2D0659E2" w14:textId="77777777" w:rsidTr="00722CEA">
        <w:tc>
          <w:tcPr>
            <w:tcW w:w="0" w:type="auto"/>
          </w:tcPr>
          <w:p w14:paraId="2D0659D6" w14:textId="77777777" w:rsidR="00A77B3E" w:rsidRPr="00800D1B" w:rsidRDefault="00623E14" w:rsidP="00722CEA">
            <w:pPr>
              <w:spacing w:before="100" w:after="100"/>
              <w:ind w:left="-72"/>
              <w:rPr>
                <w:color w:val="000000"/>
                <w:sz w:val="20"/>
                <w:lang w:val="sv-SE"/>
              </w:rPr>
            </w:pPr>
            <w:r w:rsidRPr="00800D1B">
              <w:rPr>
                <w:color w:val="000000"/>
                <w:sz w:val="20"/>
                <w:lang w:val="sv-SE"/>
              </w:rPr>
              <w:t>3</w:t>
            </w:r>
          </w:p>
        </w:tc>
        <w:tc>
          <w:tcPr>
            <w:tcW w:w="0" w:type="auto"/>
          </w:tcPr>
          <w:p w14:paraId="2D0659D7" w14:textId="77777777" w:rsidR="00A77B3E" w:rsidRPr="00800D1B" w:rsidRDefault="00623E14" w:rsidP="00722CEA">
            <w:pPr>
              <w:spacing w:before="100" w:after="100"/>
              <w:ind w:left="-72"/>
              <w:rPr>
                <w:color w:val="000000"/>
                <w:sz w:val="20"/>
                <w:lang w:val="sv-SE"/>
              </w:rPr>
            </w:pPr>
            <w:r w:rsidRPr="00800D1B">
              <w:rPr>
                <w:color w:val="000000"/>
                <w:sz w:val="20"/>
                <w:lang w:val="sv-SE"/>
              </w:rPr>
              <w:t>RSO1.2</w:t>
            </w:r>
          </w:p>
        </w:tc>
        <w:tc>
          <w:tcPr>
            <w:tcW w:w="0" w:type="auto"/>
          </w:tcPr>
          <w:p w14:paraId="2D0659D8" w14:textId="77777777" w:rsidR="00A77B3E" w:rsidRPr="00800D1B" w:rsidRDefault="00623E14" w:rsidP="00722CEA">
            <w:pPr>
              <w:spacing w:before="100" w:after="100"/>
              <w:ind w:left="-72"/>
              <w:rPr>
                <w:color w:val="000000"/>
                <w:sz w:val="20"/>
                <w:lang w:val="sv-SE"/>
              </w:rPr>
            </w:pPr>
            <w:r w:rsidRPr="00800D1B">
              <w:rPr>
                <w:color w:val="000000"/>
                <w:sz w:val="20"/>
                <w:lang w:val="sv-SE"/>
              </w:rPr>
              <w:t>Eruf</w:t>
            </w:r>
          </w:p>
        </w:tc>
        <w:tc>
          <w:tcPr>
            <w:tcW w:w="0" w:type="auto"/>
          </w:tcPr>
          <w:p w14:paraId="2D0659D9" w14:textId="77777777" w:rsidR="00A77B3E" w:rsidRPr="00800D1B" w:rsidRDefault="00623E14" w:rsidP="00722CEA">
            <w:pPr>
              <w:spacing w:before="100" w:after="100"/>
              <w:ind w:left="-72"/>
              <w:rPr>
                <w:color w:val="000000"/>
                <w:sz w:val="20"/>
                <w:lang w:val="sv-SE"/>
              </w:rPr>
            </w:pPr>
            <w:r w:rsidRPr="00800D1B">
              <w:rPr>
                <w:color w:val="000000"/>
                <w:sz w:val="20"/>
                <w:lang w:val="sv-SE"/>
              </w:rPr>
              <w:t>Mer utvecklade regioner</w:t>
            </w:r>
          </w:p>
        </w:tc>
        <w:tc>
          <w:tcPr>
            <w:tcW w:w="0" w:type="auto"/>
          </w:tcPr>
          <w:p w14:paraId="2D0659DA" w14:textId="77777777" w:rsidR="00A77B3E" w:rsidRPr="00800D1B" w:rsidRDefault="00623E14" w:rsidP="00722CEA">
            <w:pPr>
              <w:spacing w:before="100" w:after="100"/>
              <w:ind w:left="-72"/>
              <w:rPr>
                <w:color w:val="000000"/>
                <w:sz w:val="20"/>
                <w:lang w:val="sv-SE"/>
              </w:rPr>
            </w:pPr>
            <w:r w:rsidRPr="00800D1B">
              <w:rPr>
                <w:color w:val="000000"/>
                <w:sz w:val="20"/>
                <w:lang w:val="sv-SE"/>
              </w:rPr>
              <w:t>RCR03</w:t>
            </w:r>
          </w:p>
        </w:tc>
        <w:tc>
          <w:tcPr>
            <w:tcW w:w="0" w:type="auto"/>
          </w:tcPr>
          <w:p w14:paraId="2D0659DB" w14:textId="77777777" w:rsidR="00A77B3E" w:rsidRPr="00800D1B" w:rsidRDefault="00623E14" w:rsidP="00722CEA">
            <w:pPr>
              <w:spacing w:before="100" w:after="100"/>
              <w:ind w:left="-72"/>
              <w:rPr>
                <w:color w:val="000000"/>
                <w:sz w:val="20"/>
                <w:lang w:val="sv-SE"/>
              </w:rPr>
            </w:pPr>
            <w:r w:rsidRPr="00800D1B">
              <w:rPr>
                <w:color w:val="000000"/>
                <w:sz w:val="20"/>
                <w:lang w:val="sv-SE"/>
              </w:rPr>
              <w:t>Små och medelstora företag (SMF) som inför produkt- eller processinnovationer</w:t>
            </w:r>
          </w:p>
        </w:tc>
        <w:tc>
          <w:tcPr>
            <w:tcW w:w="0" w:type="auto"/>
          </w:tcPr>
          <w:p w14:paraId="2D0659DC" w14:textId="77777777" w:rsidR="00A77B3E" w:rsidRPr="00800D1B" w:rsidRDefault="00623E14" w:rsidP="00722CEA">
            <w:pPr>
              <w:spacing w:before="100" w:after="100"/>
              <w:ind w:left="-72"/>
              <w:rPr>
                <w:color w:val="000000"/>
                <w:sz w:val="20"/>
                <w:lang w:val="sv-SE"/>
              </w:rPr>
            </w:pPr>
            <w:r w:rsidRPr="00800D1B">
              <w:rPr>
                <w:color w:val="000000"/>
                <w:sz w:val="20"/>
                <w:lang w:val="sv-SE"/>
              </w:rPr>
              <w:t>företag</w:t>
            </w:r>
          </w:p>
        </w:tc>
        <w:tc>
          <w:tcPr>
            <w:tcW w:w="0" w:type="auto"/>
          </w:tcPr>
          <w:p w14:paraId="2D0659DD" w14:textId="77777777" w:rsidR="00A77B3E" w:rsidRPr="00800D1B" w:rsidRDefault="00623E14" w:rsidP="00722CEA">
            <w:pPr>
              <w:spacing w:before="100" w:after="100"/>
              <w:ind w:left="-72"/>
              <w:jc w:val="right"/>
              <w:rPr>
                <w:color w:val="000000"/>
                <w:sz w:val="20"/>
                <w:lang w:val="sv-SE"/>
              </w:rPr>
            </w:pPr>
            <w:r w:rsidRPr="00800D1B">
              <w:rPr>
                <w:color w:val="000000"/>
                <w:sz w:val="20"/>
                <w:lang w:val="sv-SE"/>
              </w:rPr>
              <w:t>0,00</w:t>
            </w:r>
          </w:p>
        </w:tc>
        <w:tc>
          <w:tcPr>
            <w:tcW w:w="0" w:type="auto"/>
          </w:tcPr>
          <w:p w14:paraId="2D0659DE" w14:textId="77777777" w:rsidR="00A77B3E" w:rsidRPr="00800D1B" w:rsidRDefault="00623E14" w:rsidP="00722CEA">
            <w:pPr>
              <w:spacing w:before="100" w:after="100"/>
              <w:ind w:left="-72"/>
              <w:jc w:val="center"/>
              <w:rPr>
                <w:color w:val="000000"/>
                <w:sz w:val="20"/>
                <w:lang w:val="sv-SE"/>
              </w:rPr>
            </w:pPr>
            <w:r w:rsidRPr="00800D1B">
              <w:rPr>
                <w:color w:val="000000"/>
                <w:sz w:val="20"/>
                <w:lang w:val="sv-SE"/>
              </w:rPr>
              <w:t>2021</w:t>
            </w:r>
          </w:p>
        </w:tc>
        <w:tc>
          <w:tcPr>
            <w:tcW w:w="0" w:type="auto"/>
          </w:tcPr>
          <w:p w14:paraId="2D0659DF" w14:textId="77777777" w:rsidR="00A77B3E" w:rsidRPr="00800D1B" w:rsidRDefault="00623E14" w:rsidP="00722CEA">
            <w:pPr>
              <w:spacing w:before="100" w:after="100"/>
              <w:ind w:left="-72"/>
              <w:jc w:val="right"/>
              <w:rPr>
                <w:color w:val="000000"/>
                <w:sz w:val="20"/>
                <w:lang w:val="sv-SE"/>
              </w:rPr>
            </w:pPr>
            <w:r w:rsidRPr="00800D1B">
              <w:rPr>
                <w:color w:val="000000"/>
                <w:sz w:val="20"/>
                <w:lang w:val="sv-SE"/>
              </w:rPr>
              <w:t>12,00</w:t>
            </w:r>
          </w:p>
        </w:tc>
        <w:tc>
          <w:tcPr>
            <w:tcW w:w="0" w:type="auto"/>
          </w:tcPr>
          <w:p w14:paraId="2D0659E0" w14:textId="77777777" w:rsidR="00A77B3E" w:rsidRPr="00800D1B" w:rsidRDefault="00623E14" w:rsidP="00722CEA">
            <w:pPr>
              <w:spacing w:before="100" w:after="100"/>
              <w:ind w:left="-72"/>
              <w:rPr>
                <w:color w:val="000000"/>
                <w:sz w:val="20"/>
                <w:lang w:val="sv-SE"/>
              </w:rPr>
            </w:pPr>
            <w:r w:rsidRPr="00800D1B">
              <w:rPr>
                <w:color w:val="000000"/>
                <w:sz w:val="20"/>
                <w:lang w:val="sv-SE"/>
              </w:rPr>
              <w:t>Projekt</w:t>
            </w:r>
          </w:p>
        </w:tc>
        <w:tc>
          <w:tcPr>
            <w:tcW w:w="0" w:type="auto"/>
          </w:tcPr>
          <w:p w14:paraId="2D0659E1" w14:textId="77777777" w:rsidR="00A77B3E" w:rsidRPr="00800D1B" w:rsidRDefault="00A77B3E" w:rsidP="00722CEA">
            <w:pPr>
              <w:spacing w:before="100" w:after="100"/>
              <w:ind w:left="-72"/>
              <w:rPr>
                <w:color w:val="000000"/>
                <w:sz w:val="20"/>
                <w:lang w:val="sv-SE"/>
              </w:rPr>
            </w:pPr>
          </w:p>
        </w:tc>
      </w:tr>
      <w:tr w:rsidR="003422DB" w:rsidRPr="00800D1B" w14:paraId="2D0659EF" w14:textId="77777777" w:rsidTr="00722CEA">
        <w:tc>
          <w:tcPr>
            <w:tcW w:w="0" w:type="auto"/>
          </w:tcPr>
          <w:p w14:paraId="2D0659E3" w14:textId="77777777" w:rsidR="00A77B3E" w:rsidRPr="00800D1B" w:rsidRDefault="00623E14" w:rsidP="00722CEA">
            <w:pPr>
              <w:spacing w:before="100" w:after="100"/>
              <w:ind w:left="-72"/>
              <w:rPr>
                <w:color w:val="000000"/>
                <w:sz w:val="20"/>
                <w:lang w:val="sv-SE"/>
              </w:rPr>
            </w:pPr>
            <w:r w:rsidRPr="00800D1B">
              <w:rPr>
                <w:color w:val="000000"/>
                <w:sz w:val="20"/>
                <w:lang w:val="sv-SE"/>
              </w:rPr>
              <w:t>3</w:t>
            </w:r>
          </w:p>
        </w:tc>
        <w:tc>
          <w:tcPr>
            <w:tcW w:w="0" w:type="auto"/>
          </w:tcPr>
          <w:p w14:paraId="2D0659E4" w14:textId="77777777" w:rsidR="00A77B3E" w:rsidRPr="00800D1B" w:rsidRDefault="00623E14" w:rsidP="00722CEA">
            <w:pPr>
              <w:spacing w:before="100" w:after="100"/>
              <w:ind w:left="-72"/>
              <w:rPr>
                <w:color w:val="000000"/>
                <w:sz w:val="20"/>
                <w:lang w:val="sv-SE"/>
              </w:rPr>
            </w:pPr>
            <w:r w:rsidRPr="00800D1B">
              <w:rPr>
                <w:color w:val="000000"/>
                <w:sz w:val="20"/>
                <w:lang w:val="sv-SE"/>
              </w:rPr>
              <w:t>RSO1.2</w:t>
            </w:r>
          </w:p>
        </w:tc>
        <w:tc>
          <w:tcPr>
            <w:tcW w:w="0" w:type="auto"/>
          </w:tcPr>
          <w:p w14:paraId="2D0659E5" w14:textId="77777777" w:rsidR="00A77B3E" w:rsidRPr="00800D1B" w:rsidRDefault="00623E14" w:rsidP="00722CEA">
            <w:pPr>
              <w:spacing w:before="100" w:after="100"/>
              <w:ind w:left="-72"/>
              <w:rPr>
                <w:color w:val="000000"/>
                <w:sz w:val="20"/>
                <w:lang w:val="sv-SE"/>
              </w:rPr>
            </w:pPr>
            <w:r w:rsidRPr="00800D1B">
              <w:rPr>
                <w:color w:val="000000"/>
                <w:sz w:val="20"/>
                <w:lang w:val="sv-SE"/>
              </w:rPr>
              <w:t>Eruf</w:t>
            </w:r>
          </w:p>
        </w:tc>
        <w:tc>
          <w:tcPr>
            <w:tcW w:w="0" w:type="auto"/>
          </w:tcPr>
          <w:p w14:paraId="2D0659E6" w14:textId="77777777" w:rsidR="00A77B3E" w:rsidRPr="00800D1B" w:rsidRDefault="00623E14" w:rsidP="00722CEA">
            <w:pPr>
              <w:spacing w:before="100" w:after="100"/>
              <w:ind w:left="-72"/>
              <w:rPr>
                <w:color w:val="000000"/>
                <w:sz w:val="20"/>
                <w:lang w:val="sv-SE"/>
              </w:rPr>
            </w:pPr>
            <w:r w:rsidRPr="00800D1B">
              <w:rPr>
                <w:color w:val="000000"/>
                <w:sz w:val="20"/>
                <w:lang w:val="sv-SE"/>
              </w:rPr>
              <w:t>Mer utvecklade regioner</w:t>
            </w:r>
          </w:p>
        </w:tc>
        <w:tc>
          <w:tcPr>
            <w:tcW w:w="0" w:type="auto"/>
          </w:tcPr>
          <w:p w14:paraId="2D0659E7" w14:textId="77777777" w:rsidR="00A77B3E" w:rsidRPr="00800D1B" w:rsidRDefault="00623E14" w:rsidP="00722CEA">
            <w:pPr>
              <w:spacing w:before="100" w:after="100"/>
              <w:ind w:left="-72"/>
              <w:rPr>
                <w:color w:val="000000"/>
                <w:sz w:val="20"/>
                <w:lang w:val="sv-SE"/>
              </w:rPr>
            </w:pPr>
            <w:r w:rsidRPr="00800D1B">
              <w:rPr>
                <w:color w:val="000000"/>
                <w:sz w:val="20"/>
                <w:lang w:val="sv-SE"/>
              </w:rPr>
              <w:t>RCR04</w:t>
            </w:r>
          </w:p>
        </w:tc>
        <w:tc>
          <w:tcPr>
            <w:tcW w:w="0" w:type="auto"/>
          </w:tcPr>
          <w:p w14:paraId="2D0659E8" w14:textId="77777777" w:rsidR="00A77B3E" w:rsidRPr="00800D1B" w:rsidRDefault="00623E14" w:rsidP="00722CEA">
            <w:pPr>
              <w:spacing w:before="100" w:after="100"/>
              <w:ind w:left="-72"/>
              <w:rPr>
                <w:color w:val="000000"/>
                <w:sz w:val="20"/>
                <w:lang w:val="sv-SE"/>
              </w:rPr>
            </w:pPr>
            <w:r w:rsidRPr="00800D1B">
              <w:rPr>
                <w:color w:val="000000"/>
                <w:sz w:val="20"/>
                <w:lang w:val="sv-SE"/>
              </w:rPr>
              <w:t>Små och medelstora företag som inför marknadsförings- eller organisationsinnovationer</w:t>
            </w:r>
          </w:p>
        </w:tc>
        <w:tc>
          <w:tcPr>
            <w:tcW w:w="0" w:type="auto"/>
          </w:tcPr>
          <w:p w14:paraId="2D0659E9" w14:textId="77777777" w:rsidR="00A77B3E" w:rsidRPr="00800D1B" w:rsidRDefault="00623E14" w:rsidP="00722CEA">
            <w:pPr>
              <w:spacing w:before="100" w:after="100"/>
              <w:ind w:left="-72"/>
              <w:rPr>
                <w:color w:val="000000"/>
                <w:sz w:val="20"/>
                <w:lang w:val="sv-SE"/>
              </w:rPr>
            </w:pPr>
            <w:r w:rsidRPr="00800D1B">
              <w:rPr>
                <w:color w:val="000000"/>
                <w:sz w:val="20"/>
                <w:lang w:val="sv-SE"/>
              </w:rPr>
              <w:t>företag</w:t>
            </w:r>
          </w:p>
        </w:tc>
        <w:tc>
          <w:tcPr>
            <w:tcW w:w="0" w:type="auto"/>
          </w:tcPr>
          <w:p w14:paraId="2D0659EA" w14:textId="77777777" w:rsidR="00A77B3E" w:rsidRPr="00800D1B" w:rsidRDefault="00623E14" w:rsidP="00722CEA">
            <w:pPr>
              <w:spacing w:before="100" w:after="100"/>
              <w:ind w:left="-72"/>
              <w:jc w:val="right"/>
              <w:rPr>
                <w:color w:val="000000"/>
                <w:sz w:val="20"/>
                <w:lang w:val="sv-SE"/>
              </w:rPr>
            </w:pPr>
            <w:r w:rsidRPr="00800D1B">
              <w:rPr>
                <w:color w:val="000000"/>
                <w:sz w:val="20"/>
                <w:lang w:val="sv-SE"/>
              </w:rPr>
              <w:t>0,00</w:t>
            </w:r>
          </w:p>
        </w:tc>
        <w:tc>
          <w:tcPr>
            <w:tcW w:w="0" w:type="auto"/>
          </w:tcPr>
          <w:p w14:paraId="2D0659EB" w14:textId="77777777" w:rsidR="00A77B3E" w:rsidRPr="00800D1B" w:rsidRDefault="00623E14" w:rsidP="00722CEA">
            <w:pPr>
              <w:spacing w:before="100" w:after="100"/>
              <w:ind w:left="-72"/>
              <w:jc w:val="center"/>
              <w:rPr>
                <w:color w:val="000000"/>
                <w:sz w:val="20"/>
                <w:lang w:val="sv-SE"/>
              </w:rPr>
            </w:pPr>
            <w:r w:rsidRPr="00800D1B">
              <w:rPr>
                <w:color w:val="000000"/>
                <w:sz w:val="20"/>
                <w:lang w:val="sv-SE"/>
              </w:rPr>
              <w:t>2021</w:t>
            </w:r>
          </w:p>
        </w:tc>
        <w:tc>
          <w:tcPr>
            <w:tcW w:w="0" w:type="auto"/>
          </w:tcPr>
          <w:p w14:paraId="2D0659EC" w14:textId="77777777" w:rsidR="00A77B3E" w:rsidRPr="00800D1B" w:rsidRDefault="00623E14" w:rsidP="00722CEA">
            <w:pPr>
              <w:spacing w:before="100" w:after="100"/>
              <w:ind w:left="-72"/>
              <w:jc w:val="right"/>
              <w:rPr>
                <w:color w:val="000000"/>
                <w:sz w:val="20"/>
                <w:lang w:val="sv-SE"/>
              </w:rPr>
            </w:pPr>
            <w:r w:rsidRPr="00800D1B">
              <w:rPr>
                <w:color w:val="000000"/>
                <w:sz w:val="20"/>
                <w:lang w:val="sv-SE"/>
              </w:rPr>
              <w:t>12,00</w:t>
            </w:r>
          </w:p>
        </w:tc>
        <w:tc>
          <w:tcPr>
            <w:tcW w:w="0" w:type="auto"/>
          </w:tcPr>
          <w:p w14:paraId="2D0659ED" w14:textId="77777777" w:rsidR="00A77B3E" w:rsidRPr="00800D1B" w:rsidRDefault="00623E14" w:rsidP="00722CEA">
            <w:pPr>
              <w:spacing w:before="100" w:after="100"/>
              <w:ind w:left="-72"/>
              <w:rPr>
                <w:color w:val="000000"/>
                <w:sz w:val="20"/>
                <w:lang w:val="sv-SE"/>
              </w:rPr>
            </w:pPr>
            <w:r w:rsidRPr="00800D1B">
              <w:rPr>
                <w:color w:val="000000"/>
                <w:sz w:val="20"/>
                <w:lang w:val="sv-SE"/>
              </w:rPr>
              <w:t>Projekt</w:t>
            </w:r>
          </w:p>
        </w:tc>
        <w:tc>
          <w:tcPr>
            <w:tcW w:w="0" w:type="auto"/>
          </w:tcPr>
          <w:p w14:paraId="2D0659EE" w14:textId="77777777" w:rsidR="00A77B3E" w:rsidRPr="00800D1B" w:rsidRDefault="00A77B3E" w:rsidP="00722CEA">
            <w:pPr>
              <w:spacing w:before="100" w:after="100"/>
              <w:ind w:left="-72"/>
              <w:rPr>
                <w:color w:val="000000"/>
                <w:sz w:val="20"/>
                <w:lang w:val="sv-SE"/>
              </w:rPr>
            </w:pPr>
          </w:p>
        </w:tc>
      </w:tr>
      <w:tr w:rsidR="003422DB" w:rsidRPr="00800D1B" w14:paraId="2D0659FC" w14:textId="77777777" w:rsidTr="00722CEA">
        <w:tc>
          <w:tcPr>
            <w:tcW w:w="0" w:type="auto"/>
          </w:tcPr>
          <w:p w14:paraId="2D0659F0" w14:textId="77777777" w:rsidR="00A77B3E" w:rsidRPr="00800D1B" w:rsidRDefault="00623E14" w:rsidP="00722CEA">
            <w:pPr>
              <w:spacing w:before="100" w:after="100"/>
              <w:ind w:left="-72"/>
              <w:rPr>
                <w:color w:val="000000"/>
                <w:sz w:val="20"/>
                <w:lang w:val="sv-SE"/>
              </w:rPr>
            </w:pPr>
            <w:r w:rsidRPr="00800D1B">
              <w:rPr>
                <w:color w:val="000000"/>
                <w:sz w:val="20"/>
                <w:lang w:val="sv-SE"/>
              </w:rPr>
              <w:t>3</w:t>
            </w:r>
          </w:p>
        </w:tc>
        <w:tc>
          <w:tcPr>
            <w:tcW w:w="0" w:type="auto"/>
          </w:tcPr>
          <w:p w14:paraId="2D0659F1" w14:textId="77777777" w:rsidR="00A77B3E" w:rsidRPr="00800D1B" w:rsidRDefault="00623E14" w:rsidP="00722CEA">
            <w:pPr>
              <w:spacing w:before="100" w:after="100"/>
              <w:ind w:left="-72"/>
              <w:rPr>
                <w:color w:val="000000"/>
                <w:sz w:val="20"/>
                <w:lang w:val="sv-SE"/>
              </w:rPr>
            </w:pPr>
            <w:r w:rsidRPr="00800D1B">
              <w:rPr>
                <w:color w:val="000000"/>
                <w:sz w:val="20"/>
                <w:lang w:val="sv-SE"/>
              </w:rPr>
              <w:t>RSO1.2</w:t>
            </w:r>
          </w:p>
        </w:tc>
        <w:tc>
          <w:tcPr>
            <w:tcW w:w="0" w:type="auto"/>
          </w:tcPr>
          <w:p w14:paraId="2D0659F2" w14:textId="77777777" w:rsidR="00A77B3E" w:rsidRPr="00800D1B" w:rsidRDefault="00623E14" w:rsidP="00722CEA">
            <w:pPr>
              <w:spacing w:before="100" w:after="100"/>
              <w:ind w:left="-72"/>
              <w:rPr>
                <w:color w:val="000000"/>
                <w:sz w:val="20"/>
                <w:lang w:val="sv-SE"/>
              </w:rPr>
            </w:pPr>
            <w:r w:rsidRPr="00800D1B">
              <w:rPr>
                <w:color w:val="000000"/>
                <w:sz w:val="20"/>
                <w:lang w:val="sv-SE"/>
              </w:rPr>
              <w:t>Eruf</w:t>
            </w:r>
          </w:p>
        </w:tc>
        <w:tc>
          <w:tcPr>
            <w:tcW w:w="0" w:type="auto"/>
          </w:tcPr>
          <w:p w14:paraId="2D0659F3" w14:textId="77777777" w:rsidR="00A77B3E" w:rsidRPr="00800D1B" w:rsidRDefault="00623E14" w:rsidP="00722CEA">
            <w:pPr>
              <w:spacing w:before="100" w:after="100"/>
              <w:ind w:left="-72"/>
              <w:rPr>
                <w:color w:val="000000"/>
                <w:sz w:val="20"/>
                <w:lang w:val="sv-SE"/>
              </w:rPr>
            </w:pPr>
            <w:r w:rsidRPr="00800D1B">
              <w:rPr>
                <w:color w:val="000000"/>
                <w:sz w:val="20"/>
                <w:lang w:val="sv-SE"/>
              </w:rPr>
              <w:t>Mer utvecklade regioner</w:t>
            </w:r>
          </w:p>
        </w:tc>
        <w:tc>
          <w:tcPr>
            <w:tcW w:w="0" w:type="auto"/>
          </w:tcPr>
          <w:p w14:paraId="2D0659F4" w14:textId="77777777" w:rsidR="00A77B3E" w:rsidRPr="00800D1B" w:rsidRDefault="00623E14" w:rsidP="00722CEA">
            <w:pPr>
              <w:spacing w:before="100" w:after="100"/>
              <w:ind w:left="-72"/>
              <w:rPr>
                <w:color w:val="000000"/>
                <w:sz w:val="20"/>
                <w:lang w:val="sv-SE"/>
              </w:rPr>
            </w:pPr>
            <w:r w:rsidRPr="00800D1B">
              <w:rPr>
                <w:color w:val="000000"/>
                <w:sz w:val="20"/>
                <w:lang w:val="sv-SE"/>
              </w:rPr>
              <w:t>RCR05</w:t>
            </w:r>
          </w:p>
        </w:tc>
        <w:tc>
          <w:tcPr>
            <w:tcW w:w="0" w:type="auto"/>
          </w:tcPr>
          <w:p w14:paraId="2D0659F5" w14:textId="77777777" w:rsidR="00A77B3E" w:rsidRPr="00800D1B" w:rsidRDefault="00623E14" w:rsidP="00722CEA">
            <w:pPr>
              <w:spacing w:before="100" w:after="100"/>
              <w:ind w:left="-72"/>
              <w:rPr>
                <w:color w:val="000000"/>
                <w:sz w:val="20"/>
                <w:lang w:val="sv-SE"/>
              </w:rPr>
            </w:pPr>
            <w:r w:rsidRPr="00800D1B">
              <w:rPr>
                <w:color w:val="000000"/>
                <w:sz w:val="20"/>
                <w:lang w:val="sv-SE"/>
              </w:rPr>
              <w:t>Små och medelstora företag som gör innovationer inom företaget</w:t>
            </w:r>
          </w:p>
        </w:tc>
        <w:tc>
          <w:tcPr>
            <w:tcW w:w="0" w:type="auto"/>
          </w:tcPr>
          <w:p w14:paraId="2D0659F6" w14:textId="77777777" w:rsidR="00A77B3E" w:rsidRPr="00800D1B" w:rsidRDefault="00623E14" w:rsidP="00722CEA">
            <w:pPr>
              <w:spacing w:before="100" w:after="100"/>
              <w:ind w:left="-72"/>
              <w:rPr>
                <w:color w:val="000000"/>
                <w:sz w:val="20"/>
                <w:lang w:val="sv-SE"/>
              </w:rPr>
            </w:pPr>
            <w:r w:rsidRPr="00800D1B">
              <w:rPr>
                <w:color w:val="000000"/>
                <w:sz w:val="20"/>
                <w:lang w:val="sv-SE"/>
              </w:rPr>
              <w:t>företag</w:t>
            </w:r>
          </w:p>
        </w:tc>
        <w:tc>
          <w:tcPr>
            <w:tcW w:w="0" w:type="auto"/>
          </w:tcPr>
          <w:p w14:paraId="2D0659F7" w14:textId="77777777" w:rsidR="00A77B3E" w:rsidRPr="00800D1B" w:rsidRDefault="00623E14" w:rsidP="00722CEA">
            <w:pPr>
              <w:spacing w:before="100" w:after="100"/>
              <w:ind w:left="-72"/>
              <w:jc w:val="right"/>
              <w:rPr>
                <w:color w:val="000000"/>
                <w:sz w:val="20"/>
                <w:lang w:val="sv-SE"/>
              </w:rPr>
            </w:pPr>
            <w:r w:rsidRPr="00800D1B">
              <w:rPr>
                <w:color w:val="000000"/>
                <w:sz w:val="20"/>
                <w:lang w:val="sv-SE"/>
              </w:rPr>
              <w:t>0,00</w:t>
            </w:r>
          </w:p>
        </w:tc>
        <w:tc>
          <w:tcPr>
            <w:tcW w:w="0" w:type="auto"/>
          </w:tcPr>
          <w:p w14:paraId="2D0659F8" w14:textId="77777777" w:rsidR="00A77B3E" w:rsidRPr="00800D1B" w:rsidRDefault="00623E14" w:rsidP="00722CEA">
            <w:pPr>
              <w:spacing w:before="100" w:after="100"/>
              <w:ind w:left="-72"/>
              <w:jc w:val="center"/>
              <w:rPr>
                <w:color w:val="000000"/>
                <w:sz w:val="20"/>
                <w:lang w:val="sv-SE"/>
              </w:rPr>
            </w:pPr>
            <w:r w:rsidRPr="00800D1B">
              <w:rPr>
                <w:color w:val="000000"/>
                <w:sz w:val="20"/>
                <w:lang w:val="sv-SE"/>
              </w:rPr>
              <w:t>2021</w:t>
            </w:r>
          </w:p>
        </w:tc>
        <w:tc>
          <w:tcPr>
            <w:tcW w:w="0" w:type="auto"/>
          </w:tcPr>
          <w:p w14:paraId="2D0659F9" w14:textId="77777777" w:rsidR="00A77B3E" w:rsidRPr="00800D1B" w:rsidRDefault="00623E14" w:rsidP="00722CEA">
            <w:pPr>
              <w:spacing w:before="100" w:after="100"/>
              <w:ind w:left="-72"/>
              <w:jc w:val="right"/>
              <w:rPr>
                <w:color w:val="000000"/>
                <w:sz w:val="20"/>
                <w:lang w:val="sv-SE"/>
              </w:rPr>
            </w:pPr>
            <w:r w:rsidRPr="00800D1B">
              <w:rPr>
                <w:color w:val="000000"/>
                <w:sz w:val="20"/>
                <w:lang w:val="sv-SE"/>
              </w:rPr>
              <w:t>12,00</w:t>
            </w:r>
          </w:p>
        </w:tc>
        <w:tc>
          <w:tcPr>
            <w:tcW w:w="0" w:type="auto"/>
          </w:tcPr>
          <w:p w14:paraId="2D0659FA" w14:textId="77777777" w:rsidR="00A77B3E" w:rsidRPr="00800D1B" w:rsidRDefault="00623E14" w:rsidP="00722CEA">
            <w:pPr>
              <w:spacing w:before="100" w:after="100"/>
              <w:ind w:left="-72"/>
              <w:rPr>
                <w:color w:val="000000"/>
                <w:sz w:val="20"/>
                <w:lang w:val="sv-SE"/>
              </w:rPr>
            </w:pPr>
            <w:r w:rsidRPr="00800D1B">
              <w:rPr>
                <w:color w:val="000000"/>
                <w:sz w:val="20"/>
                <w:lang w:val="sv-SE"/>
              </w:rPr>
              <w:t>Projekt</w:t>
            </w:r>
          </w:p>
        </w:tc>
        <w:tc>
          <w:tcPr>
            <w:tcW w:w="0" w:type="auto"/>
          </w:tcPr>
          <w:p w14:paraId="2D0659FB" w14:textId="77777777" w:rsidR="00A77B3E" w:rsidRPr="00800D1B" w:rsidRDefault="00A77B3E" w:rsidP="00722CEA">
            <w:pPr>
              <w:spacing w:before="100" w:after="100"/>
              <w:ind w:left="-72"/>
              <w:rPr>
                <w:color w:val="000000"/>
                <w:sz w:val="20"/>
                <w:lang w:val="sv-SE"/>
              </w:rPr>
            </w:pPr>
          </w:p>
        </w:tc>
      </w:tr>
      <w:tr w:rsidR="003422DB" w:rsidRPr="00800D1B" w14:paraId="2D065A09" w14:textId="77777777" w:rsidTr="00722CEA">
        <w:tc>
          <w:tcPr>
            <w:tcW w:w="0" w:type="auto"/>
          </w:tcPr>
          <w:p w14:paraId="2D0659FD" w14:textId="77777777" w:rsidR="00A77B3E" w:rsidRPr="00800D1B" w:rsidRDefault="00623E14" w:rsidP="00722CEA">
            <w:pPr>
              <w:spacing w:before="100" w:after="100"/>
              <w:ind w:left="-72"/>
              <w:rPr>
                <w:color w:val="000000"/>
                <w:sz w:val="20"/>
                <w:lang w:val="sv-SE"/>
              </w:rPr>
            </w:pPr>
            <w:r w:rsidRPr="00800D1B">
              <w:rPr>
                <w:color w:val="000000"/>
                <w:sz w:val="20"/>
                <w:lang w:val="sv-SE"/>
              </w:rPr>
              <w:t>3</w:t>
            </w:r>
          </w:p>
        </w:tc>
        <w:tc>
          <w:tcPr>
            <w:tcW w:w="0" w:type="auto"/>
          </w:tcPr>
          <w:p w14:paraId="2D0659FE" w14:textId="77777777" w:rsidR="00A77B3E" w:rsidRPr="00800D1B" w:rsidRDefault="00623E14" w:rsidP="00722CEA">
            <w:pPr>
              <w:spacing w:before="100" w:after="100"/>
              <w:ind w:left="-72"/>
              <w:rPr>
                <w:color w:val="000000"/>
                <w:sz w:val="20"/>
                <w:lang w:val="sv-SE"/>
              </w:rPr>
            </w:pPr>
            <w:r w:rsidRPr="00800D1B">
              <w:rPr>
                <w:color w:val="000000"/>
                <w:sz w:val="20"/>
                <w:lang w:val="sv-SE"/>
              </w:rPr>
              <w:t>RSO1.2</w:t>
            </w:r>
          </w:p>
        </w:tc>
        <w:tc>
          <w:tcPr>
            <w:tcW w:w="0" w:type="auto"/>
          </w:tcPr>
          <w:p w14:paraId="2D0659FF" w14:textId="77777777" w:rsidR="00A77B3E" w:rsidRPr="00800D1B" w:rsidRDefault="00623E14" w:rsidP="00722CEA">
            <w:pPr>
              <w:spacing w:before="100" w:after="100"/>
              <w:ind w:left="-72"/>
              <w:rPr>
                <w:color w:val="000000"/>
                <w:sz w:val="20"/>
                <w:lang w:val="sv-SE"/>
              </w:rPr>
            </w:pPr>
            <w:r w:rsidRPr="00800D1B">
              <w:rPr>
                <w:color w:val="000000"/>
                <w:sz w:val="20"/>
                <w:lang w:val="sv-SE"/>
              </w:rPr>
              <w:t>Eruf</w:t>
            </w:r>
          </w:p>
        </w:tc>
        <w:tc>
          <w:tcPr>
            <w:tcW w:w="0" w:type="auto"/>
          </w:tcPr>
          <w:p w14:paraId="2D065A00" w14:textId="77777777" w:rsidR="00A77B3E" w:rsidRPr="00800D1B" w:rsidRDefault="00623E14" w:rsidP="00722CEA">
            <w:pPr>
              <w:spacing w:before="100" w:after="100"/>
              <w:ind w:left="-72"/>
              <w:rPr>
                <w:color w:val="000000"/>
                <w:sz w:val="20"/>
                <w:lang w:val="sv-SE"/>
              </w:rPr>
            </w:pPr>
            <w:r w:rsidRPr="00800D1B">
              <w:rPr>
                <w:color w:val="000000"/>
                <w:sz w:val="20"/>
                <w:lang w:val="sv-SE"/>
              </w:rPr>
              <w:t>Mer utvecklade regioner</w:t>
            </w:r>
          </w:p>
        </w:tc>
        <w:tc>
          <w:tcPr>
            <w:tcW w:w="0" w:type="auto"/>
          </w:tcPr>
          <w:p w14:paraId="2D065A01" w14:textId="77777777" w:rsidR="00A77B3E" w:rsidRPr="00800D1B" w:rsidRDefault="00623E14" w:rsidP="00722CEA">
            <w:pPr>
              <w:spacing w:before="100" w:after="100"/>
              <w:ind w:left="-72"/>
              <w:rPr>
                <w:color w:val="000000"/>
                <w:sz w:val="20"/>
                <w:lang w:val="sv-SE"/>
              </w:rPr>
            </w:pPr>
            <w:r w:rsidRPr="00800D1B">
              <w:rPr>
                <w:color w:val="000000"/>
                <w:sz w:val="20"/>
                <w:lang w:val="sv-SE"/>
              </w:rPr>
              <w:t>RCR11</w:t>
            </w:r>
          </w:p>
        </w:tc>
        <w:tc>
          <w:tcPr>
            <w:tcW w:w="0" w:type="auto"/>
          </w:tcPr>
          <w:p w14:paraId="2D065A02" w14:textId="77777777" w:rsidR="00A77B3E" w:rsidRPr="00800D1B" w:rsidRDefault="00623E14" w:rsidP="00722CEA">
            <w:pPr>
              <w:spacing w:before="100" w:after="100"/>
              <w:ind w:left="-72"/>
              <w:rPr>
                <w:color w:val="000000"/>
                <w:sz w:val="20"/>
                <w:lang w:val="sv-SE"/>
              </w:rPr>
            </w:pPr>
            <w:r w:rsidRPr="00800D1B">
              <w:rPr>
                <w:color w:val="000000"/>
                <w:sz w:val="20"/>
                <w:lang w:val="sv-SE"/>
              </w:rPr>
              <w:t>Användare av nya och uppgraderade offentliga digitala tjänster, produkter och processer</w:t>
            </w:r>
          </w:p>
        </w:tc>
        <w:tc>
          <w:tcPr>
            <w:tcW w:w="0" w:type="auto"/>
          </w:tcPr>
          <w:p w14:paraId="2D065A03" w14:textId="77777777" w:rsidR="00A77B3E" w:rsidRPr="00800D1B" w:rsidRDefault="00623E14" w:rsidP="00722CEA">
            <w:pPr>
              <w:spacing w:before="100" w:after="100"/>
              <w:ind w:left="-72"/>
              <w:rPr>
                <w:color w:val="000000"/>
                <w:sz w:val="20"/>
                <w:lang w:val="sv-SE"/>
              </w:rPr>
            </w:pPr>
            <w:r w:rsidRPr="00800D1B">
              <w:rPr>
                <w:color w:val="000000"/>
                <w:sz w:val="20"/>
                <w:lang w:val="sv-SE"/>
              </w:rPr>
              <w:t>användare/år</w:t>
            </w:r>
          </w:p>
        </w:tc>
        <w:tc>
          <w:tcPr>
            <w:tcW w:w="0" w:type="auto"/>
          </w:tcPr>
          <w:p w14:paraId="2D065A04" w14:textId="77777777" w:rsidR="00A77B3E" w:rsidRPr="00800D1B" w:rsidRDefault="00623E14" w:rsidP="00722CEA">
            <w:pPr>
              <w:spacing w:before="100" w:after="100"/>
              <w:ind w:left="-72"/>
              <w:jc w:val="right"/>
              <w:rPr>
                <w:color w:val="000000"/>
                <w:sz w:val="20"/>
                <w:lang w:val="sv-SE"/>
              </w:rPr>
            </w:pPr>
            <w:r w:rsidRPr="00800D1B">
              <w:rPr>
                <w:color w:val="000000"/>
                <w:sz w:val="20"/>
                <w:lang w:val="sv-SE"/>
              </w:rPr>
              <w:t>0,00</w:t>
            </w:r>
          </w:p>
        </w:tc>
        <w:tc>
          <w:tcPr>
            <w:tcW w:w="0" w:type="auto"/>
          </w:tcPr>
          <w:p w14:paraId="2D065A05" w14:textId="77777777" w:rsidR="00A77B3E" w:rsidRPr="00800D1B" w:rsidRDefault="00623E14" w:rsidP="00722CEA">
            <w:pPr>
              <w:spacing w:before="100" w:after="100"/>
              <w:ind w:left="-72"/>
              <w:jc w:val="center"/>
              <w:rPr>
                <w:color w:val="000000"/>
                <w:sz w:val="20"/>
                <w:lang w:val="sv-SE"/>
              </w:rPr>
            </w:pPr>
            <w:r w:rsidRPr="00800D1B">
              <w:rPr>
                <w:color w:val="000000"/>
                <w:sz w:val="20"/>
                <w:lang w:val="sv-SE"/>
              </w:rPr>
              <w:t>2021</w:t>
            </w:r>
          </w:p>
        </w:tc>
        <w:tc>
          <w:tcPr>
            <w:tcW w:w="0" w:type="auto"/>
          </w:tcPr>
          <w:p w14:paraId="2D065A06" w14:textId="77777777" w:rsidR="00A77B3E" w:rsidRPr="00800D1B" w:rsidRDefault="00623E14" w:rsidP="00722CEA">
            <w:pPr>
              <w:spacing w:before="100" w:after="100"/>
              <w:ind w:left="-72"/>
              <w:jc w:val="right"/>
              <w:rPr>
                <w:color w:val="000000"/>
                <w:sz w:val="20"/>
                <w:lang w:val="sv-SE"/>
              </w:rPr>
            </w:pPr>
            <w:r w:rsidRPr="00800D1B">
              <w:rPr>
                <w:color w:val="000000"/>
                <w:sz w:val="20"/>
                <w:lang w:val="sv-SE"/>
              </w:rPr>
              <w:t>19 033,00</w:t>
            </w:r>
          </w:p>
        </w:tc>
        <w:tc>
          <w:tcPr>
            <w:tcW w:w="0" w:type="auto"/>
          </w:tcPr>
          <w:p w14:paraId="2D065A07" w14:textId="77777777" w:rsidR="00A77B3E" w:rsidRPr="00800D1B" w:rsidRDefault="00623E14" w:rsidP="00722CEA">
            <w:pPr>
              <w:spacing w:before="100" w:after="100"/>
              <w:ind w:left="-72"/>
              <w:rPr>
                <w:color w:val="000000"/>
                <w:sz w:val="20"/>
                <w:lang w:val="sv-SE"/>
              </w:rPr>
            </w:pPr>
            <w:r w:rsidRPr="00800D1B">
              <w:rPr>
                <w:color w:val="000000"/>
                <w:sz w:val="20"/>
                <w:lang w:val="sv-SE"/>
              </w:rPr>
              <w:t>Projekt</w:t>
            </w:r>
          </w:p>
        </w:tc>
        <w:tc>
          <w:tcPr>
            <w:tcW w:w="0" w:type="auto"/>
          </w:tcPr>
          <w:p w14:paraId="2D065A08" w14:textId="77777777" w:rsidR="00A77B3E" w:rsidRPr="00800D1B" w:rsidRDefault="00A77B3E" w:rsidP="00722CEA">
            <w:pPr>
              <w:spacing w:before="100" w:after="100"/>
              <w:ind w:left="-72"/>
              <w:rPr>
                <w:color w:val="000000"/>
                <w:sz w:val="20"/>
                <w:lang w:val="sv-SE"/>
              </w:rPr>
            </w:pPr>
          </w:p>
        </w:tc>
      </w:tr>
      <w:tr w:rsidR="003422DB" w:rsidRPr="00800D1B" w14:paraId="2D065A16" w14:textId="77777777" w:rsidTr="00722CEA">
        <w:tc>
          <w:tcPr>
            <w:tcW w:w="0" w:type="auto"/>
          </w:tcPr>
          <w:p w14:paraId="2D065A0A" w14:textId="77777777" w:rsidR="00A77B3E" w:rsidRPr="00800D1B" w:rsidRDefault="00623E14" w:rsidP="00722CEA">
            <w:pPr>
              <w:spacing w:before="100" w:after="100"/>
              <w:ind w:left="-72"/>
              <w:rPr>
                <w:color w:val="000000"/>
                <w:sz w:val="20"/>
                <w:lang w:val="sv-SE"/>
              </w:rPr>
            </w:pPr>
            <w:r w:rsidRPr="00800D1B">
              <w:rPr>
                <w:color w:val="000000"/>
                <w:sz w:val="20"/>
                <w:lang w:val="sv-SE"/>
              </w:rPr>
              <w:t>3</w:t>
            </w:r>
          </w:p>
        </w:tc>
        <w:tc>
          <w:tcPr>
            <w:tcW w:w="0" w:type="auto"/>
          </w:tcPr>
          <w:p w14:paraId="2D065A0B" w14:textId="77777777" w:rsidR="00A77B3E" w:rsidRPr="00800D1B" w:rsidRDefault="00623E14" w:rsidP="00722CEA">
            <w:pPr>
              <w:spacing w:before="100" w:after="100"/>
              <w:ind w:left="-72"/>
              <w:rPr>
                <w:color w:val="000000"/>
                <w:sz w:val="20"/>
                <w:lang w:val="sv-SE"/>
              </w:rPr>
            </w:pPr>
            <w:r w:rsidRPr="00800D1B">
              <w:rPr>
                <w:color w:val="000000"/>
                <w:sz w:val="20"/>
                <w:lang w:val="sv-SE"/>
              </w:rPr>
              <w:t>RSO1.2</w:t>
            </w:r>
          </w:p>
        </w:tc>
        <w:tc>
          <w:tcPr>
            <w:tcW w:w="0" w:type="auto"/>
          </w:tcPr>
          <w:p w14:paraId="2D065A0C" w14:textId="77777777" w:rsidR="00A77B3E" w:rsidRPr="00800D1B" w:rsidRDefault="00623E14" w:rsidP="00722CEA">
            <w:pPr>
              <w:spacing w:before="100" w:after="100"/>
              <w:ind w:left="-72"/>
              <w:rPr>
                <w:color w:val="000000"/>
                <w:sz w:val="20"/>
                <w:lang w:val="sv-SE"/>
              </w:rPr>
            </w:pPr>
            <w:r w:rsidRPr="00800D1B">
              <w:rPr>
                <w:color w:val="000000"/>
                <w:sz w:val="20"/>
                <w:lang w:val="sv-SE"/>
              </w:rPr>
              <w:t>Eruf</w:t>
            </w:r>
          </w:p>
        </w:tc>
        <w:tc>
          <w:tcPr>
            <w:tcW w:w="0" w:type="auto"/>
          </w:tcPr>
          <w:p w14:paraId="2D065A0D" w14:textId="77777777" w:rsidR="00A77B3E" w:rsidRPr="00800D1B" w:rsidRDefault="00623E14" w:rsidP="00722CEA">
            <w:pPr>
              <w:spacing w:before="100" w:after="100"/>
              <w:ind w:left="-72"/>
              <w:rPr>
                <w:color w:val="000000"/>
                <w:sz w:val="20"/>
                <w:lang w:val="sv-SE"/>
              </w:rPr>
            </w:pPr>
            <w:r w:rsidRPr="00800D1B">
              <w:rPr>
                <w:color w:val="000000"/>
                <w:sz w:val="20"/>
                <w:lang w:val="sv-SE"/>
              </w:rPr>
              <w:t>Mer utvecklade regioner</w:t>
            </w:r>
          </w:p>
        </w:tc>
        <w:tc>
          <w:tcPr>
            <w:tcW w:w="0" w:type="auto"/>
          </w:tcPr>
          <w:p w14:paraId="2D065A0E" w14:textId="77777777" w:rsidR="00A77B3E" w:rsidRPr="00800D1B" w:rsidRDefault="00623E14" w:rsidP="00722CEA">
            <w:pPr>
              <w:spacing w:before="100" w:after="100"/>
              <w:ind w:left="-72"/>
              <w:rPr>
                <w:color w:val="000000"/>
                <w:sz w:val="20"/>
                <w:lang w:val="sv-SE"/>
              </w:rPr>
            </w:pPr>
            <w:r w:rsidRPr="00800D1B">
              <w:rPr>
                <w:color w:val="000000"/>
                <w:sz w:val="20"/>
                <w:lang w:val="sv-SE"/>
              </w:rPr>
              <w:t>RCR12</w:t>
            </w:r>
          </w:p>
        </w:tc>
        <w:tc>
          <w:tcPr>
            <w:tcW w:w="0" w:type="auto"/>
          </w:tcPr>
          <w:p w14:paraId="2D065A0F" w14:textId="77777777" w:rsidR="00A77B3E" w:rsidRPr="00800D1B" w:rsidRDefault="00623E14" w:rsidP="00722CEA">
            <w:pPr>
              <w:spacing w:before="100" w:after="100"/>
              <w:ind w:left="-72"/>
              <w:rPr>
                <w:color w:val="000000"/>
                <w:sz w:val="20"/>
                <w:lang w:val="sv-SE"/>
              </w:rPr>
            </w:pPr>
            <w:r w:rsidRPr="00800D1B">
              <w:rPr>
                <w:color w:val="000000"/>
                <w:sz w:val="20"/>
                <w:lang w:val="sv-SE"/>
              </w:rPr>
              <w:t>Användare av nya och uppgraderade digitala tjänster, produkter och processer som utvecklats av företag</w:t>
            </w:r>
          </w:p>
        </w:tc>
        <w:tc>
          <w:tcPr>
            <w:tcW w:w="0" w:type="auto"/>
          </w:tcPr>
          <w:p w14:paraId="2D065A10" w14:textId="77777777" w:rsidR="00A77B3E" w:rsidRPr="00800D1B" w:rsidRDefault="00623E14" w:rsidP="00722CEA">
            <w:pPr>
              <w:spacing w:before="100" w:after="100"/>
              <w:ind w:left="-72"/>
              <w:rPr>
                <w:color w:val="000000"/>
                <w:sz w:val="20"/>
                <w:lang w:val="sv-SE"/>
              </w:rPr>
            </w:pPr>
            <w:r w:rsidRPr="00800D1B">
              <w:rPr>
                <w:color w:val="000000"/>
                <w:sz w:val="20"/>
                <w:lang w:val="sv-SE"/>
              </w:rPr>
              <w:t>användare/år</w:t>
            </w:r>
          </w:p>
        </w:tc>
        <w:tc>
          <w:tcPr>
            <w:tcW w:w="0" w:type="auto"/>
          </w:tcPr>
          <w:p w14:paraId="2D065A11" w14:textId="77777777" w:rsidR="00A77B3E" w:rsidRPr="00800D1B" w:rsidRDefault="00623E14" w:rsidP="00722CEA">
            <w:pPr>
              <w:spacing w:before="100" w:after="100"/>
              <w:ind w:left="-72"/>
              <w:jc w:val="right"/>
              <w:rPr>
                <w:color w:val="000000"/>
                <w:sz w:val="20"/>
                <w:lang w:val="sv-SE"/>
              </w:rPr>
            </w:pPr>
            <w:r w:rsidRPr="00800D1B">
              <w:rPr>
                <w:color w:val="000000"/>
                <w:sz w:val="20"/>
                <w:lang w:val="sv-SE"/>
              </w:rPr>
              <w:t>0,00</w:t>
            </w:r>
          </w:p>
        </w:tc>
        <w:tc>
          <w:tcPr>
            <w:tcW w:w="0" w:type="auto"/>
          </w:tcPr>
          <w:p w14:paraId="2D065A12" w14:textId="77777777" w:rsidR="00A77B3E" w:rsidRPr="00800D1B" w:rsidRDefault="00623E14" w:rsidP="00722CEA">
            <w:pPr>
              <w:spacing w:before="100" w:after="100"/>
              <w:ind w:left="-72"/>
              <w:jc w:val="center"/>
              <w:rPr>
                <w:color w:val="000000"/>
                <w:sz w:val="20"/>
                <w:lang w:val="sv-SE"/>
              </w:rPr>
            </w:pPr>
            <w:r w:rsidRPr="00800D1B">
              <w:rPr>
                <w:color w:val="000000"/>
                <w:sz w:val="20"/>
                <w:lang w:val="sv-SE"/>
              </w:rPr>
              <w:t>2021</w:t>
            </w:r>
          </w:p>
        </w:tc>
        <w:tc>
          <w:tcPr>
            <w:tcW w:w="0" w:type="auto"/>
          </w:tcPr>
          <w:p w14:paraId="2D065A13" w14:textId="77777777" w:rsidR="00A77B3E" w:rsidRPr="00800D1B" w:rsidRDefault="00623E14" w:rsidP="00722CEA">
            <w:pPr>
              <w:spacing w:before="100" w:after="100"/>
              <w:ind w:left="-72"/>
              <w:jc w:val="right"/>
              <w:rPr>
                <w:color w:val="000000"/>
                <w:sz w:val="20"/>
                <w:lang w:val="sv-SE"/>
              </w:rPr>
            </w:pPr>
            <w:r w:rsidRPr="00800D1B">
              <w:rPr>
                <w:color w:val="000000"/>
                <w:sz w:val="20"/>
                <w:lang w:val="sv-SE"/>
              </w:rPr>
              <w:t>407,00</w:t>
            </w:r>
          </w:p>
        </w:tc>
        <w:tc>
          <w:tcPr>
            <w:tcW w:w="0" w:type="auto"/>
          </w:tcPr>
          <w:p w14:paraId="2D065A14" w14:textId="77777777" w:rsidR="00A77B3E" w:rsidRPr="00800D1B" w:rsidRDefault="00623E14" w:rsidP="00722CEA">
            <w:pPr>
              <w:spacing w:before="100" w:after="100"/>
              <w:ind w:left="-72"/>
              <w:rPr>
                <w:color w:val="000000"/>
                <w:sz w:val="20"/>
                <w:lang w:val="sv-SE"/>
              </w:rPr>
            </w:pPr>
            <w:r w:rsidRPr="00800D1B">
              <w:rPr>
                <w:color w:val="000000"/>
                <w:sz w:val="20"/>
                <w:lang w:val="sv-SE"/>
              </w:rPr>
              <w:t>Projekt</w:t>
            </w:r>
          </w:p>
        </w:tc>
        <w:tc>
          <w:tcPr>
            <w:tcW w:w="0" w:type="auto"/>
          </w:tcPr>
          <w:p w14:paraId="2D065A15" w14:textId="77777777" w:rsidR="00A77B3E" w:rsidRPr="00800D1B" w:rsidRDefault="00A77B3E" w:rsidP="00722CEA">
            <w:pPr>
              <w:spacing w:before="100" w:after="100"/>
              <w:ind w:left="-72"/>
              <w:rPr>
                <w:color w:val="000000"/>
                <w:sz w:val="20"/>
                <w:lang w:val="sv-SE"/>
              </w:rPr>
            </w:pPr>
          </w:p>
        </w:tc>
      </w:tr>
      <w:tr w:rsidR="003422DB" w:rsidRPr="00800D1B" w14:paraId="2D065A23" w14:textId="77777777" w:rsidTr="00722CEA">
        <w:tc>
          <w:tcPr>
            <w:tcW w:w="0" w:type="auto"/>
          </w:tcPr>
          <w:p w14:paraId="2D065A17" w14:textId="77777777" w:rsidR="00A77B3E" w:rsidRPr="00800D1B" w:rsidRDefault="00623E14" w:rsidP="00722CEA">
            <w:pPr>
              <w:spacing w:before="100" w:after="100"/>
              <w:ind w:left="-72"/>
              <w:rPr>
                <w:color w:val="000000"/>
                <w:sz w:val="20"/>
                <w:lang w:val="sv-SE"/>
              </w:rPr>
            </w:pPr>
            <w:r w:rsidRPr="00800D1B">
              <w:rPr>
                <w:color w:val="000000"/>
                <w:sz w:val="20"/>
                <w:lang w:val="sv-SE"/>
              </w:rPr>
              <w:t>3</w:t>
            </w:r>
          </w:p>
        </w:tc>
        <w:tc>
          <w:tcPr>
            <w:tcW w:w="0" w:type="auto"/>
          </w:tcPr>
          <w:p w14:paraId="2D065A18" w14:textId="77777777" w:rsidR="00A77B3E" w:rsidRPr="00800D1B" w:rsidRDefault="00623E14" w:rsidP="00722CEA">
            <w:pPr>
              <w:spacing w:before="100" w:after="100"/>
              <w:ind w:left="-72"/>
              <w:rPr>
                <w:color w:val="000000"/>
                <w:sz w:val="20"/>
                <w:lang w:val="sv-SE"/>
              </w:rPr>
            </w:pPr>
            <w:r w:rsidRPr="00800D1B">
              <w:rPr>
                <w:color w:val="000000"/>
                <w:sz w:val="20"/>
                <w:lang w:val="sv-SE"/>
              </w:rPr>
              <w:t>RSO1.2</w:t>
            </w:r>
          </w:p>
        </w:tc>
        <w:tc>
          <w:tcPr>
            <w:tcW w:w="0" w:type="auto"/>
          </w:tcPr>
          <w:p w14:paraId="2D065A19" w14:textId="77777777" w:rsidR="00A77B3E" w:rsidRPr="00800D1B" w:rsidRDefault="00623E14" w:rsidP="00722CEA">
            <w:pPr>
              <w:spacing w:before="100" w:after="100"/>
              <w:ind w:left="-72"/>
              <w:rPr>
                <w:color w:val="000000"/>
                <w:sz w:val="20"/>
                <w:lang w:val="sv-SE"/>
              </w:rPr>
            </w:pPr>
            <w:r w:rsidRPr="00800D1B">
              <w:rPr>
                <w:color w:val="000000"/>
                <w:sz w:val="20"/>
                <w:lang w:val="sv-SE"/>
              </w:rPr>
              <w:t>Eruf</w:t>
            </w:r>
          </w:p>
        </w:tc>
        <w:tc>
          <w:tcPr>
            <w:tcW w:w="0" w:type="auto"/>
          </w:tcPr>
          <w:p w14:paraId="2D065A1A" w14:textId="77777777" w:rsidR="00A77B3E" w:rsidRPr="00800D1B" w:rsidRDefault="00623E14" w:rsidP="00722CEA">
            <w:pPr>
              <w:spacing w:before="100" w:after="100"/>
              <w:ind w:left="-72"/>
              <w:rPr>
                <w:color w:val="000000"/>
                <w:sz w:val="20"/>
                <w:lang w:val="sv-SE"/>
              </w:rPr>
            </w:pPr>
            <w:r w:rsidRPr="00800D1B">
              <w:rPr>
                <w:color w:val="000000"/>
                <w:sz w:val="20"/>
                <w:lang w:val="sv-SE"/>
              </w:rPr>
              <w:t>Mer utvecklade regioner</w:t>
            </w:r>
          </w:p>
        </w:tc>
        <w:tc>
          <w:tcPr>
            <w:tcW w:w="0" w:type="auto"/>
          </w:tcPr>
          <w:p w14:paraId="2D065A1B" w14:textId="77777777" w:rsidR="00A77B3E" w:rsidRPr="00800D1B" w:rsidRDefault="00623E14" w:rsidP="00722CEA">
            <w:pPr>
              <w:spacing w:before="100" w:after="100"/>
              <w:ind w:left="-72"/>
              <w:rPr>
                <w:color w:val="000000"/>
                <w:sz w:val="20"/>
                <w:lang w:val="sv-SE"/>
              </w:rPr>
            </w:pPr>
            <w:r w:rsidRPr="00800D1B">
              <w:rPr>
                <w:color w:val="000000"/>
                <w:sz w:val="20"/>
                <w:lang w:val="sv-SE"/>
              </w:rPr>
              <w:t>SWR01</w:t>
            </w:r>
          </w:p>
        </w:tc>
        <w:tc>
          <w:tcPr>
            <w:tcW w:w="0" w:type="auto"/>
          </w:tcPr>
          <w:p w14:paraId="2D065A1C" w14:textId="3E3AB0CA" w:rsidR="00A77B3E" w:rsidRPr="00800D1B" w:rsidRDefault="00623E14" w:rsidP="00722CEA">
            <w:pPr>
              <w:spacing w:before="100" w:after="100"/>
              <w:ind w:left="-72"/>
              <w:rPr>
                <w:color w:val="000000"/>
                <w:sz w:val="20"/>
                <w:lang w:val="sv-SE"/>
              </w:rPr>
            </w:pPr>
            <w:r w:rsidRPr="00800D1B">
              <w:rPr>
                <w:color w:val="000000"/>
                <w:sz w:val="20"/>
                <w:lang w:val="sv-SE"/>
              </w:rPr>
              <w:t>Antal företag som utvecklar produkter, processer och affärsmodeller</w:t>
            </w:r>
            <w:r w:rsidR="00CF74CB" w:rsidRPr="00800D1B">
              <w:rPr>
                <w:color w:val="000000"/>
                <w:sz w:val="20"/>
                <w:lang w:val="sv-SE"/>
              </w:rPr>
              <w:t xml:space="preserve"> </w:t>
            </w:r>
          </w:p>
        </w:tc>
        <w:tc>
          <w:tcPr>
            <w:tcW w:w="0" w:type="auto"/>
          </w:tcPr>
          <w:p w14:paraId="2D065A1D" w14:textId="77777777" w:rsidR="00A77B3E" w:rsidRPr="00800D1B" w:rsidRDefault="00623E14" w:rsidP="00722CEA">
            <w:pPr>
              <w:spacing w:before="100" w:after="100"/>
              <w:ind w:left="-72"/>
              <w:rPr>
                <w:color w:val="000000"/>
                <w:sz w:val="20"/>
                <w:lang w:val="sv-SE"/>
              </w:rPr>
            </w:pPr>
            <w:r w:rsidRPr="00800D1B">
              <w:rPr>
                <w:color w:val="000000"/>
                <w:sz w:val="20"/>
                <w:lang w:val="sv-SE"/>
              </w:rPr>
              <w:t>Företag</w:t>
            </w:r>
          </w:p>
        </w:tc>
        <w:tc>
          <w:tcPr>
            <w:tcW w:w="0" w:type="auto"/>
          </w:tcPr>
          <w:p w14:paraId="2D065A1E" w14:textId="77777777" w:rsidR="00A77B3E" w:rsidRPr="00800D1B" w:rsidRDefault="00623E14" w:rsidP="00722CEA">
            <w:pPr>
              <w:spacing w:before="100" w:after="100"/>
              <w:ind w:left="-72"/>
              <w:jc w:val="right"/>
              <w:rPr>
                <w:color w:val="000000"/>
                <w:sz w:val="20"/>
                <w:lang w:val="sv-SE"/>
              </w:rPr>
            </w:pPr>
            <w:r w:rsidRPr="00800D1B">
              <w:rPr>
                <w:color w:val="000000"/>
                <w:sz w:val="20"/>
                <w:lang w:val="sv-SE"/>
              </w:rPr>
              <w:t>0,00</w:t>
            </w:r>
          </w:p>
        </w:tc>
        <w:tc>
          <w:tcPr>
            <w:tcW w:w="0" w:type="auto"/>
          </w:tcPr>
          <w:p w14:paraId="2D065A1F" w14:textId="77777777" w:rsidR="00A77B3E" w:rsidRPr="00800D1B" w:rsidRDefault="00623E14" w:rsidP="00722CEA">
            <w:pPr>
              <w:spacing w:before="100" w:after="100"/>
              <w:ind w:left="-72"/>
              <w:jc w:val="center"/>
              <w:rPr>
                <w:color w:val="000000"/>
                <w:sz w:val="20"/>
                <w:lang w:val="sv-SE"/>
              </w:rPr>
            </w:pPr>
            <w:r w:rsidRPr="00800D1B">
              <w:rPr>
                <w:color w:val="000000"/>
                <w:sz w:val="20"/>
                <w:lang w:val="sv-SE"/>
              </w:rPr>
              <w:t>2021</w:t>
            </w:r>
          </w:p>
        </w:tc>
        <w:tc>
          <w:tcPr>
            <w:tcW w:w="0" w:type="auto"/>
          </w:tcPr>
          <w:p w14:paraId="2D065A20" w14:textId="77777777" w:rsidR="00A77B3E" w:rsidRPr="00800D1B" w:rsidRDefault="00623E14" w:rsidP="00722CEA">
            <w:pPr>
              <w:spacing w:before="100" w:after="100"/>
              <w:ind w:left="-72"/>
              <w:jc w:val="right"/>
              <w:rPr>
                <w:color w:val="000000"/>
                <w:sz w:val="20"/>
                <w:lang w:val="sv-SE"/>
              </w:rPr>
            </w:pPr>
            <w:r w:rsidRPr="00800D1B">
              <w:rPr>
                <w:color w:val="000000"/>
                <w:sz w:val="20"/>
                <w:lang w:val="sv-SE"/>
              </w:rPr>
              <w:t>121,00</w:t>
            </w:r>
          </w:p>
        </w:tc>
        <w:tc>
          <w:tcPr>
            <w:tcW w:w="0" w:type="auto"/>
          </w:tcPr>
          <w:p w14:paraId="2D065A21" w14:textId="77777777" w:rsidR="00A77B3E" w:rsidRPr="00800D1B" w:rsidRDefault="00623E14" w:rsidP="00722CEA">
            <w:pPr>
              <w:spacing w:before="100" w:after="100"/>
              <w:ind w:left="-72"/>
              <w:rPr>
                <w:color w:val="000000"/>
                <w:sz w:val="20"/>
                <w:lang w:val="sv-SE"/>
              </w:rPr>
            </w:pPr>
            <w:r w:rsidRPr="00800D1B">
              <w:rPr>
                <w:color w:val="000000"/>
                <w:sz w:val="20"/>
                <w:lang w:val="sv-SE"/>
              </w:rPr>
              <w:t>Projekt</w:t>
            </w:r>
          </w:p>
        </w:tc>
        <w:tc>
          <w:tcPr>
            <w:tcW w:w="0" w:type="auto"/>
          </w:tcPr>
          <w:p w14:paraId="2D065A22" w14:textId="77777777" w:rsidR="00A77B3E" w:rsidRPr="00800D1B" w:rsidRDefault="00A77B3E" w:rsidP="00722CEA">
            <w:pPr>
              <w:spacing w:before="100" w:after="100"/>
              <w:ind w:left="-72"/>
              <w:rPr>
                <w:color w:val="000000"/>
                <w:sz w:val="20"/>
                <w:lang w:val="sv-SE"/>
              </w:rPr>
            </w:pPr>
          </w:p>
        </w:tc>
      </w:tr>
      <w:tr w:rsidR="003422DB" w:rsidRPr="00800D1B" w14:paraId="2D065A30" w14:textId="77777777" w:rsidTr="00722CEA">
        <w:tc>
          <w:tcPr>
            <w:tcW w:w="0" w:type="auto"/>
          </w:tcPr>
          <w:p w14:paraId="2D065A24" w14:textId="77777777" w:rsidR="00A77B3E" w:rsidRPr="00800D1B" w:rsidRDefault="00623E14" w:rsidP="00722CEA">
            <w:pPr>
              <w:spacing w:before="100" w:after="100"/>
              <w:ind w:left="-72"/>
              <w:rPr>
                <w:color w:val="000000"/>
                <w:sz w:val="20"/>
                <w:lang w:val="sv-SE"/>
              </w:rPr>
            </w:pPr>
            <w:r w:rsidRPr="00800D1B">
              <w:rPr>
                <w:color w:val="000000"/>
                <w:sz w:val="20"/>
                <w:lang w:val="sv-SE"/>
              </w:rPr>
              <w:t>3</w:t>
            </w:r>
          </w:p>
        </w:tc>
        <w:tc>
          <w:tcPr>
            <w:tcW w:w="0" w:type="auto"/>
          </w:tcPr>
          <w:p w14:paraId="2D065A25" w14:textId="77777777" w:rsidR="00A77B3E" w:rsidRPr="00800D1B" w:rsidRDefault="00623E14" w:rsidP="00722CEA">
            <w:pPr>
              <w:spacing w:before="100" w:after="100"/>
              <w:ind w:left="-72"/>
              <w:rPr>
                <w:color w:val="000000"/>
                <w:sz w:val="20"/>
                <w:lang w:val="sv-SE"/>
              </w:rPr>
            </w:pPr>
            <w:r w:rsidRPr="00800D1B">
              <w:rPr>
                <w:color w:val="000000"/>
                <w:sz w:val="20"/>
                <w:lang w:val="sv-SE"/>
              </w:rPr>
              <w:t>RSO1.2</w:t>
            </w:r>
          </w:p>
        </w:tc>
        <w:tc>
          <w:tcPr>
            <w:tcW w:w="0" w:type="auto"/>
          </w:tcPr>
          <w:p w14:paraId="2D065A26" w14:textId="77777777" w:rsidR="00A77B3E" w:rsidRPr="00800D1B" w:rsidRDefault="00623E14" w:rsidP="00722CEA">
            <w:pPr>
              <w:spacing w:before="100" w:after="100"/>
              <w:ind w:left="-72"/>
              <w:rPr>
                <w:color w:val="000000"/>
                <w:sz w:val="20"/>
                <w:lang w:val="sv-SE"/>
              </w:rPr>
            </w:pPr>
            <w:r w:rsidRPr="00800D1B">
              <w:rPr>
                <w:color w:val="000000"/>
                <w:sz w:val="20"/>
                <w:lang w:val="sv-SE"/>
              </w:rPr>
              <w:t>Eruf</w:t>
            </w:r>
          </w:p>
        </w:tc>
        <w:tc>
          <w:tcPr>
            <w:tcW w:w="0" w:type="auto"/>
          </w:tcPr>
          <w:p w14:paraId="2D065A27" w14:textId="77777777" w:rsidR="00A77B3E" w:rsidRPr="00800D1B" w:rsidRDefault="00623E14" w:rsidP="00A67879">
            <w:pPr>
              <w:spacing w:before="100" w:after="100"/>
              <w:ind w:left="-72" w:right="-165"/>
              <w:rPr>
                <w:color w:val="000000"/>
                <w:sz w:val="20"/>
                <w:lang w:val="sv-SE"/>
              </w:rPr>
            </w:pPr>
            <w:r w:rsidRPr="00800D1B">
              <w:rPr>
                <w:color w:val="000000"/>
                <w:sz w:val="20"/>
                <w:lang w:val="sv-SE"/>
              </w:rPr>
              <w:t>Mer utvecklade regioner</w:t>
            </w:r>
          </w:p>
        </w:tc>
        <w:tc>
          <w:tcPr>
            <w:tcW w:w="0" w:type="auto"/>
          </w:tcPr>
          <w:p w14:paraId="2D065A28" w14:textId="77777777" w:rsidR="00A77B3E" w:rsidRPr="00800D1B" w:rsidRDefault="00623E14" w:rsidP="00722CEA">
            <w:pPr>
              <w:spacing w:before="100" w:after="100"/>
              <w:ind w:left="-72"/>
              <w:rPr>
                <w:color w:val="000000"/>
                <w:sz w:val="20"/>
                <w:lang w:val="sv-SE"/>
              </w:rPr>
            </w:pPr>
            <w:r w:rsidRPr="00800D1B">
              <w:rPr>
                <w:color w:val="000000"/>
                <w:sz w:val="20"/>
                <w:lang w:val="sv-SE"/>
              </w:rPr>
              <w:t>SWR02</w:t>
            </w:r>
          </w:p>
        </w:tc>
        <w:tc>
          <w:tcPr>
            <w:tcW w:w="0" w:type="auto"/>
          </w:tcPr>
          <w:p w14:paraId="2D065A29" w14:textId="77777777" w:rsidR="00A77B3E" w:rsidRPr="00800D1B" w:rsidRDefault="00623E14" w:rsidP="00722CEA">
            <w:pPr>
              <w:spacing w:before="100" w:after="100"/>
              <w:ind w:left="-72"/>
              <w:rPr>
                <w:color w:val="000000"/>
                <w:sz w:val="20"/>
                <w:lang w:val="sv-SE"/>
              </w:rPr>
            </w:pPr>
            <w:r w:rsidRPr="00800D1B">
              <w:rPr>
                <w:color w:val="000000"/>
                <w:sz w:val="20"/>
                <w:lang w:val="sv-SE"/>
              </w:rPr>
              <w:t xml:space="preserve">Antal organisationer som utvecklar produkter, processer och tjänster </w:t>
            </w:r>
          </w:p>
        </w:tc>
        <w:tc>
          <w:tcPr>
            <w:tcW w:w="0" w:type="auto"/>
          </w:tcPr>
          <w:p w14:paraId="2D065A2A" w14:textId="77777777" w:rsidR="00A77B3E" w:rsidRPr="00800D1B" w:rsidRDefault="00623E14" w:rsidP="00722CEA">
            <w:pPr>
              <w:spacing w:before="100" w:after="100"/>
              <w:ind w:left="-72"/>
              <w:rPr>
                <w:color w:val="000000"/>
                <w:sz w:val="20"/>
                <w:lang w:val="sv-SE"/>
              </w:rPr>
            </w:pPr>
            <w:r w:rsidRPr="00800D1B">
              <w:rPr>
                <w:color w:val="000000"/>
                <w:sz w:val="20"/>
                <w:lang w:val="sv-SE"/>
              </w:rPr>
              <w:t>Organisationer</w:t>
            </w:r>
          </w:p>
        </w:tc>
        <w:tc>
          <w:tcPr>
            <w:tcW w:w="0" w:type="auto"/>
          </w:tcPr>
          <w:p w14:paraId="2D065A2B" w14:textId="77777777" w:rsidR="00A77B3E" w:rsidRPr="00800D1B" w:rsidRDefault="00623E14" w:rsidP="00722CEA">
            <w:pPr>
              <w:spacing w:before="100" w:after="100"/>
              <w:ind w:left="-72"/>
              <w:jc w:val="right"/>
              <w:rPr>
                <w:color w:val="000000"/>
                <w:sz w:val="20"/>
                <w:lang w:val="sv-SE"/>
              </w:rPr>
            </w:pPr>
            <w:r w:rsidRPr="00800D1B">
              <w:rPr>
                <w:color w:val="000000"/>
                <w:sz w:val="20"/>
                <w:lang w:val="sv-SE"/>
              </w:rPr>
              <w:t>0,00</w:t>
            </w:r>
          </w:p>
        </w:tc>
        <w:tc>
          <w:tcPr>
            <w:tcW w:w="0" w:type="auto"/>
          </w:tcPr>
          <w:p w14:paraId="2D065A2C" w14:textId="77777777" w:rsidR="00A77B3E" w:rsidRPr="00800D1B" w:rsidRDefault="00623E14" w:rsidP="00722CEA">
            <w:pPr>
              <w:spacing w:before="100" w:after="100"/>
              <w:ind w:left="-72"/>
              <w:jc w:val="center"/>
              <w:rPr>
                <w:color w:val="000000"/>
                <w:sz w:val="20"/>
                <w:lang w:val="sv-SE"/>
              </w:rPr>
            </w:pPr>
            <w:r w:rsidRPr="00800D1B">
              <w:rPr>
                <w:color w:val="000000"/>
                <w:sz w:val="20"/>
                <w:lang w:val="sv-SE"/>
              </w:rPr>
              <w:t>2021</w:t>
            </w:r>
          </w:p>
        </w:tc>
        <w:tc>
          <w:tcPr>
            <w:tcW w:w="0" w:type="auto"/>
          </w:tcPr>
          <w:p w14:paraId="2D065A2D" w14:textId="77777777" w:rsidR="00A77B3E" w:rsidRPr="00800D1B" w:rsidRDefault="00623E14" w:rsidP="00722CEA">
            <w:pPr>
              <w:spacing w:before="100" w:after="100"/>
              <w:ind w:left="-72"/>
              <w:jc w:val="right"/>
              <w:rPr>
                <w:color w:val="000000"/>
                <w:sz w:val="20"/>
                <w:lang w:val="sv-SE"/>
              </w:rPr>
            </w:pPr>
            <w:r w:rsidRPr="00800D1B">
              <w:rPr>
                <w:color w:val="000000"/>
                <w:sz w:val="20"/>
                <w:lang w:val="sv-SE"/>
              </w:rPr>
              <w:t>21,00</w:t>
            </w:r>
          </w:p>
        </w:tc>
        <w:tc>
          <w:tcPr>
            <w:tcW w:w="0" w:type="auto"/>
          </w:tcPr>
          <w:p w14:paraId="2D065A2E" w14:textId="77777777" w:rsidR="00A77B3E" w:rsidRPr="00800D1B" w:rsidRDefault="00623E14" w:rsidP="00722CEA">
            <w:pPr>
              <w:spacing w:before="100" w:after="100"/>
              <w:ind w:left="-72"/>
              <w:rPr>
                <w:color w:val="000000"/>
                <w:sz w:val="20"/>
                <w:lang w:val="sv-SE"/>
              </w:rPr>
            </w:pPr>
            <w:r w:rsidRPr="00800D1B">
              <w:rPr>
                <w:color w:val="000000"/>
                <w:sz w:val="20"/>
                <w:lang w:val="sv-SE"/>
              </w:rPr>
              <w:t>Projekt</w:t>
            </w:r>
          </w:p>
        </w:tc>
        <w:tc>
          <w:tcPr>
            <w:tcW w:w="0" w:type="auto"/>
          </w:tcPr>
          <w:p w14:paraId="2D065A2F" w14:textId="77777777" w:rsidR="00A77B3E" w:rsidRPr="00800D1B" w:rsidRDefault="00A77B3E" w:rsidP="00722CEA">
            <w:pPr>
              <w:spacing w:before="100" w:after="100"/>
              <w:ind w:left="-72"/>
              <w:rPr>
                <w:color w:val="000000"/>
                <w:sz w:val="20"/>
                <w:lang w:val="sv-SE"/>
              </w:rPr>
            </w:pPr>
          </w:p>
        </w:tc>
      </w:tr>
      <w:tr w:rsidR="003422DB" w:rsidRPr="00800D1B" w14:paraId="2D065A3D" w14:textId="77777777" w:rsidTr="00722CEA">
        <w:tc>
          <w:tcPr>
            <w:tcW w:w="0" w:type="auto"/>
          </w:tcPr>
          <w:p w14:paraId="2D065A31" w14:textId="77777777" w:rsidR="00A77B3E" w:rsidRPr="00800D1B" w:rsidRDefault="00623E14" w:rsidP="00722CEA">
            <w:pPr>
              <w:spacing w:before="100" w:after="100"/>
              <w:ind w:left="-72"/>
              <w:rPr>
                <w:color w:val="000000"/>
                <w:sz w:val="20"/>
                <w:lang w:val="sv-SE"/>
              </w:rPr>
            </w:pPr>
            <w:r w:rsidRPr="00800D1B">
              <w:rPr>
                <w:color w:val="000000"/>
                <w:sz w:val="20"/>
                <w:lang w:val="sv-SE"/>
              </w:rPr>
              <w:t>3</w:t>
            </w:r>
          </w:p>
        </w:tc>
        <w:tc>
          <w:tcPr>
            <w:tcW w:w="0" w:type="auto"/>
          </w:tcPr>
          <w:p w14:paraId="2D065A32" w14:textId="77777777" w:rsidR="00A77B3E" w:rsidRPr="00800D1B" w:rsidRDefault="00623E14" w:rsidP="00722CEA">
            <w:pPr>
              <w:spacing w:before="100" w:after="100"/>
              <w:ind w:left="-72"/>
              <w:rPr>
                <w:color w:val="000000"/>
                <w:sz w:val="20"/>
                <w:lang w:val="sv-SE"/>
              </w:rPr>
            </w:pPr>
            <w:r w:rsidRPr="00800D1B">
              <w:rPr>
                <w:color w:val="000000"/>
                <w:sz w:val="20"/>
                <w:lang w:val="sv-SE"/>
              </w:rPr>
              <w:t>RSO1.2</w:t>
            </w:r>
          </w:p>
        </w:tc>
        <w:tc>
          <w:tcPr>
            <w:tcW w:w="0" w:type="auto"/>
          </w:tcPr>
          <w:p w14:paraId="2D065A33" w14:textId="77777777" w:rsidR="00A77B3E" w:rsidRPr="00800D1B" w:rsidRDefault="00623E14" w:rsidP="00722CEA">
            <w:pPr>
              <w:spacing w:before="100" w:after="100"/>
              <w:ind w:left="-72"/>
              <w:rPr>
                <w:color w:val="000000"/>
                <w:sz w:val="20"/>
                <w:lang w:val="sv-SE"/>
              </w:rPr>
            </w:pPr>
            <w:r w:rsidRPr="00800D1B">
              <w:rPr>
                <w:color w:val="000000"/>
                <w:sz w:val="20"/>
                <w:lang w:val="sv-SE"/>
              </w:rPr>
              <w:t>Eruf</w:t>
            </w:r>
          </w:p>
        </w:tc>
        <w:tc>
          <w:tcPr>
            <w:tcW w:w="0" w:type="auto"/>
          </w:tcPr>
          <w:p w14:paraId="2D065A34" w14:textId="77777777" w:rsidR="00A77B3E" w:rsidRPr="00800D1B" w:rsidRDefault="00623E14" w:rsidP="00A67879">
            <w:pPr>
              <w:spacing w:before="100" w:after="100"/>
              <w:ind w:left="-72" w:right="-165"/>
              <w:rPr>
                <w:color w:val="000000"/>
                <w:sz w:val="20"/>
                <w:lang w:val="sv-SE"/>
              </w:rPr>
            </w:pPr>
            <w:r w:rsidRPr="00800D1B">
              <w:rPr>
                <w:color w:val="000000"/>
                <w:sz w:val="20"/>
                <w:lang w:val="sv-SE"/>
              </w:rPr>
              <w:t>De yttersta randområdena eller de nordliga glesbefolkade områdena</w:t>
            </w:r>
          </w:p>
        </w:tc>
        <w:tc>
          <w:tcPr>
            <w:tcW w:w="0" w:type="auto"/>
          </w:tcPr>
          <w:p w14:paraId="2D065A35" w14:textId="77777777" w:rsidR="00A77B3E" w:rsidRPr="00800D1B" w:rsidRDefault="00623E14" w:rsidP="00722CEA">
            <w:pPr>
              <w:spacing w:before="100" w:after="100"/>
              <w:ind w:left="-72"/>
              <w:rPr>
                <w:color w:val="000000"/>
                <w:sz w:val="20"/>
                <w:lang w:val="sv-SE"/>
              </w:rPr>
            </w:pPr>
            <w:r w:rsidRPr="00800D1B">
              <w:rPr>
                <w:color w:val="000000"/>
                <w:sz w:val="20"/>
                <w:lang w:val="sv-SE"/>
              </w:rPr>
              <w:t>RCR03</w:t>
            </w:r>
          </w:p>
        </w:tc>
        <w:tc>
          <w:tcPr>
            <w:tcW w:w="0" w:type="auto"/>
          </w:tcPr>
          <w:p w14:paraId="2D065A36" w14:textId="77777777" w:rsidR="00A77B3E" w:rsidRPr="00800D1B" w:rsidRDefault="00623E14" w:rsidP="00722CEA">
            <w:pPr>
              <w:spacing w:before="100" w:after="100"/>
              <w:ind w:left="-72"/>
              <w:rPr>
                <w:color w:val="000000"/>
                <w:sz w:val="20"/>
                <w:lang w:val="sv-SE"/>
              </w:rPr>
            </w:pPr>
            <w:r w:rsidRPr="00800D1B">
              <w:rPr>
                <w:color w:val="000000"/>
                <w:sz w:val="20"/>
                <w:lang w:val="sv-SE"/>
              </w:rPr>
              <w:t>Små och medelstora företag (SMF) som inför produkt- eller processinnovationer</w:t>
            </w:r>
          </w:p>
        </w:tc>
        <w:tc>
          <w:tcPr>
            <w:tcW w:w="0" w:type="auto"/>
          </w:tcPr>
          <w:p w14:paraId="2D065A37" w14:textId="77777777" w:rsidR="00A77B3E" w:rsidRPr="00800D1B" w:rsidRDefault="00623E14" w:rsidP="00722CEA">
            <w:pPr>
              <w:spacing w:before="100" w:after="100"/>
              <w:ind w:left="-72"/>
              <w:rPr>
                <w:color w:val="000000"/>
                <w:sz w:val="20"/>
                <w:lang w:val="sv-SE"/>
              </w:rPr>
            </w:pPr>
            <w:r w:rsidRPr="00800D1B">
              <w:rPr>
                <w:color w:val="000000"/>
                <w:sz w:val="20"/>
                <w:lang w:val="sv-SE"/>
              </w:rPr>
              <w:t>företag</w:t>
            </w:r>
          </w:p>
        </w:tc>
        <w:tc>
          <w:tcPr>
            <w:tcW w:w="0" w:type="auto"/>
          </w:tcPr>
          <w:p w14:paraId="2D065A38" w14:textId="77777777" w:rsidR="00A77B3E" w:rsidRPr="00800D1B" w:rsidRDefault="00623E14" w:rsidP="00722CEA">
            <w:pPr>
              <w:spacing w:before="100" w:after="100"/>
              <w:ind w:left="-72"/>
              <w:jc w:val="right"/>
              <w:rPr>
                <w:color w:val="000000"/>
                <w:sz w:val="20"/>
                <w:lang w:val="sv-SE"/>
              </w:rPr>
            </w:pPr>
            <w:r w:rsidRPr="00800D1B">
              <w:rPr>
                <w:color w:val="000000"/>
                <w:sz w:val="20"/>
                <w:lang w:val="sv-SE"/>
              </w:rPr>
              <w:t>0,00</w:t>
            </w:r>
          </w:p>
        </w:tc>
        <w:tc>
          <w:tcPr>
            <w:tcW w:w="0" w:type="auto"/>
          </w:tcPr>
          <w:p w14:paraId="2D065A39" w14:textId="77777777" w:rsidR="00A77B3E" w:rsidRPr="00800D1B" w:rsidRDefault="00623E14" w:rsidP="00722CEA">
            <w:pPr>
              <w:spacing w:before="100" w:after="100"/>
              <w:ind w:left="-72"/>
              <w:jc w:val="center"/>
              <w:rPr>
                <w:color w:val="000000"/>
                <w:sz w:val="20"/>
                <w:lang w:val="sv-SE"/>
              </w:rPr>
            </w:pPr>
            <w:r w:rsidRPr="00800D1B">
              <w:rPr>
                <w:color w:val="000000"/>
                <w:sz w:val="20"/>
                <w:lang w:val="sv-SE"/>
              </w:rPr>
              <w:t>2021</w:t>
            </w:r>
          </w:p>
        </w:tc>
        <w:tc>
          <w:tcPr>
            <w:tcW w:w="0" w:type="auto"/>
          </w:tcPr>
          <w:p w14:paraId="2D065A3A" w14:textId="77777777" w:rsidR="00A77B3E" w:rsidRPr="00800D1B" w:rsidRDefault="00623E14" w:rsidP="00722CEA">
            <w:pPr>
              <w:spacing w:before="100" w:after="100"/>
              <w:ind w:left="-72"/>
              <w:jc w:val="right"/>
              <w:rPr>
                <w:color w:val="000000"/>
                <w:sz w:val="20"/>
                <w:lang w:val="sv-SE"/>
              </w:rPr>
            </w:pPr>
            <w:r w:rsidRPr="00800D1B">
              <w:rPr>
                <w:color w:val="000000"/>
                <w:sz w:val="20"/>
                <w:lang w:val="sv-SE"/>
              </w:rPr>
              <w:t>1,00</w:t>
            </w:r>
          </w:p>
        </w:tc>
        <w:tc>
          <w:tcPr>
            <w:tcW w:w="0" w:type="auto"/>
          </w:tcPr>
          <w:p w14:paraId="2D065A3B" w14:textId="77777777" w:rsidR="00A77B3E" w:rsidRPr="00800D1B" w:rsidRDefault="00623E14" w:rsidP="00722CEA">
            <w:pPr>
              <w:spacing w:before="100" w:after="100"/>
              <w:ind w:left="-72"/>
              <w:rPr>
                <w:color w:val="000000"/>
                <w:sz w:val="20"/>
                <w:lang w:val="sv-SE"/>
              </w:rPr>
            </w:pPr>
            <w:r w:rsidRPr="00800D1B">
              <w:rPr>
                <w:color w:val="000000"/>
                <w:sz w:val="20"/>
                <w:lang w:val="sv-SE"/>
              </w:rPr>
              <w:t>Projekt</w:t>
            </w:r>
          </w:p>
        </w:tc>
        <w:tc>
          <w:tcPr>
            <w:tcW w:w="0" w:type="auto"/>
          </w:tcPr>
          <w:p w14:paraId="2D065A3C" w14:textId="77777777" w:rsidR="00A77B3E" w:rsidRPr="00800D1B" w:rsidRDefault="00A77B3E" w:rsidP="00722CEA">
            <w:pPr>
              <w:spacing w:before="100" w:after="100"/>
              <w:ind w:left="-72"/>
              <w:rPr>
                <w:color w:val="000000"/>
                <w:sz w:val="20"/>
                <w:lang w:val="sv-SE"/>
              </w:rPr>
            </w:pPr>
          </w:p>
        </w:tc>
      </w:tr>
      <w:tr w:rsidR="003422DB" w:rsidRPr="00800D1B" w14:paraId="2D065A4A" w14:textId="77777777" w:rsidTr="00722CEA">
        <w:tc>
          <w:tcPr>
            <w:tcW w:w="0" w:type="auto"/>
          </w:tcPr>
          <w:p w14:paraId="2D065A3E" w14:textId="77777777" w:rsidR="00A77B3E" w:rsidRPr="00800D1B" w:rsidRDefault="00623E14" w:rsidP="00722CEA">
            <w:pPr>
              <w:spacing w:before="100" w:after="100"/>
              <w:ind w:left="-72"/>
              <w:rPr>
                <w:color w:val="000000"/>
                <w:sz w:val="20"/>
                <w:lang w:val="sv-SE"/>
              </w:rPr>
            </w:pPr>
            <w:r w:rsidRPr="00800D1B">
              <w:rPr>
                <w:color w:val="000000"/>
                <w:sz w:val="20"/>
                <w:lang w:val="sv-SE"/>
              </w:rPr>
              <w:t>3</w:t>
            </w:r>
          </w:p>
        </w:tc>
        <w:tc>
          <w:tcPr>
            <w:tcW w:w="0" w:type="auto"/>
          </w:tcPr>
          <w:p w14:paraId="2D065A3F" w14:textId="77777777" w:rsidR="00A77B3E" w:rsidRPr="00800D1B" w:rsidRDefault="00623E14" w:rsidP="00722CEA">
            <w:pPr>
              <w:spacing w:before="100" w:after="100"/>
              <w:ind w:left="-72"/>
              <w:rPr>
                <w:color w:val="000000"/>
                <w:sz w:val="20"/>
                <w:lang w:val="sv-SE"/>
              </w:rPr>
            </w:pPr>
            <w:r w:rsidRPr="00800D1B">
              <w:rPr>
                <w:color w:val="000000"/>
                <w:sz w:val="20"/>
                <w:lang w:val="sv-SE"/>
              </w:rPr>
              <w:t>RSO1.2</w:t>
            </w:r>
          </w:p>
        </w:tc>
        <w:tc>
          <w:tcPr>
            <w:tcW w:w="0" w:type="auto"/>
          </w:tcPr>
          <w:p w14:paraId="2D065A40" w14:textId="77777777" w:rsidR="00A77B3E" w:rsidRPr="00800D1B" w:rsidRDefault="00623E14" w:rsidP="00722CEA">
            <w:pPr>
              <w:spacing w:before="100" w:after="100"/>
              <w:ind w:left="-72"/>
              <w:rPr>
                <w:color w:val="000000"/>
                <w:sz w:val="20"/>
                <w:lang w:val="sv-SE"/>
              </w:rPr>
            </w:pPr>
            <w:r w:rsidRPr="00800D1B">
              <w:rPr>
                <w:color w:val="000000"/>
                <w:sz w:val="20"/>
                <w:lang w:val="sv-SE"/>
              </w:rPr>
              <w:t>Eruf</w:t>
            </w:r>
          </w:p>
        </w:tc>
        <w:tc>
          <w:tcPr>
            <w:tcW w:w="0" w:type="auto"/>
          </w:tcPr>
          <w:p w14:paraId="2D065A41" w14:textId="77777777" w:rsidR="00A77B3E" w:rsidRPr="00800D1B" w:rsidRDefault="00623E14" w:rsidP="00A67879">
            <w:pPr>
              <w:spacing w:before="100" w:after="100"/>
              <w:ind w:left="-72" w:right="-165"/>
              <w:rPr>
                <w:color w:val="000000"/>
                <w:sz w:val="20"/>
                <w:lang w:val="sv-SE"/>
              </w:rPr>
            </w:pPr>
            <w:r w:rsidRPr="00800D1B">
              <w:rPr>
                <w:color w:val="000000"/>
                <w:sz w:val="20"/>
                <w:lang w:val="sv-SE"/>
              </w:rPr>
              <w:t>De yttersta randområdena eller de nordliga glesbefolkade områdena</w:t>
            </w:r>
          </w:p>
        </w:tc>
        <w:tc>
          <w:tcPr>
            <w:tcW w:w="0" w:type="auto"/>
          </w:tcPr>
          <w:p w14:paraId="2D065A42" w14:textId="77777777" w:rsidR="00A77B3E" w:rsidRPr="00800D1B" w:rsidRDefault="00623E14" w:rsidP="00722CEA">
            <w:pPr>
              <w:spacing w:before="100" w:after="100"/>
              <w:ind w:left="-72"/>
              <w:rPr>
                <w:color w:val="000000"/>
                <w:sz w:val="20"/>
                <w:lang w:val="sv-SE"/>
              </w:rPr>
            </w:pPr>
            <w:r w:rsidRPr="00800D1B">
              <w:rPr>
                <w:color w:val="000000"/>
                <w:sz w:val="20"/>
                <w:lang w:val="sv-SE"/>
              </w:rPr>
              <w:t>RCR04</w:t>
            </w:r>
          </w:p>
        </w:tc>
        <w:tc>
          <w:tcPr>
            <w:tcW w:w="0" w:type="auto"/>
          </w:tcPr>
          <w:p w14:paraId="2D065A43" w14:textId="77777777" w:rsidR="00A77B3E" w:rsidRPr="00800D1B" w:rsidRDefault="00623E14" w:rsidP="00722CEA">
            <w:pPr>
              <w:spacing w:before="100" w:after="100"/>
              <w:ind w:left="-72"/>
              <w:rPr>
                <w:color w:val="000000"/>
                <w:sz w:val="20"/>
                <w:lang w:val="sv-SE"/>
              </w:rPr>
            </w:pPr>
            <w:r w:rsidRPr="00800D1B">
              <w:rPr>
                <w:color w:val="000000"/>
                <w:sz w:val="20"/>
                <w:lang w:val="sv-SE"/>
              </w:rPr>
              <w:t>Små och medelstora företag som inför marknadsförings- eller organisationsinnovationer</w:t>
            </w:r>
          </w:p>
        </w:tc>
        <w:tc>
          <w:tcPr>
            <w:tcW w:w="0" w:type="auto"/>
          </w:tcPr>
          <w:p w14:paraId="2D065A44" w14:textId="77777777" w:rsidR="00A77B3E" w:rsidRPr="00800D1B" w:rsidRDefault="00623E14" w:rsidP="00722CEA">
            <w:pPr>
              <w:spacing w:before="100" w:after="100"/>
              <w:ind w:left="-72"/>
              <w:rPr>
                <w:color w:val="000000"/>
                <w:sz w:val="20"/>
                <w:lang w:val="sv-SE"/>
              </w:rPr>
            </w:pPr>
            <w:r w:rsidRPr="00800D1B">
              <w:rPr>
                <w:color w:val="000000"/>
                <w:sz w:val="20"/>
                <w:lang w:val="sv-SE"/>
              </w:rPr>
              <w:t>företag</w:t>
            </w:r>
          </w:p>
        </w:tc>
        <w:tc>
          <w:tcPr>
            <w:tcW w:w="0" w:type="auto"/>
          </w:tcPr>
          <w:p w14:paraId="2D065A45" w14:textId="77777777" w:rsidR="00A77B3E" w:rsidRPr="00800D1B" w:rsidRDefault="00623E14" w:rsidP="00722CEA">
            <w:pPr>
              <w:spacing w:before="100" w:after="100"/>
              <w:ind w:left="-72"/>
              <w:jc w:val="right"/>
              <w:rPr>
                <w:color w:val="000000"/>
                <w:sz w:val="20"/>
                <w:lang w:val="sv-SE"/>
              </w:rPr>
            </w:pPr>
            <w:r w:rsidRPr="00800D1B">
              <w:rPr>
                <w:color w:val="000000"/>
                <w:sz w:val="20"/>
                <w:lang w:val="sv-SE"/>
              </w:rPr>
              <w:t>0,00</w:t>
            </w:r>
          </w:p>
        </w:tc>
        <w:tc>
          <w:tcPr>
            <w:tcW w:w="0" w:type="auto"/>
          </w:tcPr>
          <w:p w14:paraId="2D065A46" w14:textId="77777777" w:rsidR="00A77B3E" w:rsidRPr="00800D1B" w:rsidRDefault="00623E14" w:rsidP="00722CEA">
            <w:pPr>
              <w:spacing w:before="100" w:after="100"/>
              <w:ind w:left="-72"/>
              <w:jc w:val="center"/>
              <w:rPr>
                <w:color w:val="000000"/>
                <w:sz w:val="20"/>
                <w:lang w:val="sv-SE"/>
              </w:rPr>
            </w:pPr>
            <w:r w:rsidRPr="00800D1B">
              <w:rPr>
                <w:color w:val="000000"/>
                <w:sz w:val="20"/>
                <w:lang w:val="sv-SE"/>
              </w:rPr>
              <w:t>2021</w:t>
            </w:r>
          </w:p>
        </w:tc>
        <w:tc>
          <w:tcPr>
            <w:tcW w:w="0" w:type="auto"/>
          </w:tcPr>
          <w:p w14:paraId="2D065A47" w14:textId="77777777" w:rsidR="00A77B3E" w:rsidRPr="00800D1B" w:rsidRDefault="00623E14" w:rsidP="00722CEA">
            <w:pPr>
              <w:spacing w:before="100" w:after="100"/>
              <w:ind w:left="-72"/>
              <w:jc w:val="right"/>
              <w:rPr>
                <w:color w:val="000000"/>
                <w:sz w:val="20"/>
                <w:lang w:val="sv-SE"/>
              </w:rPr>
            </w:pPr>
            <w:r w:rsidRPr="00800D1B">
              <w:rPr>
                <w:color w:val="000000"/>
                <w:sz w:val="20"/>
                <w:lang w:val="sv-SE"/>
              </w:rPr>
              <w:t>1,00</w:t>
            </w:r>
          </w:p>
        </w:tc>
        <w:tc>
          <w:tcPr>
            <w:tcW w:w="0" w:type="auto"/>
          </w:tcPr>
          <w:p w14:paraId="2D065A48" w14:textId="77777777" w:rsidR="00A77B3E" w:rsidRPr="00800D1B" w:rsidRDefault="00623E14" w:rsidP="00722CEA">
            <w:pPr>
              <w:spacing w:before="100" w:after="100"/>
              <w:ind w:left="-72"/>
              <w:rPr>
                <w:color w:val="000000"/>
                <w:sz w:val="20"/>
                <w:lang w:val="sv-SE"/>
              </w:rPr>
            </w:pPr>
            <w:r w:rsidRPr="00800D1B">
              <w:rPr>
                <w:color w:val="000000"/>
                <w:sz w:val="20"/>
                <w:lang w:val="sv-SE"/>
              </w:rPr>
              <w:t>Projekt</w:t>
            </w:r>
          </w:p>
        </w:tc>
        <w:tc>
          <w:tcPr>
            <w:tcW w:w="0" w:type="auto"/>
          </w:tcPr>
          <w:p w14:paraId="2D065A49" w14:textId="77777777" w:rsidR="00A77B3E" w:rsidRPr="00800D1B" w:rsidRDefault="00A77B3E" w:rsidP="00722CEA">
            <w:pPr>
              <w:spacing w:before="100" w:after="100"/>
              <w:ind w:left="-72"/>
              <w:rPr>
                <w:color w:val="000000"/>
                <w:sz w:val="20"/>
                <w:lang w:val="sv-SE"/>
              </w:rPr>
            </w:pPr>
          </w:p>
        </w:tc>
      </w:tr>
      <w:tr w:rsidR="003422DB" w:rsidRPr="00800D1B" w14:paraId="2D065A57" w14:textId="77777777" w:rsidTr="00722CEA">
        <w:tc>
          <w:tcPr>
            <w:tcW w:w="0" w:type="auto"/>
          </w:tcPr>
          <w:p w14:paraId="2D065A4B" w14:textId="77777777" w:rsidR="00A77B3E" w:rsidRPr="00800D1B" w:rsidRDefault="00623E14" w:rsidP="00722CEA">
            <w:pPr>
              <w:spacing w:before="100" w:after="100"/>
              <w:ind w:left="-72"/>
              <w:rPr>
                <w:color w:val="000000"/>
                <w:sz w:val="20"/>
                <w:lang w:val="sv-SE"/>
              </w:rPr>
            </w:pPr>
            <w:r w:rsidRPr="00800D1B">
              <w:rPr>
                <w:color w:val="000000"/>
                <w:sz w:val="20"/>
                <w:lang w:val="sv-SE"/>
              </w:rPr>
              <w:t>3</w:t>
            </w:r>
          </w:p>
        </w:tc>
        <w:tc>
          <w:tcPr>
            <w:tcW w:w="0" w:type="auto"/>
          </w:tcPr>
          <w:p w14:paraId="2D065A4C" w14:textId="77777777" w:rsidR="00A77B3E" w:rsidRPr="00800D1B" w:rsidRDefault="00623E14" w:rsidP="00722CEA">
            <w:pPr>
              <w:spacing w:before="100" w:after="100"/>
              <w:ind w:left="-72"/>
              <w:rPr>
                <w:color w:val="000000"/>
                <w:sz w:val="20"/>
                <w:lang w:val="sv-SE"/>
              </w:rPr>
            </w:pPr>
            <w:r w:rsidRPr="00800D1B">
              <w:rPr>
                <w:color w:val="000000"/>
                <w:sz w:val="20"/>
                <w:lang w:val="sv-SE"/>
              </w:rPr>
              <w:t>RSO1.2</w:t>
            </w:r>
          </w:p>
        </w:tc>
        <w:tc>
          <w:tcPr>
            <w:tcW w:w="0" w:type="auto"/>
          </w:tcPr>
          <w:p w14:paraId="2D065A4D" w14:textId="77777777" w:rsidR="00A77B3E" w:rsidRPr="00800D1B" w:rsidRDefault="00623E14" w:rsidP="00722CEA">
            <w:pPr>
              <w:spacing w:before="100" w:after="100"/>
              <w:ind w:left="-72"/>
              <w:rPr>
                <w:color w:val="000000"/>
                <w:sz w:val="20"/>
                <w:lang w:val="sv-SE"/>
              </w:rPr>
            </w:pPr>
            <w:r w:rsidRPr="00800D1B">
              <w:rPr>
                <w:color w:val="000000"/>
                <w:sz w:val="20"/>
                <w:lang w:val="sv-SE"/>
              </w:rPr>
              <w:t>Eruf</w:t>
            </w:r>
          </w:p>
        </w:tc>
        <w:tc>
          <w:tcPr>
            <w:tcW w:w="0" w:type="auto"/>
          </w:tcPr>
          <w:p w14:paraId="2D065A4E" w14:textId="77777777" w:rsidR="00A77B3E" w:rsidRPr="00800D1B" w:rsidRDefault="00623E14" w:rsidP="00A67879">
            <w:pPr>
              <w:spacing w:before="100" w:after="100"/>
              <w:ind w:left="-72" w:right="-165"/>
              <w:rPr>
                <w:color w:val="000000"/>
                <w:sz w:val="20"/>
                <w:lang w:val="sv-SE"/>
              </w:rPr>
            </w:pPr>
            <w:r w:rsidRPr="00800D1B">
              <w:rPr>
                <w:color w:val="000000"/>
                <w:sz w:val="20"/>
                <w:lang w:val="sv-SE"/>
              </w:rPr>
              <w:t>De yttersta randområdena eller de nordliga glesbefolkade områdena</w:t>
            </w:r>
          </w:p>
        </w:tc>
        <w:tc>
          <w:tcPr>
            <w:tcW w:w="0" w:type="auto"/>
          </w:tcPr>
          <w:p w14:paraId="2D065A4F" w14:textId="77777777" w:rsidR="00A77B3E" w:rsidRPr="00800D1B" w:rsidRDefault="00623E14" w:rsidP="00722CEA">
            <w:pPr>
              <w:spacing w:before="100" w:after="100"/>
              <w:ind w:left="-72"/>
              <w:rPr>
                <w:color w:val="000000"/>
                <w:sz w:val="20"/>
                <w:lang w:val="sv-SE"/>
              </w:rPr>
            </w:pPr>
            <w:r w:rsidRPr="00800D1B">
              <w:rPr>
                <w:color w:val="000000"/>
                <w:sz w:val="20"/>
                <w:lang w:val="sv-SE"/>
              </w:rPr>
              <w:t>RCR05</w:t>
            </w:r>
          </w:p>
        </w:tc>
        <w:tc>
          <w:tcPr>
            <w:tcW w:w="0" w:type="auto"/>
          </w:tcPr>
          <w:p w14:paraId="2D065A50" w14:textId="77777777" w:rsidR="00A77B3E" w:rsidRPr="00800D1B" w:rsidRDefault="00623E14" w:rsidP="00722CEA">
            <w:pPr>
              <w:spacing w:before="100" w:after="100"/>
              <w:ind w:left="-72"/>
              <w:rPr>
                <w:color w:val="000000"/>
                <w:sz w:val="20"/>
                <w:lang w:val="sv-SE"/>
              </w:rPr>
            </w:pPr>
            <w:r w:rsidRPr="00800D1B">
              <w:rPr>
                <w:color w:val="000000"/>
                <w:sz w:val="20"/>
                <w:lang w:val="sv-SE"/>
              </w:rPr>
              <w:t>Små och medelstora företag som gör innovationer inom företaget</w:t>
            </w:r>
          </w:p>
        </w:tc>
        <w:tc>
          <w:tcPr>
            <w:tcW w:w="0" w:type="auto"/>
          </w:tcPr>
          <w:p w14:paraId="2D065A51" w14:textId="77777777" w:rsidR="00A77B3E" w:rsidRPr="00800D1B" w:rsidRDefault="00623E14" w:rsidP="00722CEA">
            <w:pPr>
              <w:spacing w:before="100" w:after="100"/>
              <w:ind w:left="-72"/>
              <w:rPr>
                <w:color w:val="000000"/>
                <w:sz w:val="20"/>
                <w:lang w:val="sv-SE"/>
              </w:rPr>
            </w:pPr>
            <w:r w:rsidRPr="00800D1B">
              <w:rPr>
                <w:color w:val="000000"/>
                <w:sz w:val="20"/>
                <w:lang w:val="sv-SE"/>
              </w:rPr>
              <w:t>företag</w:t>
            </w:r>
          </w:p>
        </w:tc>
        <w:tc>
          <w:tcPr>
            <w:tcW w:w="0" w:type="auto"/>
          </w:tcPr>
          <w:p w14:paraId="2D065A52" w14:textId="77777777" w:rsidR="00A77B3E" w:rsidRPr="00800D1B" w:rsidRDefault="00623E14" w:rsidP="00722CEA">
            <w:pPr>
              <w:spacing w:before="100" w:after="100"/>
              <w:ind w:left="-72"/>
              <w:jc w:val="right"/>
              <w:rPr>
                <w:color w:val="000000"/>
                <w:sz w:val="20"/>
                <w:lang w:val="sv-SE"/>
              </w:rPr>
            </w:pPr>
            <w:r w:rsidRPr="00800D1B">
              <w:rPr>
                <w:color w:val="000000"/>
                <w:sz w:val="20"/>
                <w:lang w:val="sv-SE"/>
              </w:rPr>
              <w:t>0,00</w:t>
            </w:r>
          </w:p>
        </w:tc>
        <w:tc>
          <w:tcPr>
            <w:tcW w:w="0" w:type="auto"/>
          </w:tcPr>
          <w:p w14:paraId="2D065A53" w14:textId="77777777" w:rsidR="00A77B3E" w:rsidRPr="00800D1B" w:rsidRDefault="00623E14" w:rsidP="00722CEA">
            <w:pPr>
              <w:spacing w:before="100" w:after="100"/>
              <w:ind w:left="-72"/>
              <w:jc w:val="center"/>
              <w:rPr>
                <w:color w:val="000000"/>
                <w:sz w:val="20"/>
                <w:lang w:val="sv-SE"/>
              </w:rPr>
            </w:pPr>
            <w:r w:rsidRPr="00800D1B">
              <w:rPr>
                <w:color w:val="000000"/>
                <w:sz w:val="20"/>
                <w:lang w:val="sv-SE"/>
              </w:rPr>
              <w:t>2021</w:t>
            </w:r>
          </w:p>
        </w:tc>
        <w:tc>
          <w:tcPr>
            <w:tcW w:w="0" w:type="auto"/>
          </w:tcPr>
          <w:p w14:paraId="2D065A54" w14:textId="77777777" w:rsidR="00A77B3E" w:rsidRPr="00800D1B" w:rsidRDefault="00623E14" w:rsidP="00722CEA">
            <w:pPr>
              <w:spacing w:before="100" w:after="100"/>
              <w:ind w:left="-72"/>
              <w:jc w:val="right"/>
              <w:rPr>
                <w:color w:val="000000"/>
                <w:sz w:val="20"/>
                <w:lang w:val="sv-SE"/>
              </w:rPr>
            </w:pPr>
            <w:r w:rsidRPr="00800D1B">
              <w:rPr>
                <w:color w:val="000000"/>
                <w:sz w:val="20"/>
                <w:lang w:val="sv-SE"/>
              </w:rPr>
              <w:t>1,00</w:t>
            </w:r>
          </w:p>
        </w:tc>
        <w:tc>
          <w:tcPr>
            <w:tcW w:w="0" w:type="auto"/>
          </w:tcPr>
          <w:p w14:paraId="2D065A55" w14:textId="77777777" w:rsidR="00A77B3E" w:rsidRPr="00800D1B" w:rsidRDefault="00623E14" w:rsidP="00722CEA">
            <w:pPr>
              <w:spacing w:before="100" w:after="100"/>
              <w:ind w:left="-72"/>
              <w:rPr>
                <w:color w:val="000000"/>
                <w:sz w:val="20"/>
                <w:lang w:val="sv-SE"/>
              </w:rPr>
            </w:pPr>
            <w:r w:rsidRPr="00800D1B">
              <w:rPr>
                <w:color w:val="000000"/>
                <w:sz w:val="20"/>
                <w:lang w:val="sv-SE"/>
              </w:rPr>
              <w:t>Projekt</w:t>
            </w:r>
          </w:p>
        </w:tc>
        <w:tc>
          <w:tcPr>
            <w:tcW w:w="0" w:type="auto"/>
          </w:tcPr>
          <w:p w14:paraId="2D065A56" w14:textId="77777777" w:rsidR="00A77B3E" w:rsidRPr="00800D1B" w:rsidRDefault="00A77B3E" w:rsidP="00722CEA">
            <w:pPr>
              <w:spacing w:before="100" w:after="100"/>
              <w:ind w:left="-72"/>
              <w:rPr>
                <w:color w:val="000000"/>
                <w:sz w:val="20"/>
                <w:lang w:val="sv-SE"/>
              </w:rPr>
            </w:pPr>
          </w:p>
        </w:tc>
      </w:tr>
      <w:tr w:rsidR="003422DB" w:rsidRPr="00800D1B" w14:paraId="2D065A64" w14:textId="77777777" w:rsidTr="00722CEA">
        <w:tc>
          <w:tcPr>
            <w:tcW w:w="0" w:type="auto"/>
          </w:tcPr>
          <w:p w14:paraId="2D065A58" w14:textId="77777777" w:rsidR="00A77B3E" w:rsidRPr="00800D1B" w:rsidRDefault="00623E14" w:rsidP="00722CEA">
            <w:pPr>
              <w:spacing w:before="100" w:after="100"/>
              <w:ind w:left="-72"/>
              <w:rPr>
                <w:color w:val="000000"/>
                <w:sz w:val="20"/>
                <w:lang w:val="sv-SE"/>
              </w:rPr>
            </w:pPr>
            <w:r w:rsidRPr="00800D1B">
              <w:rPr>
                <w:color w:val="000000"/>
                <w:sz w:val="20"/>
                <w:lang w:val="sv-SE"/>
              </w:rPr>
              <w:t>3</w:t>
            </w:r>
          </w:p>
        </w:tc>
        <w:tc>
          <w:tcPr>
            <w:tcW w:w="0" w:type="auto"/>
          </w:tcPr>
          <w:p w14:paraId="2D065A59" w14:textId="77777777" w:rsidR="00A77B3E" w:rsidRPr="00800D1B" w:rsidRDefault="00623E14" w:rsidP="00722CEA">
            <w:pPr>
              <w:spacing w:before="100" w:after="100"/>
              <w:ind w:left="-72"/>
              <w:rPr>
                <w:color w:val="000000"/>
                <w:sz w:val="20"/>
                <w:lang w:val="sv-SE"/>
              </w:rPr>
            </w:pPr>
            <w:r w:rsidRPr="00800D1B">
              <w:rPr>
                <w:color w:val="000000"/>
                <w:sz w:val="20"/>
                <w:lang w:val="sv-SE"/>
              </w:rPr>
              <w:t>RSO1.2</w:t>
            </w:r>
          </w:p>
        </w:tc>
        <w:tc>
          <w:tcPr>
            <w:tcW w:w="0" w:type="auto"/>
          </w:tcPr>
          <w:p w14:paraId="2D065A5A" w14:textId="77777777" w:rsidR="00A77B3E" w:rsidRPr="00800D1B" w:rsidRDefault="00623E14" w:rsidP="00722CEA">
            <w:pPr>
              <w:spacing w:before="100" w:after="100"/>
              <w:ind w:left="-72"/>
              <w:rPr>
                <w:color w:val="000000"/>
                <w:sz w:val="20"/>
                <w:lang w:val="sv-SE"/>
              </w:rPr>
            </w:pPr>
            <w:r w:rsidRPr="00800D1B">
              <w:rPr>
                <w:color w:val="000000"/>
                <w:sz w:val="20"/>
                <w:lang w:val="sv-SE"/>
              </w:rPr>
              <w:t>Eruf</w:t>
            </w:r>
          </w:p>
        </w:tc>
        <w:tc>
          <w:tcPr>
            <w:tcW w:w="0" w:type="auto"/>
          </w:tcPr>
          <w:p w14:paraId="2D065A5B" w14:textId="77777777" w:rsidR="00A77B3E" w:rsidRPr="00800D1B" w:rsidRDefault="00623E14" w:rsidP="00A67879">
            <w:pPr>
              <w:spacing w:before="100" w:after="100"/>
              <w:ind w:left="-72" w:right="-165"/>
              <w:rPr>
                <w:color w:val="000000"/>
                <w:sz w:val="20"/>
                <w:lang w:val="sv-SE"/>
              </w:rPr>
            </w:pPr>
            <w:r w:rsidRPr="00800D1B">
              <w:rPr>
                <w:color w:val="000000"/>
                <w:sz w:val="20"/>
                <w:lang w:val="sv-SE"/>
              </w:rPr>
              <w:t>De yttersta randområdena eller de nordliga glesbefolkade områdena</w:t>
            </w:r>
          </w:p>
        </w:tc>
        <w:tc>
          <w:tcPr>
            <w:tcW w:w="0" w:type="auto"/>
          </w:tcPr>
          <w:p w14:paraId="2D065A5C" w14:textId="77777777" w:rsidR="00A77B3E" w:rsidRPr="00800D1B" w:rsidRDefault="00623E14" w:rsidP="00722CEA">
            <w:pPr>
              <w:spacing w:before="100" w:after="100"/>
              <w:ind w:left="-72"/>
              <w:rPr>
                <w:color w:val="000000"/>
                <w:sz w:val="20"/>
                <w:lang w:val="sv-SE"/>
              </w:rPr>
            </w:pPr>
            <w:r w:rsidRPr="00800D1B">
              <w:rPr>
                <w:color w:val="000000"/>
                <w:sz w:val="20"/>
                <w:lang w:val="sv-SE"/>
              </w:rPr>
              <w:t>RCR11</w:t>
            </w:r>
          </w:p>
        </w:tc>
        <w:tc>
          <w:tcPr>
            <w:tcW w:w="0" w:type="auto"/>
          </w:tcPr>
          <w:p w14:paraId="2D065A5D" w14:textId="77777777" w:rsidR="00A77B3E" w:rsidRPr="00800D1B" w:rsidRDefault="00623E14" w:rsidP="00722CEA">
            <w:pPr>
              <w:spacing w:before="100" w:after="100"/>
              <w:ind w:left="-72"/>
              <w:rPr>
                <w:color w:val="000000"/>
                <w:sz w:val="20"/>
                <w:lang w:val="sv-SE"/>
              </w:rPr>
            </w:pPr>
            <w:r w:rsidRPr="00800D1B">
              <w:rPr>
                <w:color w:val="000000"/>
                <w:sz w:val="20"/>
                <w:lang w:val="sv-SE"/>
              </w:rPr>
              <w:t>Användare av nya och uppgraderade offentliga digitala tjänster, produkter och processer</w:t>
            </w:r>
          </w:p>
        </w:tc>
        <w:tc>
          <w:tcPr>
            <w:tcW w:w="0" w:type="auto"/>
          </w:tcPr>
          <w:p w14:paraId="2D065A5E" w14:textId="77777777" w:rsidR="00A77B3E" w:rsidRPr="00800D1B" w:rsidRDefault="00623E14" w:rsidP="00722CEA">
            <w:pPr>
              <w:spacing w:before="100" w:after="100"/>
              <w:ind w:left="-72"/>
              <w:rPr>
                <w:color w:val="000000"/>
                <w:sz w:val="20"/>
                <w:lang w:val="sv-SE"/>
              </w:rPr>
            </w:pPr>
            <w:r w:rsidRPr="00800D1B">
              <w:rPr>
                <w:color w:val="000000"/>
                <w:sz w:val="20"/>
                <w:lang w:val="sv-SE"/>
              </w:rPr>
              <w:t>användare/år</w:t>
            </w:r>
          </w:p>
        </w:tc>
        <w:tc>
          <w:tcPr>
            <w:tcW w:w="0" w:type="auto"/>
          </w:tcPr>
          <w:p w14:paraId="2D065A5F" w14:textId="77777777" w:rsidR="00A77B3E" w:rsidRPr="00800D1B" w:rsidRDefault="00623E14" w:rsidP="00722CEA">
            <w:pPr>
              <w:spacing w:before="100" w:after="100"/>
              <w:ind w:left="-72"/>
              <w:jc w:val="right"/>
              <w:rPr>
                <w:color w:val="000000"/>
                <w:sz w:val="20"/>
                <w:lang w:val="sv-SE"/>
              </w:rPr>
            </w:pPr>
            <w:r w:rsidRPr="00800D1B">
              <w:rPr>
                <w:color w:val="000000"/>
                <w:sz w:val="20"/>
                <w:lang w:val="sv-SE"/>
              </w:rPr>
              <w:t>0,00</w:t>
            </w:r>
          </w:p>
        </w:tc>
        <w:tc>
          <w:tcPr>
            <w:tcW w:w="0" w:type="auto"/>
          </w:tcPr>
          <w:p w14:paraId="2D065A60" w14:textId="77777777" w:rsidR="00A77B3E" w:rsidRPr="00800D1B" w:rsidRDefault="00623E14" w:rsidP="00722CEA">
            <w:pPr>
              <w:spacing w:before="100" w:after="100"/>
              <w:ind w:left="-72"/>
              <w:jc w:val="center"/>
              <w:rPr>
                <w:color w:val="000000"/>
                <w:sz w:val="20"/>
                <w:lang w:val="sv-SE"/>
              </w:rPr>
            </w:pPr>
            <w:r w:rsidRPr="00800D1B">
              <w:rPr>
                <w:color w:val="000000"/>
                <w:sz w:val="20"/>
                <w:lang w:val="sv-SE"/>
              </w:rPr>
              <w:t>2021</w:t>
            </w:r>
          </w:p>
        </w:tc>
        <w:tc>
          <w:tcPr>
            <w:tcW w:w="0" w:type="auto"/>
          </w:tcPr>
          <w:p w14:paraId="2D065A61" w14:textId="77777777" w:rsidR="00A77B3E" w:rsidRPr="00800D1B" w:rsidRDefault="00623E14" w:rsidP="00722CEA">
            <w:pPr>
              <w:spacing w:before="100" w:after="100"/>
              <w:ind w:left="-72"/>
              <w:jc w:val="right"/>
              <w:rPr>
                <w:color w:val="000000"/>
                <w:sz w:val="20"/>
                <w:lang w:val="sv-SE"/>
              </w:rPr>
            </w:pPr>
            <w:r w:rsidRPr="00800D1B">
              <w:rPr>
                <w:color w:val="000000"/>
                <w:sz w:val="20"/>
                <w:lang w:val="sv-SE"/>
              </w:rPr>
              <w:t>793,00</w:t>
            </w:r>
          </w:p>
        </w:tc>
        <w:tc>
          <w:tcPr>
            <w:tcW w:w="0" w:type="auto"/>
          </w:tcPr>
          <w:p w14:paraId="2D065A62" w14:textId="77777777" w:rsidR="00A77B3E" w:rsidRPr="00800D1B" w:rsidRDefault="00623E14" w:rsidP="00722CEA">
            <w:pPr>
              <w:spacing w:before="100" w:after="100"/>
              <w:ind w:left="-72"/>
              <w:rPr>
                <w:color w:val="000000"/>
                <w:sz w:val="20"/>
                <w:lang w:val="sv-SE"/>
              </w:rPr>
            </w:pPr>
            <w:r w:rsidRPr="00800D1B">
              <w:rPr>
                <w:color w:val="000000"/>
                <w:sz w:val="20"/>
                <w:lang w:val="sv-SE"/>
              </w:rPr>
              <w:t>Projekt</w:t>
            </w:r>
          </w:p>
        </w:tc>
        <w:tc>
          <w:tcPr>
            <w:tcW w:w="0" w:type="auto"/>
          </w:tcPr>
          <w:p w14:paraId="2D065A63" w14:textId="77777777" w:rsidR="00A77B3E" w:rsidRPr="00800D1B" w:rsidRDefault="00A77B3E" w:rsidP="00722CEA">
            <w:pPr>
              <w:spacing w:before="100" w:after="100"/>
              <w:ind w:left="-72"/>
              <w:rPr>
                <w:color w:val="000000"/>
                <w:sz w:val="20"/>
                <w:lang w:val="sv-SE"/>
              </w:rPr>
            </w:pPr>
          </w:p>
        </w:tc>
      </w:tr>
      <w:tr w:rsidR="003422DB" w:rsidRPr="00800D1B" w14:paraId="2D065A71" w14:textId="77777777" w:rsidTr="00722CEA">
        <w:tc>
          <w:tcPr>
            <w:tcW w:w="0" w:type="auto"/>
          </w:tcPr>
          <w:p w14:paraId="2D065A65" w14:textId="77777777" w:rsidR="00A77B3E" w:rsidRPr="00800D1B" w:rsidRDefault="00623E14" w:rsidP="00722CEA">
            <w:pPr>
              <w:spacing w:before="100" w:after="100"/>
              <w:ind w:left="-72"/>
              <w:rPr>
                <w:color w:val="000000"/>
                <w:sz w:val="20"/>
                <w:lang w:val="sv-SE"/>
              </w:rPr>
            </w:pPr>
            <w:r w:rsidRPr="00800D1B">
              <w:rPr>
                <w:color w:val="000000"/>
                <w:sz w:val="20"/>
                <w:lang w:val="sv-SE"/>
              </w:rPr>
              <w:t>3</w:t>
            </w:r>
          </w:p>
        </w:tc>
        <w:tc>
          <w:tcPr>
            <w:tcW w:w="0" w:type="auto"/>
          </w:tcPr>
          <w:p w14:paraId="2D065A66" w14:textId="77777777" w:rsidR="00A77B3E" w:rsidRPr="00800D1B" w:rsidRDefault="00623E14" w:rsidP="00722CEA">
            <w:pPr>
              <w:spacing w:before="100" w:after="100"/>
              <w:ind w:left="-72"/>
              <w:rPr>
                <w:color w:val="000000"/>
                <w:sz w:val="20"/>
                <w:lang w:val="sv-SE"/>
              </w:rPr>
            </w:pPr>
            <w:r w:rsidRPr="00800D1B">
              <w:rPr>
                <w:color w:val="000000"/>
                <w:sz w:val="20"/>
                <w:lang w:val="sv-SE"/>
              </w:rPr>
              <w:t>RSO1.2</w:t>
            </w:r>
          </w:p>
        </w:tc>
        <w:tc>
          <w:tcPr>
            <w:tcW w:w="0" w:type="auto"/>
          </w:tcPr>
          <w:p w14:paraId="2D065A67" w14:textId="77777777" w:rsidR="00A77B3E" w:rsidRPr="00800D1B" w:rsidRDefault="00623E14" w:rsidP="00722CEA">
            <w:pPr>
              <w:spacing w:before="100" w:after="100"/>
              <w:ind w:left="-72"/>
              <w:rPr>
                <w:color w:val="000000"/>
                <w:sz w:val="20"/>
                <w:lang w:val="sv-SE"/>
              </w:rPr>
            </w:pPr>
            <w:r w:rsidRPr="00800D1B">
              <w:rPr>
                <w:color w:val="000000"/>
                <w:sz w:val="20"/>
                <w:lang w:val="sv-SE"/>
              </w:rPr>
              <w:t>Eruf</w:t>
            </w:r>
          </w:p>
        </w:tc>
        <w:tc>
          <w:tcPr>
            <w:tcW w:w="0" w:type="auto"/>
          </w:tcPr>
          <w:p w14:paraId="2D065A68" w14:textId="77777777" w:rsidR="00A77B3E" w:rsidRPr="00800D1B" w:rsidRDefault="00623E14" w:rsidP="00A67879">
            <w:pPr>
              <w:spacing w:before="100" w:after="100"/>
              <w:ind w:left="-72" w:right="-165"/>
              <w:rPr>
                <w:color w:val="000000"/>
                <w:sz w:val="20"/>
                <w:lang w:val="sv-SE"/>
              </w:rPr>
            </w:pPr>
            <w:r w:rsidRPr="00800D1B">
              <w:rPr>
                <w:color w:val="000000"/>
                <w:sz w:val="20"/>
                <w:lang w:val="sv-SE"/>
              </w:rPr>
              <w:t>De yttersta randområdena eller de nordliga glesbefolkade områdena</w:t>
            </w:r>
          </w:p>
        </w:tc>
        <w:tc>
          <w:tcPr>
            <w:tcW w:w="0" w:type="auto"/>
          </w:tcPr>
          <w:p w14:paraId="2D065A69" w14:textId="77777777" w:rsidR="00A77B3E" w:rsidRPr="00800D1B" w:rsidRDefault="00623E14" w:rsidP="00722CEA">
            <w:pPr>
              <w:spacing w:before="100" w:after="100"/>
              <w:ind w:left="-72"/>
              <w:rPr>
                <w:color w:val="000000"/>
                <w:sz w:val="20"/>
                <w:lang w:val="sv-SE"/>
              </w:rPr>
            </w:pPr>
            <w:r w:rsidRPr="00800D1B">
              <w:rPr>
                <w:color w:val="000000"/>
                <w:sz w:val="20"/>
                <w:lang w:val="sv-SE"/>
              </w:rPr>
              <w:t>RCR12</w:t>
            </w:r>
          </w:p>
        </w:tc>
        <w:tc>
          <w:tcPr>
            <w:tcW w:w="0" w:type="auto"/>
          </w:tcPr>
          <w:p w14:paraId="2D065A6A" w14:textId="77777777" w:rsidR="00A77B3E" w:rsidRPr="00800D1B" w:rsidRDefault="00623E14" w:rsidP="00722CEA">
            <w:pPr>
              <w:spacing w:before="100" w:after="100"/>
              <w:ind w:left="-72"/>
              <w:rPr>
                <w:color w:val="000000"/>
                <w:sz w:val="20"/>
                <w:lang w:val="sv-SE"/>
              </w:rPr>
            </w:pPr>
            <w:r w:rsidRPr="00800D1B">
              <w:rPr>
                <w:color w:val="000000"/>
                <w:sz w:val="20"/>
                <w:lang w:val="sv-SE"/>
              </w:rPr>
              <w:t>Användare av nya och uppgraderade digitala tjänster, produkter och processer som utvecklats av företag</w:t>
            </w:r>
          </w:p>
        </w:tc>
        <w:tc>
          <w:tcPr>
            <w:tcW w:w="0" w:type="auto"/>
          </w:tcPr>
          <w:p w14:paraId="2D065A6B" w14:textId="77777777" w:rsidR="00A77B3E" w:rsidRPr="00800D1B" w:rsidRDefault="00623E14" w:rsidP="00722CEA">
            <w:pPr>
              <w:spacing w:before="100" w:after="100"/>
              <w:ind w:left="-72"/>
              <w:rPr>
                <w:color w:val="000000"/>
                <w:sz w:val="20"/>
                <w:lang w:val="sv-SE"/>
              </w:rPr>
            </w:pPr>
            <w:r w:rsidRPr="00800D1B">
              <w:rPr>
                <w:color w:val="000000"/>
                <w:sz w:val="20"/>
                <w:lang w:val="sv-SE"/>
              </w:rPr>
              <w:t>användare/år</w:t>
            </w:r>
          </w:p>
        </w:tc>
        <w:tc>
          <w:tcPr>
            <w:tcW w:w="0" w:type="auto"/>
          </w:tcPr>
          <w:p w14:paraId="2D065A6C" w14:textId="77777777" w:rsidR="00A77B3E" w:rsidRPr="00800D1B" w:rsidRDefault="00623E14" w:rsidP="00722CEA">
            <w:pPr>
              <w:spacing w:before="100" w:after="100"/>
              <w:ind w:left="-72"/>
              <w:jc w:val="right"/>
              <w:rPr>
                <w:color w:val="000000"/>
                <w:sz w:val="20"/>
                <w:lang w:val="sv-SE"/>
              </w:rPr>
            </w:pPr>
            <w:r w:rsidRPr="00800D1B">
              <w:rPr>
                <w:color w:val="000000"/>
                <w:sz w:val="20"/>
                <w:lang w:val="sv-SE"/>
              </w:rPr>
              <w:t>0,00</w:t>
            </w:r>
          </w:p>
        </w:tc>
        <w:tc>
          <w:tcPr>
            <w:tcW w:w="0" w:type="auto"/>
          </w:tcPr>
          <w:p w14:paraId="2D065A6D" w14:textId="77777777" w:rsidR="00A77B3E" w:rsidRPr="00800D1B" w:rsidRDefault="00623E14" w:rsidP="00722CEA">
            <w:pPr>
              <w:spacing w:before="100" w:after="100"/>
              <w:ind w:left="-72"/>
              <w:jc w:val="center"/>
              <w:rPr>
                <w:color w:val="000000"/>
                <w:sz w:val="20"/>
                <w:lang w:val="sv-SE"/>
              </w:rPr>
            </w:pPr>
            <w:r w:rsidRPr="00800D1B">
              <w:rPr>
                <w:color w:val="000000"/>
                <w:sz w:val="20"/>
                <w:lang w:val="sv-SE"/>
              </w:rPr>
              <w:t>2021</w:t>
            </w:r>
          </w:p>
        </w:tc>
        <w:tc>
          <w:tcPr>
            <w:tcW w:w="0" w:type="auto"/>
          </w:tcPr>
          <w:p w14:paraId="2D065A6E" w14:textId="77777777" w:rsidR="00A77B3E" w:rsidRPr="00800D1B" w:rsidRDefault="00623E14" w:rsidP="00722CEA">
            <w:pPr>
              <w:spacing w:before="100" w:after="100"/>
              <w:ind w:left="-72"/>
              <w:jc w:val="right"/>
              <w:rPr>
                <w:color w:val="000000"/>
                <w:sz w:val="20"/>
                <w:lang w:val="sv-SE"/>
              </w:rPr>
            </w:pPr>
            <w:r w:rsidRPr="00800D1B">
              <w:rPr>
                <w:color w:val="000000"/>
                <w:sz w:val="20"/>
                <w:lang w:val="sv-SE"/>
              </w:rPr>
              <w:t>14,00</w:t>
            </w:r>
          </w:p>
        </w:tc>
        <w:tc>
          <w:tcPr>
            <w:tcW w:w="0" w:type="auto"/>
          </w:tcPr>
          <w:p w14:paraId="2D065A6F" w14:textId="77777777" w:rsidR="00A77B3E" w:rsidRPr="00800D1B" w:rsidRDefault="00623E14" w:rsidP="00722CEA">
            <w:pPr>
              <w:spacing w:before="100" w:after="100"/>
              <w:ind w:left="-72"/>
              <w:rPr>
                <w:color w:val="000000"/>
                <w:sz w:val="20"/>
                <w:lang w:val="sv-SE"/>
              </w:rPr>
            </w:pPr>
            <w:r w:rsidRPr="00800D1B">
              <w:rPr>
                <w:color w:val="000000"/>
                <w:sz w:val="20"/>
                <w:lang w:val="sv-SE"/>
              </w:rPr>
              <w:t>Projekt</w:t>
            </w:r>
          </w:p>
        </w:tc>
        <w:tc>
          <w:tcPr>
            <w:tcW w:w="0" w:type="auto"/>
          </w:tcPr>
          <w:p w14:paraId="2D065A70" w14:textId="77777777" w:rsidR="00A77B3E" w:rsidRPr="00800D1B" w:rsidRDefault="00A77B3E" w:rsidP="00722CEA">
            <w:pPr>
              <w:spacing w:before="100" w:after="100"/>
              <w:ind w:left="-72"/>
              <w:rPr>
                <w:color w:val="000000"/>
                <w:sz w:val="20"/>
                <w:lang w:val="sv-SE"/>
              </w:rPr>
            </w:pPr>
          </w:p>
        </w:tc>
      </w:tr>
      <w:tr w:rsidR="003422DB" w:rsidRPr="00800D1B" w14:paraId="2D065A7E" w14:textId="77777777" w:rsidTr="00722CEA">
        <w:tc>
          <w:tcPr>
            <w:tcW w:w="0" w:type="auto"/>
          </w:tcPr>
          <w:p w14:paraId="2D065A72" w14:textId="77777777" w:rsidR="00A77B3E" w:rsidRPr="00800D1B" w:rsidRDefault="00623E14" w:rsidP="00722CEA">
            <w:pPr>
              <w:spacing w:before="100" w:after="100"/>
              <w:ind w:left="-72"/>
              <w:rPr>
                <w:color w:val="000000"/>
                <w:sz w:val="20"/>
                <w:lang w:val="sv-SE"/>
              </w:rPr>
            </w:pPr>
            <w:r w:rsidRPr="00800D1B">
              <w:rPr>
                <w:color w:val="000000"/>
                <w:sz w:val="20"/>
                <w:lang w:val="sv-SE"/>
              </w:rPr>
              <w:t>3</w:t>
            </w:r>
          </w:p>
        </w:tc>
        <w:tc>
          <w:tcPr>
            <w:tcW w:w="0" w:type="auto"/>
          </w:tcPr>
          <w:p w14:paraId="2D065A73" w14:textId="77777777" w:rsidR="00A77B3E" w:rsidRPr="00800D1B" w:rsidRDefault="00623E14" w:rsidP="00722CEA">
            <w:pPr>
              <w:spacing w:before="100" w:after="100"/>
              <w:ind w:left="-72"/>
              <w:rPr>
                <w:color w:val="000000"/>
                <w:sz w:val="20"/>
                <w:lang w:val="sv-SE"/>
              </w:rPr>
            </w:pPr>
            <w:r w:rsidRPr="00800D1B">
              <w:rPr>
                <w:color w:val="000000"/>
                <w:sz w:val="20"/>
                <w:lang w:val="sv-SE"/>
              </w:rPr>
              <w:t>RSO1.2</w:t>
            </w:r>
          </w:p>
        </w:tc>
        <w:tc>
          <w:tcPr>
            <w:tcW w:w="0" w:type="auto"/>
          </w:tcPr>
          <w:p w14:paraId="2D065A74" w14:textId="77777777" w:rsidR="00A77B3E" w:rsidRPr="00800D1B" w:rsidRDefault="00623E14" w:rsidP="00722CEA">
            <w:pPr>
              <w:spacing w:before="100" w:after="100"/>
              <w:ind w:left="-72"/>
              <w:rPr>
                <w:color w:val="000000"/>
                <w:sz w:val="20"/>
                <w:lang w:val="sv-SE"/>
              </w:rPr>
            </w:pPr>
            <w:r w:rsidRPr="00800D1B">
              <w:rPr>
                <w:color w:val="000000"/>
                <w:sz w:val="20"/>
                <w:lang w:val="sv-SE"/>
              </w:rPr>
              <w:t>Eruf</w:t>
            </w:r>
          </w:p>
        </w:tc>
        <w:tc>
          <w:tcPr>
            <w:tcW w:w="0" w:type="auto"/>
          </w:tcPr>
          <w:p w14:paraId="2D065A75" w14:textId="77777777" w:rsidR="00A77B3E" w:rsidRPr="00800D1B" w:rsidRDefault="00623E14" w:rsidP="00A67879">
            <w:pPr>
              <w:spacing w:before="100" w:after="100"/>
              <w:ind w:left="-72" w:right="-165"/>
              <w:rPr>
                <w:color w:val="000000"/>
                <w:sz w:val="20"/>
                <w:lang w:val="sv-SE"/>
              </w:rPr>
            </w:pPr>
            <w:r w:rsidRPr="00800D1B">
              <w:rPr>
                <w:color w:val="000000"/>
                <w:sz w:val="20"/>
                <w:lang w:val="sv-SE"/>
              </w:rPr>
              <w:t>De yttersta randområdena eller de nordliga glesbefolkade områdena</w:t>
            </w:r>
          </w:p>
        </w:tc>
        <w:tc>
          <w:tcPr>
            <w:tcW w:w="0" w:type="auto"/>
          </w:tcPr>
          <w:p w14:paraId="2D065A76" w14:textId="77777777" w:rsidR="00A77B3E" w:rsidRPr="00800D1B" w:rsidRDefault="00623E14" w:rsidP="00722CEA">
            <w:pPr>
              <w:spacing w:before="100" w:after="100"/>
              <w:ind w:left="-72"/>
              <w:rPr>
                <w:color w:val="000000"/>
                <w:sz w:val="20"/>
                <w:lang w:val="sv-SE"/>
              </w:rPr>
            </w:pPr>
            <w:r w:rsidRPr="00800D1B">
              <w:rPr>
                <w:color w:val="000000"/>
                <w:sz w:val="20"/>
                <w:lang w:val="sv-SE"/>
              </w:rPr>
              <w:t>SWR01</w:t>
            </w:r>
          </w:p>
        </w:tc>
        <w:tc>
          <w:tcPr>
            <w:tcW w:w="0" w:type="auto"/>
          </w:tcPr>
          <w:p w14:paraId="2D065A77" w14:textId="5D7550DF" w:rsidR="00A77B3E" w:rsidRPr="00800D1B" w:rsidRDefault="00623E14" w:rsidP="00722CEA">
            <w:pPr>
              <w:spacing w:before="100" w:after="100"/>
              <w:ind w:left="-72"/>
              <w:rPr>
                <w:color w:val="000000"/>
                <w:sz w:val="20"/>
                <w:lang w:val="sv-SE"/>
              </w:rPr>
            </w:pPr>
            <w:r w:rsidRPr="00800D1B">
              <w:rPr>
                <w:color w:val="000000"/>
                <w:sz w:val="20"/>
                <w:lang w:val="sv-SE"/>
              </w:rPr>
              <w:t>Antal företag som utvecklar produkter, processer och affärsmodeller</w:t>
            </w:r>
            <w:r w:rsidR="00CF74CB" w:rsidRPr="00800D1B">
              <w:rPr>
                <w:color w:val="000000"/>
                <w:sz w:val="20"/>
                <w:lang w:val="sv-SE"/>
              </w:rPr>
              <w:t xml:space="preserve"> </w:t>
            </w:r>
          </w:p>
        </w:tc>
        <w:tc>
          <w:tcPr>
            <w:tcW w:w="0" w:type="auto"/>
          </w:tcPr>
          <w:p w14:paraId="2D065A78" w14:textId="77777777" w:rsidR="00A77B3E" w:rsidRPr="00800D1B" w:rsidRDefault="00623E14" w:rsidP="00722CEA">
            <w:pPr>
              <w:spacing w:before="100" w:after="100"/>
              <w:ind w:left="-72"/>
              <w:rPr>
                <w:color w:val="000000"/>
                <w:sz w:val="20"/>
                <w:lang w:val="sv-SE"/>
              </w:rPr>
            </w:pPr>
            <w:r w:rsidRPr="00800D1B">
              <w:rPr>
                <w:color w:val="000000"/>
                <w:sz w:val="20"/>
                <w:lang w:val="sv-SE"/>
              </w:rPr>
              <w:t>Företag</w:t>
            </w:r>
          </w:p>
        </w:tc>
        <w:tc>
          <w:tcPr>
            <w:tcW w:w="0" w:type="auto"/>
          </w:tcPr>
          <w:p w14:paraId="2D065A79" w14:textId="77777777" w:rsidR="00A77B3E" w:rsidRPr="00800D1B" w:rsidRDefault="00623E14" w:rsidP="00722CEA">
            <w:pPr>
              <w:spacing w:before="100" w:after="100"/>
              <w:ind w:left="-72"/>
              <w:jc w:val="right"/>
              <w:rPr>
                <w:color w:val="000000"/>
                <w:sz w:val="20"/>
                <w:lang w:val="sv-SE"/>
              </w:rPr>
            </w:pPr>
            <w:r w:rsidRPr="00800D1B">
              <w:rPr>
                <w:color w:val="000000"/>
                <w:sz w:val="20"/>
                <w:lang w:val="sv-SE"/>
              </w:rPr>
              <w:t>0,00</w:t>
            </w:r>
          </w:p>
        </w:tc>
        <w:tc>
          <w:tcPr>
            <w:tcW w:w="0" w:type="auto"/>
          </w:tcPr>
          <w:p w14:paraId="2D065A7A" w14:textId="77777777" w:rsidR="00A77B3E" w:rsidRPr="00800D1B" w:rsidRDefault="00623E14" w:rsidP="00722CEA">
            <w:pPr>
              <w:spacing w:before="100" w:after="100"/>
              <w:ind w:left="-72"/>
              <w:jc w:val="center"/>
              <w:rPr>
                <w:color w:val="000000"/>
                <w:sz w:val="20"/>
                <w:lang w:val="sv-SE"/>
              </w:rPr>
            </w:pPr>
            <w:r w:rsidRPr="00800D1B">
              <w:rPr>
                <w:color w:val="000000"/>
                <w:sz w:val="20"/>
                <w:lang w:val="sv-SE"/>
              </w:rPr>
              <w:t>2021</w:t>
            </w:r>
          </w:p>
        </w:tc>
        <w:tc>
          <w:tcPr>
            <w:tcW w:w="0" w:type="auto"/>
          </w:tcPr>
          <w:p w14:paraId="2D065A7B" w14:textId="77777777" w:rsidR="00A77B3E" w:rsidRPr="00800D1B" w:rsidRDefault="00623E14" w:rsidP="00722CEA">
            <w:pPr>
              <w:spacing w:before="100" w:after="100"/>
              <w:ind w:left="-72"/>
              <w:jc w:val="right"/>
              <w:rPr>
                <w:color w:val="000000"/>
                <w:sz w:val="20"/>
                <w:lang w:val="sv-SE"/>
              </w:rPr>
            </w:pPr>
            <w:r w:rsidRPr="00800D1B">
              <w:rPr>
                <w:color w:val="000000"/>
                <w:sz w:val="20"/>
                <w:lang w:val="sv-SE"/>
              </w:rPr>
              <w:t>4,00</w:t>
            </w:r>
          </w:p>
        </w:tc>
        <w:tc>
          <w:tcPr>
            <w:tcW w:w="0" w:type="auto"/>
          </w:tcPr>
          <w:p w14:paraId="2D065A7C" w14:textId="77777777" w:rsidR="00A77B3E" w:rsidRPr="00800D1B" w:rsidRDefault="00623E14" w:rsidP="00722CEA">
            <w:pPr>
              <w:spacing w:before="100" w:after="100"/>
              <w:ind w:left="-72"/>
              <w:rPr>
                <w:color w:val="000000"/>
                <w:sz w:val="20"/>
                <w:lang w:val="sv-SE"/>
              </w:rPr>
            </w:pPr>
            <w:r w:rsidRPr="00800D1B">
              <w:rPr>
                <w:color w:val="000000"/>
                <w:sz w:val="20"/>
                <w:lang w:val="sv-SE"/>
              </w:rPr>
              <w:t>Projekt</w:t>
            </w:r>
          </w:p>
        </w:tc>
        <w:tc>
          <w:tcPr>
            <w:tcW w:w="0" w:type="auto"/>
          </w:tcPr>
          <w:p w14:paraId="2D065A7D" w14:textId="77777777" w:rsidR="00A77B3E" w:rsidRPr="00800D1B" w:rsidRDefault="00A77B3E" w:rsidP="00722CEA">
            <w:pPr>
              <w:spacing w:before="100" w:after="100"/>
              <w:ind w:left="-72"/>
              <w:rPr>
                <w:color w:val="000000"/>
                <w:sz w:val="20"/>
                <w:lang w:val="sv-SE"/>
              </w:rPr>
            </w:pPr>
          </w:p>
        </w:tc>
      </w:tr>
      <w:tr w:rsidR="003422DB" w:rsidRPr="00800D1B" w14:paraId="2D065A8B" w14:textId="77777777" w:rsidTr="00722CEA">
        <w:tc>
          <w:tcPr>
            <w:tcW w:w="0" w:type="auto"/>
          </w:tcPr>
          <w:p w14:paraId="2D065A7F" w14:textId="77777777" w:rsidR="00A77B3E" w:rsidRPr="00800D1B" w:rsidRDefault="00623E14" w:rsidP="00722CEA">
            <w:pPr>
              <w:spacing w:before="100" w:after="100"/>
              <w:ind w:left="-72"/>
              <w:rPr>
                <w:color w:val="000000"/>
                <w:sz w:val="20"/>
                <w:lang w:val="sv-SE"/>
              </w:rPr>
            </w:pPr>
            <w:r w:rsidRPr="00800D1B">
              <w:rPr>
                <w:color w:val="000000"/>
                <w:sz w:val="20"/>
                <w:lang w:val="sv-SE"/>
              </w:rPr>
              <w:t>3</w:t>
            </w:r>
          </w:p>
        </w:tc>
        <w:tc>
          <w:tcPr>
            <w:tcW w:w="0" w:type="auto"/>
          </w:tcPr>
          <w:p w14:paraId="2D065A80" w14:textId="77777777" w:rsidR="00A77B3E" w:rsidRPr="00800D1B" w:rsidRDefault="00623E14" w:rsidP="00722CEA">
            <w:pPr>
              <w:spacing w:before="100" w:after="100"/>
              <w:ind w:left="-72"/>
              <w:rPr>
                <w:color w:val="000000"/>
                <w:sz w:val="20"/>
                <w:lang w:val="sv-SE"/>
              </w:rPr>
            </w:pPr>
            <w:r w:rsidRPr="00800D1B">
              <w:rPr>
                <w:color w:val="000000"/>
                <w:sz w:val="20"/>
                <w:lang w:val="sv-SE"/>
              </w:rPr>
              <w:t>RSO1.2</w:t>
            </w:r>
          </w:p>
        </w:tc>
        <w:tc>
          <w:tcPr>
            <w:tcW w:w="0" w:type="auto"/>
          </w:tcPr>
          <w:p w14:paraId="2D065A81" w14:textId="77777777" w:rsidR="00A77B3E" w:rsidRPr="00800D1B" w:rsidRDefault="00623E14" w:rsidP="00722CEA">
            <w:pPr>
              <w:spacing w:before="100" w:after="100"/>
              <w:ind w:left="-72"/>
              <w:rPr>
                <w:color w:val="000000"/>
                <w:sz w:val="20"/>
                <w:lang w:val="sv-SE"/>
              </w:rPr>
            </w:pPr>
            <w:r w:rsidRPr="00800D1B">
              <w:rPr>
                <w:color w:val="000000"/>
                <w:sz w:val="20"/>
                <w:lang w:val="sv-SE"/>
              </w:rPr>
              <w:t>Eruf</w:t>
            </w:r>
          </w:p>
        </w:tc>
        <w:tc>
          <w:tcPr>
            <w:tcW w:w="0" w:type="auto"/>
          </w:tcPr>
          <w:p w14:paraId="2D065A82" w14:textId="77777777" w:rsidR="00A77B3E" w:rsidRPr="00800D1B" w:rsidRDefault="00623E14" w:rsidP="00A67879">
            <w:pPr>
              <w:spacing w:before="100" w:after="100"/>
              <w:ind w:left="-72" w:right="-165"/>
              <w:rPr>
                <w:color w:val="000000"/>
                <w:sz w:val="20"/>
                <w:lang w:val="sv-SE"/>
              </w:rPr>
            </w:pPr>
            <w:r w:rsidRPr="00800D1B">
              <w:rPr>
                <w:color w:val="000000"/>
                <w:sz w:val="20"/>
                <w:lang w:val="sv-SE"/>
              </w:rPr>
              <w:t>De yttersta randområdena eller de nordliga glesbefolkade områdena</w:t>
            </w:r>
          </w:p>
        </w:tc>
        <w:tc>
          <w:tcPr>
            <w:tcW w:w="0" w:type="auto"/>
          </w:tcPr>
          <w:p w14:paraId="2D065A83" w14:textId="77777777" w:rsidR="00A77B3E" w:rsidRPr="00800D1B" w:rsidRDefault="00623E14" w:rsidP="00722CEA">
            <w:pPr>
              <w:spacing w:before="100" w:after="100"/>
              <w:ind w:left="-72"/>
              <w:rPr>
                <w:color w:val="000000"/>
                <w:sz w:val="20"/>
                <w:lang w:val="sv-SE"/>
              </w:rPr>
            </w:pPr>
            <w:r w:rsidRPr="00800D1B">
              <w:rPr>
                <w:color w:val="000000"/>
                <w:sz w:val="20"/>
                <w:lang w:val="sv-SE"/>
              </w:rPr>
              <w:t>SWR02</w:t>
            </w:r>
          </w:p>
        </w:tc>
        <w:tc>
          <w:tcPr>
            <w:tcW w:w="0" w:type="auto"/>
          </w:tcPr>
          <w:p w14:paraId="2D065A84" w14:textId="77777777" w:rsidR="00A77B3E" w:rsidRPr="00800D1B" w:rsidRDefault="00623E14" w:rsidP="00722CEA">
            <w:pPr>
              <w:spacing w:before="100" w:after="100"/>
              <w:ind w:left="-72"/>
              <w:rPr>
                <w:color w:val="000000"/>
                <w:sz w:val="20"/>
                <w:lang w:val="sv-SE"/>
              </w:rPr>
            </w:pPr>
            <w:r w:rsidRPr="00800D1B">
              <w:rPr>
                <w:color w:val="000000"/>
                <w:sz w:val="20"/>
                <w:lang w:val="sv-SE"/>
              </w:rPr>
              <w:t xml:space="preserve">Antal organisationer som utvecklar produkter, processer och tjänster </w:t>
            </w:r>
          </w:p>
        </w:tc>
        <w:tc>
          <w:tcPr>
            <w:tcW w:w="0" w:type="auto"/>
          </w:tcPr>
          <w:p w14:paraId="2D065A85" w14:textId="77777777" w:rsidR="00A77B3E" w:rsidRPr="00800D1B" w:rsidRDefault="00623E14" w:rsidP="00722CEA">
            <w:pPr>
              <w:spacing w:before="100" w:after="100"/>
              <w:ind w:left="-72"/>
              <w:rPr>
                <w:color w:val="000000"/>
                <w:sz w:val="20"/>
                <w:lang w:val="sv-SE"/>
              </w:rPr>
            </w:pPr>
            <w:r w:rsidRPr="00800D1B">
              <w:rPr>
                <w:color w:val="000000"/>
                <w:sz w:val="20"/>
                <w:lang w:val="sv-SE"/>
              </w:rPr>
              <w:t>Organisationer</w:t>
            </w:r>
          </w:p>
        </w:tc>
        <w:tc>
          <w:tcPr>
            <w:tcW w:w="0" w:type="auto"/>
          </w:tcPr>
          <w:p w14:paraId="2D065A86" w14:textId="77777777" w:rsidR="00A77B3E" w:rsidRPr="00800D1B" w:rsidRDefault="00623E14" w:rsidP="00722CEA">
            <w:pPr>
              <w:spacing w:before="100" w:after="100"/>
              <w:ind w:left="-72"/>
              <w:jc w:val="right"/>
              <w:rPr>
                <w:color w:val="000000"/>
                <w:sz w:val="20"/>
                <w:lang w:val="sv-SE"/>
              </w:rPr>
            </w:pPr>
            <w:r w:rsidRPr="00800D1B">
              <w:rPr>
                <w:color w:val="000000"/>
                <w:sz w:val="20"/>
                <w:lang w:val="sv-SE"/>
              </w:rPr>
              <w:t>0,00</w:t>
            </w:r>
          </w:p>
        </w:tc>
        <w:tc>
          <w:tcPr>
            <w:tcW w:w="0" w:type="auto"/>
          </w:tcPr>
          <w:p w14:paraId="2D065A87" w14:textId="77777777" w:rsidR="00A77B3E" w:rsidRPr="00800D1B" w:rsidRDefault="00623E14" w:rsidP="00722CEA">
            <w:pPr>
              <w:spacing w:before="100" w:after="100"/>
              <w:ind w:left="-72"/>
              <w:jc w:val="center"/>
              <w:rPr>
                <w:color w:val="000000"/>
                <w:sz w:val="20"/>
                <w:lang w:val="sv-SE"/>
              </w:rPr>
            </w:pPr>
            <w:r w:rsidRPr="00800D1B">
              <w:rPr>
                <w:color w:val="000000"/>
                <w:sz w:val="20"/>
                <w:lang w:val="sv-SE"/>
              </w:rPr>
              <w:t>2021</w:t>
            </w:r>
          </w:p>
        </w:tc>
        <w:tc>
          <w:tcPr>
            <w:tcW w:w="0" w:type="auto"/>
          </w:tcPr>
          <w:p w14:paraId="2D065A88" w14:textId="77777777" w:rsidR="00A77B3E" w:rsidRPr="00800D1B" w:rsidRDefault="00623E14" w:rsidP="00722CEA">
            <w:pPr>
              <w:spacing w:before="100" w:after="100"/>
              <w:ind w:left="-72"/>
              <w:jc w:val="right"/>
              <w:rPr>
                <w:color w:val="000000"/>
                <w:sz w:val="20"/>
                <w:lang w:val="sv-SE"/>
              </w:rPr>
            </w:pPr>
            <w:r w:rsidRPr="00800D1B">
              <w:rPr>
                <w:color w:val="000000"/>
                <w:sz w:val="20"/>
                <w:lang w:val="sv-SE"/>
              </w:rPr>
              <w:t>1,00</w:t>
            </w:r>
          </w:p>
        </w:tc>
        <w:tc>
          <w:tcPr>
            <w:tcW w:w="0" w:type="auto"/>
          </w:tcPr>
          <w:p w14:paraId="2D065A89" w14:textId="77777777" w:rsidR="00A77B3E" w:rsidRPr="00800D1B" w:rsidRDefault="00623E14" w:rsidP="00722CEA">
            <w:pPr>
              <w:spacing w:before="100" w:after="100"/>
              <w:ind w:left="-72"/>
              <w:rPr>
                <w:color w:val="000000"/>
                <w:sz w:val="20"/>
                <w:lang w:val="sv-SE"/>
              </w:rPr>
            </w:pPr>
            <w:r w:rsidRPr="00800D1B">
              <w:rPr>
                <w:color w:val="000000"/>
                <w:sz w:val="20"/>
                <w:lang w:val="sv-SE"/>
              </w:rPr>
              <w:t>Projekt</w:t>
            </w:r>
          </w:p>
        </w:tc>
        <w:tc>
          <w:tcPr>
            <w:tcW w:w="0" w:type="auto"/>
          </w:tcPr>
          <w:p w14:paraId="2D065A8A" w14:textId="77777777" w:rsidR="00A77B3E" w:rsidRPr="00800D1B" w:rsidRDefault="00A77B3E" w:rsidP="00722CEA">
            <w:pPr>
              <w:spacing w:before="100" w:after="100"/>
              <w:ind w:left="-72"/>
              <w:rPr>
                <w:color w:val="000000"/>
                <w:sz w:val="20"/>
                <w:lang w:val="sv-SE"/>
              </w:rPr>
            </w:pPr>
          </w:p>
        </w:tc>
      </w:tr>
    </w:tbl>
    <w:p w14:paraId="2D065A8D" w14:textId="216309CA" w:rsidR="00A77B3E" w:rsidRPr="00800D1B" w:rsidRDefault="00623E14" w:rsidP="00552F60">
      <w:pPr>
        <w:pStyle w:val="Rubrik6"/>
        <w:numPr>
          <w:ilvl w:val="4"/>
          <w:numId w:val="14"/>
        </w:numPr>
        <w:spacing w:before="360"/>
        <w:ind w:left="360"/>
      </w:pPr>
      <w:bookmarkStart w:id="52" w:name="_Toc256000293"/>
      <w:r w:rsidRPr="00800D1B">
        <w:t>Preliminär fördelning av anslagna (EU-)medel efter interventionstyp</w:t>
      </w:r>
      <w:bookmarkEnd w:id="52"/>
    </w:p>
    <w:p w14:paraId="2D065A8E" w14:textId="77777777" w:rsidR="00A77B3E" w:rsidRPr="00800D1B" w:rsidRDefault="00A77B3E">
      <w:pPr>
        <w:spacing w:before="100"/>
        <w:rPr>
          <w:color w:val="000000"/>
          <w:sz w:val="0"/>
          <w:lang w:val="sv-SE"/>
        </w:rPr>
      </w:pPr>
    </w:p>
    <w:p w14:paraId="2D065A8F" w14:textId="77777777" w:rsidR="00A77B3E" w:rsidRPr="00800D1B" w:rsidRDefault="00623E14">
      <w:pPr>
        <w:spacing w:before="100"/>
        <w:rPr>
          <w:color w:val="000000"/>
          <w:sz w:val="0"/>
          <w:lang w:val="sv-SE"/>
        </w:rPr>
      </w:pPr>
      <w:r w:rsidRPr="00800D1B">
        <w:rPr>
          <w:color w:val="000000"/>
          <w:lang w:val="sv-SE"/>
        </w:rPr>
        <w:t>Referens: artikel 22.3 d viii i förordningen om gemensamma bestämmelser</w:t>
      </w:r>
    </w:p>
    <w:p w14:paraId="2D065A90" w14:textId="58A5307E" w:rsidR="00A77B3E" w:rsidRPr="00800D1B" w:rsidRDefault="00623E14" w:rsidP="00431BFA">
      <w:pPr>
        <w:spacing w:before="300"/>
        <w:rPr>
          <w:lang w:val="sv-SE"/>
        </w:rPr>
      </w:pPr>
      <w:bookmarkStart w:id="53" w:name="_Toc256000294"/>
      <w:r w:rsidRPr="00800D1B">
        <w:rPr>
          <w:lang w:val="sv-SE"/>
        </w:rPr>
        <w:t>Tabell 4: Dimension 1 – interventionsområde</w:t>
      </w:r>
      <w:bookmarkEnd w:id="53"/>
    </w:p>
    <w:p w14:paraId="2D065A91" w14:textId="77777777" w:rsidR="00A77B3E" w:rsidRPr="00800D1B" w:rsidRDefault="00A77B3E">
      <w:pPr>
        <w:spacing w:before="100"/>
        <w:rPr>
          <w:color w:val="000000"/>
          <w:sz w:val="0"/>
          <w:lang w:val="sv-SE"/>
        </w:rPr>
      </w:pPr>
    </w:p>
    <w:tbl>
      <w:tblPr>
        <w:tblStyle w:val="Tabellrutnt"/>
        <w:tblW w:w="5000" w:type="pct"/>
        <w:tblLook w:val="04A0" w:firstRow="1" w:lastRow="0" w:firstColumn="1" w:lastColumn="0" w:noHBand="0" w:noVBand="1"/>
        <w:tblDescription w:val="En tabell med sex kolumner: Prioritering; Specifikt mål; Fond; Regionkategori; Kod; Belopp (euro). Tabellen visar information om interventionsområde."/>
      </w:tblPr>
      <w:tblGrid>
        <w:gridCol w:w="1105"/>
        <w:gridCol w:w="1035"/>
        <w:gridCol w:w="659"/>
        <w:gridCol w:w="2982"/>
        <w:gridCol w:w="8060"/>
        <w:gridCol w:w="1331"/>
      </w:tblGrid>
      <w:tr w:rsidR="003422DB" w:rsidRPr="00800D1B" w14:paraId="2D065A98" w14:textId="77777777" w:rsidTr="00722CEA">
        <w:tc>
          <w:tcPr>
            <w:tcW w:w="0" w:type="auto"/>
          </w:tcPr>
          <w:p w14:paraId="2D065A92" w14:textId="77777777" w:rsidR="00A77B3E" w:rsidRPr="00800D1B" w:rsidRDefault="00623E14" w:rsidP="00722CEA">
            <w:pPr>
              <w:spacing w:before="100" w:after="100"/>
              <w:ind w:left="-72"/>
              <w:jc w:val="center"/>
              <w:rPr>
                <w:color w:val="000000"/>
                <w:sz w:val="20"/>
                <w:lang w:val="sv-SE"/>
              </w:rPr>
            </w:pPr>
            <w:r w:rsidRPr="00800D1B">
              <w:rPr>
                <w:color w:val="000000"/>
                <w:sz w:val="20"/>
                <w:lang w:val="sv-SE"/>
              </w:rPr>
              <w:t>Prioritering</w:t>
            </w:r>
          </w:p>
        </w:tc>
        <w:tc>
          <w:tcPr>
            <w:tcW w:w="0" w:type="auto"/>
          </w:tcPr>
          <w:p w14:paraId="2D065A93" w14:textId="77777777" w:rsidR="00A77B3E" w:rsidRPr="00800D1B" w:rsidRDefault="00623E14" w:rsidP="00722CEA">
            <w:pPr>
              <w:spacing w:before="100" w:after="100"/>
              <w:ind w:left="-72"/>
              <w:jc w:val="center"/>
              <w:rPr>
                <w:color w:val="000000"/>
                <w:sz w:val="20"/>
                <w:lang w:val="sv-SE"/>
              </w:rPr>
            </w:pPr>
            <w:r w:rsidRPr="00800D1B">
              <w:rPr>
                <w:color w:val="000000"/>
                <w:sz w:val="20"/>
                <w:lang w:val="sv-SE"/>
              </w:rPr>
              <w:t>Specifikt mål</w:t>
            </w:r>
          </w:p>
        </w:tc>
        <w:tc>
          <w:tcPr>
            <w:tcW w:w="0" w:type="auto"/>
          </w:tcPr>
          <w:p w14:paraId="2D065A94" w14:textId="77777777" w:rsidR="00A77B3E" w:rsidRPr="00800D1B" w:rsidRDefault="00623E14" w:rsidP="00722CEA">
            <w:pPr>
              <w:spacing w:before="100" w:after="100"/>
              <w:ind w:left="-72"/>
              <w:jc w:val="center"/>
              <w:rPr>
                <w:color w:val="000000"/>
                <w:sz w:val="20"/>
                <w:lang w:val="sv-SE"/>
              </w:rPr>
            </w:pPr>
            <w:r w:rsidRPr="00800D1B">
              <w:rPr>
                <w:color w:val="000000"/>
                <w:sz w:val="20"/>
                <w:lang w:val="sv-SE"/>
              </w:rPr>
              <w:t>Fond</w:t>
            </w:r>
          </w:p>
        </w:tc>
        <w:tc>
          <w:tcPr>
            <w:tcW w:w="0" w:type="auto"/>
          </w:tcPr>
          <w:p w14:paraId="2D065A95" w14:textId="77777777" w:rsidR="00A77B3E" w:rsidRPr="00800D1B" w:rsidRDefault="00623E14" w:rsidP="00722CEA">
            <w:pPr>
              <w:spacing w:before="100" w:after="100"/>
              <w:ind w:left="-72"/>
              <w:jc w:val="center"/>
              <w:rPr>
                <w:color w:val="000000"/>
                <w:sz w:val="20"/>
                <w:lang w:val="sv-SE"/>
              </w:rPr>
            </w:pPr>
            <w:r w:rsidRPr="00800D1B">
              <w:rPr>
                <w:color w:val="000000"/>
                <w:sz w:val="20"/>
                <w:lang w:val="sv-SE"/>
              </w:rPr>
              <w:t>Regionkategori</w:t>
            </w:r>
          </w:p>
        </w:tc>
        <w:tc>
          <w:tcPr>
            <w:tcW w:w="0" w:type="auto"/>
          </w:tcPr>
          <w:p w14:paraId="2D065A96" w14:textId="77777777" w:rsidR="00A77B3E" w:rsidRPr="00800D1B" w:rsidRDefault="00623E14" w:rsidP="00722CEA">
            <w:pPr>
              <w:spacing w:before="100" w:after="100"/>
              <w:ind w:left="-72"/>
              <w:jc w:val="center"/>
              <w:rPr>
                <w:color w:val="000000"/>
                <w:sz w:val="20"/>
                <w:lang w:val="sv-SE"/>
              </w:rPr>
            </w:pPr>
            <w:r w:rsidRPr="00800D1B">
              <w:rPr>
                <w:color w:val="000000"/>
                <w:sz w:val="20"/>
                <w:lang w:val="sv-SE"/>
              </w:rPr>
              <w:t>Kod</w:t>
            </w:r>
          </w:p>
        </w:tc>
        <w:tc>
          <w:tcPr>
            <w:tcW w:w="0" w:type="auto"/>
          </w:tcPr>
          <w:p w14:paraId="2D065A97" w14:textId="77777777" w:rsidR="00A77B3E" w:rsidRPr="00800D1B" w:rsidRDefault="00623E14" w:rsidP="00722CEA">
            <w:pPr>
              <w:spacing w:before="100" w:after="100"/>
              <w:ind w:left="-72"/>
              <w:jc w:val="center"/>
              <w:rPr>
                <w:color w:val="000000"/>
                <w:sz w:val="20"/>
                <w:lang w:val="sv-SE"/>
              </w:rPr>
            </w:pPr>
            <w:r w:rsidRPr="00800D1B">
              <w:rPr>
                <w:color w:val="000000"/>
                <w:sz w:val="20"/>
                <w:lang w:val="sv-SE"/>
              </w:rPr>
              <w:t>Belopp (euro)</w:t>
            </w:r>
          </w:p>
        </w:tc>
      </w:tr>
      <w:tr w:rsidR="003422DB" w:rsidRPr="00800D1B" w14:paraId="2D065A9F" w14:textId="77777777" w:rsidTr="00722CEA">
        <w:tc>
          <w:tcPr>
            <w:tcW w:w="0" w:type="auto"/>
          </w:tcPr>
          <w:p w14:paraId="2D065A99" w14:textId="77777777" w:rsidR="00A77B3E" w:rsidRPr="00800D1B" w:rsidRDefault="00623E14" w:rsidP="00722CEA">
            <w:pPr>
              <w:spacing w:before="100" w:after="100"/>
              <w:ind w:left="-72"/>
              <w:rPr>
                <w:color w:val="000000"/>
                <w:sz w:val="20"/>
                <w:lang w:val="sv-SE"/>
              </w:rPr>
            </w:pPr>
            <w:r w:rsidRPr="00800D1B">
              <w:rPr>
                <w:color w:val="000000"/>
                <w:sz w:val="20"/>
                <w:lang w:val="sv-SE"/>
              </w:rPr>
              <w:t>3</w:t>
            </w:r>
          </w:p>
        </w:tc>
        <w:tc>
          <w:tcPr>
            <w:tcW w:w="0" w:type="auto"/>
          </w:tcPr>
          <w:p w14:paraId="2D065A9A" w14:textId="77777777" w:rsidR="00A77B3E" w:rsidRPr="00800D1B" w:rsidRDefault="00623E14" w:rsidP="00722CEA">
            <w:pPr>
              <w:spacing w:before="100" w:after="100"/>
              <w:ind w:left="-72"/>
              <w:rPr>
                <w:color w:val="000000"/>
                <w:sz w:val="20"/>
                <w:lang w:val="sv-SE"/>
              </w:rPr>
            </w:pPr>
            <w:r w:rsidRPr="00800D1B">
              <w:rPr>
                <w:color w:val="000000"/>
                <w:sz w:val="20"/>
                <w:lang w:val="sv-SE"/>
              </w:rPr>
              <w:t>RSO1.2</w:t>
            </w:r>
          </w:p>
        </w:tc>
        <w:tc>
          <w:tcPr>
            <w:tcW w:w="0" w:type="auto"/>
          </w:tcPr>
          <w:p w14:paraId="2D065A9B" w14:textId="77777777" w:rsidR="00A77B3E" w:rsidRPr="00800D1B" w:rsidRDefault="00623E14" w:rsidP="00722CEA">
            <w:pPr>
              <w:spacing w:before="100" w:after="100"/>
              <w:ind w:left="-72"/>
              <w:rPr>
                <w:color w:val="000000"/>
                <w:sz w:val="20"/>
                <w:lang w:val="sv-SE"/>
              </w:rPr>
            </w:pPr>
            <w:r w:rsidRPr="00800D1B">
              <w:rPr>
                <w:color w:val="000000"/>
                <w:sz w:val="20"/>
                <w:lang w:val="sv-SE"/>
              </w:rPr>
              <w:t>Eruf</w:t>
            </w:r>
          </w:p>
        </w:tc>
        <w:tc>
          <w:tcPr>
            <w:tcW w:w="0" w:type="auto"/>
          </w:tcPr>
          <w:p w14:paraId="2D065A9C" w14:textId="77777777" w:rsidR="00A77B3E" w:rsidRPr="00800D1B" w:rsidRDefault="00623E14" w:rsidP="00722CEA">
            <w:pPr>
              <w:spacing w:before="100" w:after="100"/>
              <w:ind w:left="-72"/>
              <w:rPr>
                <w:color w:val="000000"/>
                <w:sz w:val="20"/>
                <w:lang w:val="sv-SE"/>
              </w:rPr>
            </w:pPr>
            <w:r w:rsidRPr="00800D1B">
              <w:rPr>
                <w:color w:val="000000"/>
                <w:sz w:val="20"/>
                <w:lang w:val="sv-SE"/>
              </w:rPr>
              <w:t>Mer utvecklade regioner</w:t>
            </w:r>
          </w:p>
        </w:tc>
        <w:tc>
          <w:tcPr>
            <w:tcW w:w="0" w:type="auto"/>
          </w:tcPr>
          <w:p w14:paraId="2D065A9D" w14:textId="77777777" w:rsidR="00A77B3E" w:rsidRPr="00800D1B" w:rsidRDefault="00623E14" w:rsidP="00722CEA">
            <w:pPr>
              <w:spacing w:before="100" w:after="100"/>
              <w:ind w:left="-72"/>
              <w:rPr>
                <w:color w:val="000000"/>
                <w:sz w:val="20"/>
                <w:lang w:val="sv-SE"/>
              </w:rPr>
            </w:pPr>
            <w:r w:rsidRPr="00800D1B">
              <w:rPr>
                <w:color w:val="000000"/>
                <w:sz w:val="20"/>
                <w:lang w:val="sv-SE"/>
              </w:rPr>
              <w:t>013. Digitalisering av små och medelstora företag (inbegripet e-handel, e-affärer och sammanlänkade affärsprocesser, digitala innovationsnav, levande laboratorier, webbentreprenörer och nystartade IKT-företag, företag-till-företag)</w:t>
            </w:r>
          </w:p>
        </w:tc>
        <w:tc>
          <w:tcPr>
            <w:tcW w:w="0" w:type="auto"/>
          </w:tcPr>
          <w:p w14:paraId="2D065A9E" w14:textId="77777777" w:rsidR="00A77B3E" w:rsidRPr="00800D1B" w:rsidRDefault="00623E14" w:rsidP="00722CEA">
            <w:pPr>
              <w:spacing w:before="100" w:after="100"/>
              <w:ind w:left="-72"/>
              <w:jc w:val="right"/>
              <w:rPr>
                <w:color w:val="000000"/>
                <w:sz w:val="20"/>
                <w:lang w:val="sv-SE"/>
              </w:rPr>
            </w:pPr>
            <w:r w:rsidRPr="00800D1B">
              <w:rPr>
                <w:color w:val="000000"/>
                <w:sz w:val="20"/>
                <w:lang w:val="sv-SE"/>
              </w:rPr>
              <w:t>5 248 247,00</w:t>
            </w:r>
          </w:p>
        </w:tc>
      </w:tr>
      <w:tr w:rsidR="003422DB" w:rsidRPr="00800D1B" w14:paraId="2D065AA6" w14:textId="77777777" w:rsidTr="00722CEA">
        <w:tc>
          <w:tcPr>
            <w:tcW w:w="0" w:type="auto"/>
          </w:tcPr>
          <w:p w14:paraId="2D065AA0" w14:textId="77777777" w:rsidR="00A77B3E" w:rsidRPr="00800D1B" w:rsidRDefault="00623E14" w:rsidP="00722CEA">
            <w:pPr>
              <w:spacing w:before="100" w:after="100"/>
              <w:ind w:left="-72"/>
              <w:rPr>
                <w:color w:val="000000"/>
                <w:sz w:val="20"/>
                <w:lang w:val="sv-SE"/>
              </w:rPr>
            </w:pPr>
            <w:r w:rsidRPr="00800D1B">
              <w:rPr>
                <w:color w:val="000000"/>
                <w:sz w:val="20"/>
                <w:lang w:val="sv-SE"/>
              </w:rPr>
              <w:t>3</w:t>
            </w:r>
          </w:p>
        </w:tc>
        <w:tc>
          <w:tcPr>
            <w:tcW w:w="0" w:type="auto"/>
          </w:tcPr>
          <w:p w14:paraId="2D065AA1" w14:textId="77777777" w:rsidR="00A77B3E" w:rsidRPr="00800D1B" w:rsidRDefault="00623E14" w:rsidP="00722CEA">
            <w:pPr>
              <w:spacing w:before="100" w:after="100"/>
              <w:ind w:left="-72"/>
              <w:rPr>
                <w:color w:val="000000"/>
                <w:sz w:val="20"/>
                <w:lang w:val="sv-SE"/>
              </w:rPr>
            </w:pPr>
            <w:r w:rsidRPr="00800D1B">
              <w:rPr>
                <w:color w:val="000000"/>
                <w:sz w:val="20"/>
                <w:lang w:val="sv-SE"/>
              </w:rPr>
              <w:t>RSO1.2</w:t>
            </w:r>
          </w:p>
        </w:tc>
        <w:tc>
          <w:tcPr>
            <w:tcW w:w="0" w:type="auto"/>
          </w:tcPr>
          <w:p w14:paraId="2D065AA2" w14:textId="77777777" w:rsidR="00A77B3E" w:rsidRPr="00800D1B" w:rsidRDefault="00623E14" w:rsidP="00722CEA">
            <w:pPr>
              <w:spacing w:before="100" w:after="100"/>
              <w:ind w:left="-72"/>
              <w:rPr>
                <w:color w:val="000000"/>
                <w:sz w:val="20"/>
                <w:lang w:val="sv-SE"/>
              </w:rPr>
            </w:pPr>
            <w:r w:rsidRPr="00800D1B">
              <w:rPr>
                <w:color w:val="000000"/>
                <w:sz w:val="20"/>
                <w:lang w:val="sv-SE"/>
              </w:rPr>
              <w:t>Eruf</w:t>
            </w:r>
          </w:p>
        </w:tc>
        <w:tc>
          <w:tcPr>
            <w:tcW w:w="0" w:type="auto"/>
          </w:tcPr>
          <w:p w14:paraId="2D065AA3" w14:textId="77777777" w:rsidR="00A77B3E" w:rsidRPr="00800D1B" w:rsidRDefault="00623E14" w:rsidP="00722CEA">
            <w:pPr>
              <w:spacing w:before="100" w:after="100"/>
              <w:ind w:left="-72"/>
              <w:rPr>
                <w:color w:val="000000"/>
                <w:sz w:val="20"/>
                <w:lang w:val="sv-SE"/>
              </w:rPr>
            </w:pPr>
            <w:r w:rsidRPr="00800D1B">
              <w:rPr>
                <w:color w:val="000000"/>
                <w:sz w:val="20"/>
                <w:lang w:val="sv-SE"/>
              </w:rPr>
              <w:t>Mer utvecklade regioner</w:t>
            </w:r>
          </w:p>
        </w:tc>
        <w:tc>
          <w:tcPr>
            <w:tcW w:w="0" w:type="auto"/>
          </w:tcPr>
          <w:p w14:paraId="2D065AA4" w14:textId="77777777" w:rsidR="00A77B3E" w:rsidRPr="00800D1B" w:rsidRDefault="00623E14" w:rsidP="00722CEA">
            <w:pPr>
              <w:spacing w:before="100" w:after="100"/>
              <w:ind w:left="-72"/>
              <w:rPr>
                <w:color w:val="000000"/>
                <w:sz w:val="20"/>
                <w:lang w:val="sv-SE"/>
              </w:rPr>
            </w:pPr>
            <w:r w:rsidRPr="00800D1B">
              <w:rPr>
                <w:color w:val="000000"/>
                <w:sz w:val="20"/>
                <w:lang w:val="sv-SE"/>
              </w:rPr>
              <w:t>016. IKT-lösningar, e-tjänster och tillämpningar för myndigheter</w:t>
            </w:r>
          </w:p>
        </w:tc>
        <w:tc>
          <w:tcPr>
            <w:tcW w:w="0" w:type="auto"/>
          </w:tcPr>
          <w:p w14:paraId="2D065AA5" w14:textId="77777777" w:rsidR="00A77B3E" w:rsidRPr="00800D1B" w:rsidRDefault="00623E14" w:rsidP="00722CEA">
            <w:pPr>
              <w:spacing w:before="100" w:after="100"/>
              <w:ind w:left="-72"/>
              <w:jc w:val="right"/>
              <w:rPr>
                <w:color w:val="000000"/>
                <w:sz w:val="20"/>
                <w:lang w:val="sv-SE"/>
              </w:rPr>
            </w:pPr>
            <w:r w:rsidRPr="00800D1B">
              <w:rPr>
                <w:color w:val="000000"/>
                <w:sz w:val="20"/>
                <w:lang w:val="sv-SE"/>
              </w:rPr>
              <w:t>5 248 247,00</w:t>
            </w:r>
          </w:p>
        </w:tc>
      </w:tr>
      <w:tr w:rsidR="003422DB" w:rsidRPr="00800D1B" w14:paraId="2D065AAD" w14:textId="77777777" w:rsidTr="00722CEA">
        <w:tc>
          <w:tcPr>
            <w:tcW w:w="0" w:type="auto"/>
          </w:tcPr>
          <w:p w14:paraId="2D065AA7" w14:textId="77777777" w:rsidR="00A77B3E" w:rsidRPr="00800D1B" w:rsidRDefault="00623E14" w:rsidP="00722CEA">
            <w:pPr>
              <w:spacing w:before="100" w:after="100"/>
              <w:ind w:left="-72"/>
              <w:rPr>
                <w:color w:val="000000"/>
                <w:sz w:val="20"/>
                <w:lang w:val="sv-SE"/>
              </w:rPr>
            </w:pPr>
            <w:r w:rsidRPr="00800D1B">
              <w:rPr>
                <w:color w:val="000000"/>
                <w:sz w:val="20"/>
                <w:lang w:val="sv-SE"/>
              </w:rPr>
              <w:t>3</w:t>
            </w:r>
          </w:p>
        </w:tc>
        <w:tc>
          <w:tcPr>
            <w:tcW w:w="0" w:type="auto"/>
          </w:tcPr>
          <w:p w14:paraId="2D065AA8" w14:textId="77777777" w:rsidR="00A77B3E" w:rsidRPr="00800D1B" w:rsidRDefault="00623E14" w:rsidP="00722CEA">
            <w:pPr>
              <w:spacing w:before="100" w:after="100"/>
              <w:ind w:left="-72"/>
              <w:rPr>
                <w:color w:val="000000"/>
                <w:sz w:val="20"/>
                <w:lang w:val="sv-SE"/>
              </w:rPr>
            </w:pPr>
            <w:r w:rsidRPr="00800D1B">
              <w:rPr>
                <w:color w:val="000000"/>
                <w:sz w:val="20"/>
                <w:lang w:val="sv-SE"/>
              </w:rPr>
              <w:t>RSO1.2</w:t>
            </w:r>
          </w:p>
        </w:tc>
        <w:tc>
          <w:tcPr>
            <w:tcW w:w="0" w:type="auto"/>
          </w:tcPr>
          <w:p w14:paraId="2D065AA9" w14:textId="77777777" w:rsidR="00A77B3E" w:rsidRPr="00800D1B" w:rsidRDefault="00623E14" w:rsidP="00722CEA">
            <w:pPr>
              <w:spacing w:before="100" w:after="100"/>
              <w:ind w:left="-72"/>
              <w:rPr>
                <w:color w:val="000000"/>
                <w:sz w:val="20"/>
                <w:lang w:val="sv-SE"/>
              </w:rPr>
            </w:pPr>
            <w:r w:rsidRPr="00800D1B">
              <w:rPr>
                <w:color w:val="000000"/>
                <w:sz w:val="20"/>
                <w:lang w:val="sv-SE"/>
              </w:rPr>
              <w:t>Eruf</w:t>
            </w:r>
          </w:p>
        </w:tc>
        <w:tc>
          <w:tcPr>
            <w:tcW w:w="0" w:type="auto"/>
          </w:tcPr>
          <w:p w14:paraId="2D065AAA" w14:textId="77777777" w:rsidR="00A77B3E" w:rsidRPr="00800D1B" w:rsidRDefault="00623E14" w:rsidP="00722CEA">
            <w:pPr>
              <w:spacing w:before="100" w:after="100"/>
              <w:ind w:left="-72"/>
              <w:rPr>
                <w:color w:val="000000"/>
                <w:sz w:val="20"/>
                <w:lang w:val="sv-SE"/>
              </w:rPr>
            </w:pPr>
            <w:r w:rsidRPr="00800D1B">
              <w:rPr>
                <w:color w:val="000000"/>
                <w:sz w:val="20"/>
                <w:lang w:val="sv-SE"/>
              </w:rPr>
              <w:t>Mer utvecklade regioner</w:t>
            </w:r>
          </w:p>
        </w:tc>
        <w:tc>
          <w:tcPr>
            <w:tcW w:w="0" w:type="auto"/>
          </w:tcPr>
          <w:p w14:paraId="2D065AAB" w14:textId="77777777" w:rsidR="00A77B3E" w:rsidRPr="00800D1B" w:rsidRDefault="00623E14" w:rsidP="00722CEA">
            <w:pPr>
              <w:spacing w:before="100" w:after="100"/>
              <w:ind w:left="-72"/>
              <w:rPr>
                <w:color w:val="000000"/>
                <w:sz w:val="20"/>
                <w:lang w:val="sv-SE"/>
              </w:rPr>
            </w:pPr>
            <w:r w:rsidRPr="00800D1B">
              <w:rPr>
                <w:color w:val="000000"/>
                <w:sz w:val="20"/>
                <w:lang w:val="sv-SE"/>
              </w:rPr>
              <w:t>018. It-tjänster och tillämpningar för digitala färdigheter och digital integration</w:t>
            </w:r>
          </w:p>
        </w:tc>
        <w:tc>
          <w:tcPr>
            <w:tcW w:w="0" w:type="auto"/>
          </w:tcPr>
          <w:p w14:paraId="2D065AAC" w14:textId="77777777" w:rsidR="00A77B3E" w:rsidRPr="00800D1B" w:rsidRDefault="00623E14" w:rsidP="00722CEA">
            <w:pPr>
              <w:spacing w:before="100" w:after="100"/>
              <w:ind w:left="-72"/>
              <w:jc w:val="right"/>
              <w:rPr>
                <w:color w:val="000000"/>
                <w:sz w:val="20"/>
                <w:lang w:val="sv-SE"/>
              </w:rPr>
            </w:pPr>
            <w:r w:rsidRPr="00800D1B">
              <w:rPr>
                <w:color w:val="000000"/>
                <w:sz w:val="20"/>
                <w:lang w:val="sv-SE"/>
              </w:rPr>
              <w:t>5 248 246,00</w:t>
            </w:r>
          </w:p>
        </w:tc>
      </w:tr>
      <w:tr w:rsidR="003422DB" w:rsidRPr="00800D1B" w14:paraId="2D065AB4" w14:textId="77777777" w:rsidTr="00722CEA">
        <w:tc>
          <w:tcPr>
            <w:tcW w:w="0" w:type="auto"/>
          </w:tcPr>
          <w:p w14:paraId="2D065AAE" w14:textId="77777777" w:rsidR="00A77B3E" w:rsidRPr="00800D1B" w:rsidRDefault="00623E14" w:rsidP="00722CEA">
            <w:pPr>
              <w:spacing w:before="100" w:after="100"/>
              <w:ind w:left="-72"/>
              <w:rPr>
                <w:color w:val="000000"/>
                <w:sz w:val="20"/>
                <w:lang w:val="sv-SE"/>
              </w:rPr>
            </w:pPr>
            <w:r w:rsidRPr="00800D1B">
              <w:rPr>
                <w:color w:val="000000"/>
                <w:sz w:val="20"/>
                <w:lang w:val="sv-SE"/>
              </w:rPr>
              <w:t>3</w:t>
            </w:r>
          </w:p>
        </w:tc>
        <w:tc>
          <w:tcPr>
            <w:tcW w:w="0" w:type="auto"/>
          </w:tcPr>
          <w:p w14:paraId="2D065AAF" w14:textId="77777777" w:rsidR="00A77B3E" w:rsidRPr="00800D1B" w:rsidRDefault="00623E14" w:rsidP="00722CEA">
            <w:pPr>
              <w:spacing w:before="100" w:after="100"/>
              <w:ind w:left="-72"/>
              <w:rPr>
                <w:color w:val="000000"/>
                <w:sz w:val="20"/>
                <w:lang w:val="sv-SE"/>
              </w:rPr>
            </w:pPr>
            <w:r w:rsidRPr="00800D1B">
              <w:rPr>
                <w:color w:val="000000"/>
                <w:sz w:val="20"/>
                <w:lang w:val="sv-SE"/>
              </w:rPr>
              <w:t>RSO1.2</w:t>
            </w:r>
          </w:p>
        </w:tc>
        <w:tc>
          <w:tcPr>
            <w:tcW w:w="0" w:type="auto"/>
          </w:tcPr>
          <w:p w14:paraId="2D065AB0" w14:textId="77777777" w:rsidR="00A77B3E" w:rsidRPr="00800D1B" w:rsidRDefault="00623E14" w:rsidP="00722CEA">
            <w:pPr>
              <w:spacing w:before="100" w:after="100"/>
              <w:ind w:left="-72"/>
              <w:rPr>
                <w:color w:val="000000"/>
                <w:sz w:val="20"/>
                <w:lang w:val="sv-SE"/>
              </w:rPr>
            </w:pPr>
            <w:r w:rsidRPr="00800D1B">
              <w:rPr>
                <w:color w:val="000000"/>
                <w:sz w:val="20"/>
                <w:lang w:val="sv-SE"/>
              </w:rPr>
              <w:t>Eruf</w:t>
            </w:r>
          </w:p>
        </w:tc>
        <w:tc>
          <w:tcPr>
            <w:tcW w:w="0" w:type="auto"/>
          </w:tcPr>
          <w:p w14:paraId="2D065AB1" w14:textId="77777777" w:rsidR="00A77B3E" w:rsidRPr="00800D1B" w:rsidRDefault="00623E14" w:rsidP="00722CEA">
            <w:pPr>
              <w:spacing w:before="100" w:after="100"/>
              <w:ind w:left="-72"/>
              <w:rPr>
                <w:color w:val="000000"/>
                <w:sz w:val="20"/>
                <w:lang w:val="sv-SE"/>
              </w:rPr>
            </w:pPr>
            <w:r w:rsidRPr="00800D1B">
              <w:rPr>
                <w:color w:val="000000"/>
                <w:sz w:val="20"/>
                <w:lang w:val="sv-SE"/>
              </w:rPr>
              <w:t>De yttersta randområdena eller de nordliga glesbefolkade områdena</w:t>
            </w:r>
          </w:p>
        </w:tc>
        <w:tc>
          <w:tcPr>
            <w:tcW w:w="0" w:type="auto"/>
          </w:tcPr>
          <w:p w14:paraId="2D065AB2" w14:textId="77777777" w:rsidR="00A77B3E" w:rsidRPr="00800D1B" w:rsidRDefault="00623E14" w:rsidP="00722CEA">
            <w:pPr>
              <w:spacing w:before="100" w:after="100"/>
              <w:ind w:left="-72"/>
              <w:rPr>
                <w:color w:val="000000"/>
                <w:sz w:val="20"/>
                <w:lang w:val="sv-SE"/>
              </w:rPr>
            </w:pPr>
            <w:r w:rsidRPr="00800D1B">
              <w:rPr>
                <w:color w:val="000000"/>
                <w:sz w:val="20"/>
                <w:lang w:val="sv-SE"/>
              </w:rPr>
              <w:t>013. Digitalisering av små och medelstora företag (inbegripet e-handel, e-affärer och sammanlänkade affärsprocesser, digitala innovationsnav, levande laboratorier, webbentreprenörer och nystartade IKT-företag, företag-till-företag)</w:t>
            </w:r>
          </w:p>
        </w:tc>
        <w:tc>
          <w:tcPr>
            <w:tcW w:w="0" w:type="auto"/>
          </w:tcPr>
          <w:p w14:paraId="2D065AB3" w14:textId="77777777" w:rsidR="00A77B3E" w:rsidRPr="00800D1B" w:rsidRDefault="00623E14" w:rsidP="00722CEA">
            <w:pPr>
              <w:spacing w:before="100" w:after="100"/>
              <w:ind w:left="-72"/>
              <w:jc w:val="right"/>
              <w:rPr>
                <w:color w:val="000000"/>
                <w:sz w:val="20"/>
                <w:lang w:val="sv-SE"/>
              </w:rPr>
            </w:pPr>
            <w:r w:rsidRPr="00800D1B">
              <w:rPr>
                <w:color w:val="000000"/>
                <w:sz w:val="20"/>
                <w:lang w:val="sv-SE"/>
              </w:rPr>
              <w:t>226 943,00</w:t>
            </w:r>
          </w:p>
        </w:tc>
      </w:tr>
      <w:tr w:rsidR="003422DB" w:rsidRPr="00800D1B" w14:paraId="2D065ABB" w14:textId="77777777" w:rsidTr="00722CEA">
        <w:tc>
          <w:tcPr>
            <w:tcW w:w="0" w:type="auto"/>
          </w:tcPr>
          <w:p w14:paraId="2D065AB5" w14:textId="77777777" w:rsidR="00A77B3E" w:rsidRPr="00800D1B" w:rsidRDefault="00623E14" w:rsidP="00722CEA">
            <w:pPr>
              <w:spacing w:before="100" w:after="100"/>
              <w:ind w:left="-72"/>
              <w:rPr>
                <w:color w:val="000000"/>
                <w:sz w:val="20"/>
                <w:lang w:val="sv-SE"/>
              </w:rPr>
            </w:pPr>
            <w:r w:rsidRPr="00800D1B">
              <w:rPr>
                <w:color w:val="000000"/>
                <w:sz w:val="20"/>
                <w:lang w:val="sv-SE"/>
              </w:rPr>
              <w:t>3</w:t>
            </w:r>
          </w:p>
        </w:tc>
        <w:tc>
          <w:tcPr>
            <w:tcW w:w="0" w:type="auto"/>
          </w:tcPr>
          <w:p w14:paraId="2D065AB6" w14:textId="77777777" w:rsidR="00A77B3E" w:rsidRPr="00800D1B" w:rsidRDefault="00623E14" w:rsidP="00722CEA">
            <w:pPr>
              <w:spacing w:before="100" w:after="100"/>
              <w:ind w:left="-72"/>
              <w:rPr>
                <w:color w:val="000000"/>
                <w:sz w:val="20"/>
                <w:lang w:val="sv-SE"/>
              </w:rPr>
            </w:pPr>
            <w:r w:rsidRPr="00800D1B">
              <w:rPr>
                <w:color w:val="000000"/>
                <w:sz w:val="20"/>
                <w:lang w:val="sv-SE"/>
              </w:rPr>
              <w:t>RSO1.2</w:t>
            </w:r>
          </w:p>
        </w:tc>
        <w:tc>
          <w:tcPr>
            <w:tcW w:w="0" w:type="auto"/>
          </w:tcPr>
          <w:p w14:paraId="2D065AB7" w14:textId="77777777" w:rsidR="00A77B3E" w:rsidRPr="00800D1B" w:rsidRDefault="00623E14" w:rsidP="00722CEA">
            <w:pPr>
              <w:spacing w:before="100" w:after="100"/>
              <w:ind w:left="-72"/>
              <w:rPr>
                <w:color w:val="000000"/>
                <w:sz w:val="20"/>
                <w:lang w:val="sv-SE"/>
              </w:rPr>
            </w:pPr>
            <w:r w:rsidRPr="00800D1B">
              <w:rPr>
                <w:color w:val="000000"/>
                <w:sz w:val="20"/>
                <w:lang w:val="sv-SE"/>
              </w:rPr>
              <w:t>Eruf</w:t>
            </w:r>
          </w:p>
        </w:tc>
        <w:tc>
          <w:tcPr>
            <w:tcW w:w="0" w:type="auto"/>
          </w:tcPr>
          <w:p w14:paraId="2D065AB8" w14:textId="77777777" w:rsidR="00A77B3E" w:rsidRPr="00800D1B" w:rsidRDefault="00623E14" w:rsidP="00722CEA">
            <w:pPr>
              <w:spacing w:before="100" w:after="100"/>
              <w:ind w:left="-72"/>
              <w:rPr>
                <w:color w:val="000000"/>
                <w:sz w:val="20"/>
                <w:lang w:val="sv-SE"/>
              </w:rPr>
            </w:pPr>
            <w:r w:rsidRPr="00800D1B">
              <w:rPr>
                <w:color w:val="000000"/>
                <w:sz w:val="20"/>
                <w:lang w:val="sv-SE"/>
              </w:rPr>
              <w:t>De yttersta randområdena eller de nordliga glesbefolkade områdena</w:t>
            </w:r>
          </w:p>
        </w:tc>
        <w:tc>
          <w:tcPr>
            <w:tcW w:w="0" w:type="auto"/>
          </w:tcPr>
          <w:p w14:paraId="2D065AB9" w14:textId="77777777" w:rsidR="00A77B3E" w:rsidRPr="00800D1B" w:rsidRDefault="00623E14" w:rsidP="00722CEA">
            <w:pPr>
              <w:spacing w:before="100" w:after="100"/>
              <w:ind w:left="-72"/>
              <w:rPr>
                <w:color w:val="000000"/>
                <w:sz w:val="20"/>
                <w:lang w:val="sv-SE"/>
              </w:rPr>
            </w:pPr>
            <w:r w:rsidRPr="00800D1B">
              <w:rPr>
                <w:color w:val="000000"/>
                <w:sz w:val="20"/>
                <w:lang w:val="sv-SE"/>
              </w:rPr>
              <w:t>016. IKT-lösningar, e-tjänster och tillämpningar för myndigheter</w:t>
            </w:r>
          </w:p>
        </w:tc>
        <w:tc>
          <w:tcPr>
            <w:tcW w:w="0" w:type="auto"/>
          </w:tcPr>
          <w:p w14:paraId="2D065ABA" w14:textId="77777777" w:rsidR="00A77B3E" w:rsidRPr="00800D1B" w:rsidRDefault="00623E14" w:rsidP="00722CEA">
            <w:pPr>
              <w:spacing w:before="100" w:after="100"/>
              <w:ind w:left="-72"/>
              <w:jc w:val="right"/>
              <w:rPr>
                <w:color w:val="000000"/>
                <w:sz w:val="20"/>
                <w:lang w:val="sv-SE"/>
              </w:rPr>
            </w:pPr>
            <w:r w:rsidRPr="00800D1B">
              <w:rPr>
                <w:color w:val="000000"/>
                <w:sz w:val="20"/>
                <w:lang w:val="sv-SE"/>
              </w:rPr>
              <w:t>226 943,00</w:t>
            </w:r>
          </w:p>
        </w:tc>
      </w:tr>
      <w:tr w:rsidR="003422DB" w:rsidRPr="00800D1B" w14:paraId="2D065AC2" w14:textId="77777777" w:rsidTr="00722CEA">
        <w:tc>
          <w:tcPr>
            <w:tcW w:w="0" w:type="auto"/>
          </w:tcPr>
          <w:p w14:paraId="2D065ABC" w14:textId="77777777" w:rsidR="00A77B3E" w:rsidRPr="00800D1B" w:rsidRDefault="00623E14" w:rsidP="00722CEA">
            <w:pPr>
              <w:spacing w:before="100" w:after="100"/>
              <w:ind w:left="-72"/>
              <w:rPr>
                <w:color w:val="000000"/>
                <w:sz w:val="20"/>
                <w:lang w:val="sv-SE"/>
              </w:rPr>
            </w:pPr>
            <w:r w:rsidRPr="00800D1B">
              <w:rPr>
                <w:color w:val="000000"/>
                <w:sz w:val="20"/>
                <w:lang w:val="sv-SE"/>
              </w:rPr>
              <w:t>3</w:t>
            </w:r>
          </w:p>
        </w:tc>
        <w:tc>
          <w:tcPr>
            <w:tcW w:w="0" w:type="auto"/>
          </w:tcPr>
          <w:p w14:paraId="2D065ABD" w14:textId="77777777" w:rsidR="00A77B3E" w:rsidRPr="00800D1B" w:rsidRDefault="00623E14" w:rsidP="00722CEA">
            <w:pPr>
              <w:spacing w:before="100" w:after="100"/>
              <w:ind w:left="-72"/>
              <w:rPr>
                <w:color w:val="000000"/>
                <w:sz w:val="20"/>
                <w:lang w:val="sv-SE"/>
              </w:rPr>
            </w:pPr>
            <w:r w:rsidRPr="00800D1B">
              <w:rPr>
                <w:color w:val="000000"/>
                <w:sz w:val="20"/>
                <w:lang w:val="sv-SE"/>
              </w:rPr>
              <w:t>RSO1.2</w:t>
            </w:r>
          </w:p>
        </w:tc>
        <w:tc>
          <w:tcPr>
            <w:tcW w:w="0" w:type="auto"/>
          </w:tcPr>
          <w:p w14:paraId="2D065ABE" w14:textId="77777777" w:rsidR="00A77B3E" w:rsidRPr="00800D1B" w:rsidRDefault="00623E14" w:rsidP="00722CEA">
            <w:pPr>
              <w:spacing w:before="100" w:after="100"/>
              <w:ind w:left="-72"/>
              <w:rPr>
                <w:color w:val="000000"/>
                <w:sz w:val="20"/>
                <w:lang w:val="sv-SE"/>
              </w:rPr>
            </w:pPr>
            <w:r w:rsidRPr="00800D1B">
              <w:rPr>
                <w:color w:val="000000"/>
                <w:sz w:val="20"/>
                <w:lang w:val="sv-SE"/>
              </w:rPr>
              <w:t>Eruf</w:t>
            </w:r>
          </w:p>
        </w:tc>
        <w:tc>
          <w:tcPr>
            <w:tcW w:w="0" w:type="auto"/>
          </w:tcPr>
          <w:p w14:paraId="2D065ABF" w14:textId="77777777" w:rsidR="00A77B3E" w:rsidRPr="00800D1B" w:rsidRDefault="00623E14" w:rsidP="00722CEA">
            <w:pPr>
              <w:spacing w:before="100" w:after="100"/>
              <w:ind w:left="-72"/>
              <w:rPr>
                <w:color w:val="000000"/>
                <w:sz w:val="20"/>
                <w:lang w:val="sv-SE"/>
              </w:rPr>
            </w:pPr>
            <w:r w:rsidRPr="00800D1B">
              <w:rPr>
                <w:color w:val="000000"/>
                <w:sz w:val="20"/>
                <w:lang w:val="sv-SE"/>
              </w:rPr>
              <w:t>De yttersta randområdena eller de nordliga glesbefolkade områdena</w:t>
            </w:r>
          </w:p>
        </w:tc>
        <w:tc>
          <w:tcPr>
            <w:tcW w:w="0" w:type="auto"/>
          </w:tcPr>
          <w:p w14:paraId="2D065AC0" w14:textId="77777777" w:rsidR="00A77B3E" w:rsidRPr="00800D1B" w:rsidRDefault="00623E14" w:rsidP="00722CEA">
            <w:pPr>
              <w:spacing w:before="100" w:after="100"/>
              <w:ind w:left="-72"/>
              <w:rPr>
                <w:color w:val="000000"/>
                <w:sz w:val="20"/>
                <w:lang w:val="sv-SE"/>
              </w:rPr>
            </w:pPr>
            <w:r w:rsidRPr="00800D1B">
              <w:rPr>
                <w:color w:val="000000"/>
                <w:sz w:val="20"/>
                <w:lang w:val="sv-SE"/>
              </w:rPr>
              <w:t>018. It-tjänster och tillämpningar för digitala färdigheter och digital integration</w:t>
            </w:r>
          </w:p>
        </w:tc>
        <w:tc>
          <w:tcPr>
            <w:tcW w:w="0" w:type="auto"/>
          </w:tcPr>
          <w:p w14:paraId="2D065AC1" w14:textId="77777777" w:rsidR="00A77B3E" w:rsidRPr="00800D1B" w:rsidRDefault="00623E14" w:rsidP="00722CEA">
            <w:pPr>
              <w:spacing w:before="100" w:after="100"/>
              <w:ind w:left="-72"/>
              <w:jc w:val="right"/>
              <w:rPr>
                <w:color w:val="000000"/>
                <w:sz w:val="20"/>
                <w:lang w:val="sv-SE"/>
              </w:rPr>
            </w:pPr>
            <w:r w:rsidRPr="00800D1B">
              <w:rPr>
                <w:color w:val="000000"/>
                <w:sz w:val="20"/>
                <w:lang w:val="sv-SE"/>
              </w:rPr>
              <w:t>226 942,00</w:t>
            </w:r>
          </w:p>
        </w:tc>
      </w:tr>
      <w:tr w:rsidR="003422DB" w:rsidRPr="00800D1B" w14:paraId="2D065AC9" w14:textId="77777777" w:rsidTr="00722CEA">
        <w:tc>
          <w:tcPr>
            <w:tcW w:w="0" w:type="auto"/>
          </w:tcPr>
          <w:p w14:paraId="2D065AC3" w14:textId="77777777" w:rsidR="00A77B3E" w:rsidRPr="00800D1B" w:rsidRDefault="00623E14" w:rsidP="00722CEA">
            <w:pPr>
              <w:spacing w:before="100" w:after="100"/>
              <w:ind w:left="-72"/>
              <w:rPr>
                <w:color w:val="000000"/>
                <w:sz w:val="20"/>
                <w:lang w:val="sv-SE"/>
              </w:rPr>
            </w:pPr>
            <w:r w:rsidRPr="00800D1B">
              <w:rPr>
                <w:color w:val="000000"/>
                <w:sz w:val="20"/>
                <w:lang w:val="sv-SE"/>
              </w:rPr>
              <w:t>3</w:t>
            </w:r>
          </w:p>
        </w:tc>
        <w:tc>
          <w:tcPr>
            <w:tcW w:w="0" w:type="auto"/>
          </w:tcPr>
          <w:p w14:paraId="2D065AC4" w14:textId="77777777" w:rsidR="00A77B3E" w:rsidRPr="00800D1B" w:rsidRDefault="00623E14" w:rsidP="00722CEA">
            <w:pPr>
              <w:spacing w:before="100" w:after="100"/>
              <w:ind w:left="-72"/>
              <w:rPr>
                <w:color w:val="000000"/>
                <w:sz w:val="20"/>
                <w:lang w:val="sv-SE"/>
              </w:rPr>
            </w:pPr>
            <w:r w:rsidRPr="00800D1B">
              <w:rPr>
                <w:color w:val="000000"/>
                <w:sz w:val="20"/>
                <w:lang w:val="sv-SE"/>
              </w:rPr>
              <w:t>RSO1.2</w:t>
            </w:r>
          </w:p>
        </w:tc>
        <w:tc>
          <w:tcPr>
            <w:tcW w:w="0" w:type="auto"/>
          </w:tcPr>
          <w:p w14:paraId="2D065AC5" w14:textId="77777777" w:rsidR="00A77B3E" w:rsidRPr="00800D1B" w:rsidRDefault="00623E14" w:rsidP="00722CEA">
            <w:pPr>
              <w:spacing w:before="100" w:after="100"/>
              <w:ind w:left="-72"/>
              <w:rPr>
                <w:color w:val="000000"/>
                <w:sz w:val="20"/>
                <w:lang w:val="sv-SE"/>
              </w:rPr>
            </w:pPr>
            <w:r w:rsidRPr="00800D1B">
              <w:rPr>
                <w:color w:val="000000"/>
                <w:sz w:val="20"/>
                <w:lang w:val="sv-SE"/>
              </w:rPr>
              <w:t>Totalt</w:t>
            </w:r>
          </w:p>
        </w:tc>
        <w:tc>
          <w:tcPr>
            <w:tcW w:w="0" w:type="auto"/>
          </w:tcPr>
          <w:p w14:paraId="2D065AC6" w14:textId="77777777" w:rsidR="00A77B3E" w:rsidRPr="00800D1B" w:rsidRDefault="00A77B3E" w:rsidP="00722CEA">
            <w:pPr>
              <w:spacing w:before="100" w:after="100"/>
              <w:ind w:left="-72"/>
              <w:rPr>
                <w:color w:val="000000"/>
                <w:sz w:val="20"/>
                <w:lang w:val="sv-SE"/>
              </w:rPr>
            </w:pPr>
          </w:p>
        </w:tc>
        <w:tc>
          <w:tcPr>
            <w:tcW w:w="0" w:type="auto"/>
          </w:tcPr>
          <w:p w14:paraId="2D065AC7" w14:textId="77777777" w:rsidR="00A77B3E" w:rsidRPr="00800D1B" w:rsidRDefault="00A77B3E" w:rsidP="00722CEA">
            <w:pPr>
              <w:spacing w:before="100" w:after="100"/>
              <w:ind w:left="-72"/>
              <w:rPr>
                <w:color w:val="000000"/>
                <w:sz w:val="20"/>
                <w:lang w:val="sv-SE"/>
              </w:rPr>
            </w:pPr>
          </w:p>
        </w:tc>
        <w:tc>
          <w:tcPr>
            <w:tcW w:w="0" w:type="auto"/>
          </w:tcPr>
          <w:p w14:paraId="2D065AC8" w14:textId="77777777" w:rsidR="00A77B3E" w:rsidRPr="00800D1B" w:rsidRDefault="00623E14" w:rsidP="00722CEA">
            <w:pPr>
              <w:spacing w:before="100" w:after="100"/>
              <w:ind w:left="-72"/>
              <w:jc w:val="right"/>
              <w:rPr>
                <w:color w:val="000000"/>
                <w:sz w:val="20"/>
                <w:lang w:val="sv-SE"/>
              </w:rPr>
            </w:pPr>
            <w:r w:rsidRPr="00800D1B">
              <w:rPr>
                <w:color w:val="000000"/>
                <w:sz w:val="20"/>
                <w:lang w:val="sv-SE"/>
              </w:rPr>
              <w:t>16 425 568,00</w:t>
            </w:r>
          </w:p>
        </w:tc>
      </w:tr>
    </w:tbl>
    <w:p w14:paraId="2D065ACB" w14:textId="1FB86F90" w:rsidR="00A77B3E" w:rsidRPr="00800D1B" w:rsidRDefault="00623E14" w:rsidP="00431BFA">
      <w:pPr>
        <w:spacing w:before="360" w:after="100"/>
        <w:rPr>
          <w:lang w:val="sv-SE"/>
        </w:rPr>
      </w:pPr>
      <w:bookmarkStart w:id="54" w:name="_Toc256000295"/>
      <w:r w:rsidRPr="00800D1B">
        <w:rPr>
          <w:lang w:val="sv-SE"/>
        </w:rPr>
        <w:t>Tabell 5: Dimension 2 – finansieringsform</w:t>
      </w:r>
      <w:bookmarkEnd w:id="54"/>
    </w:p>
    <w:p w14:paraId="2D065ACC" w14:textId="77777777" w:rsidR="00A77B3E" w:rsidRPr="00800D1B" w:rsidRDefault="00A77B3E">
      <w:pPr>
        <w:spacing w:before="100"/>
        <w:rPr>
          <w:color w:val="000000"/>
          <w:sz w:val="0"/>
          <w:lang w:val="sv-SE"/>
        </w:rPr>
      </w:pPr>
    </w:p>
    <w:tbl>
      <w:tblPr>
        <w:tblStyle w:val="Tabellrutnt"/>
        <w:tblW w:w="5000" w:type="pct"/>
        <w:tblLook w:val="04A0" w:firstRow="1" w:lastRow="0" w:firstColumn="1" w:lastColumn="0" w:noHBand="0" w:noVBand="1"/>
        <w:tblDescription w:val="En tabell med sex kolumner: Prioritering; Specifikt mål; Fond; Regionkategori; Kod; Belopp (euro). Tabellen visar information om finansieringsform."/>
      </w:tblPr>
      <w:tblGrid>
        <w:gridCol w:w="1554"/>
        <w:gridCol w:w="1753"/>
        <w:gridCol w:w="962"/>
        <w:gridCol w:w="7552"/>
        <w:gridCol w:w="1494"/>
        <w:gridCol w:w="1857"/>
      </w:tblGrid>
      <w:tr w:rsidR="003422DB" w:rsidRPr="00800D1B" w14:paraId="2D065AD3" w14:textId="77777777" w:rsidTr="00722CEA">
        <w:tc>
          <w:tcPr>
            <w:tcW w:w="0" w:type="auto"/>
          </w:tcPr>
          <w:p w14:paraId="2D065ACD" w14:textId="77777777" w:rsidR="00A77B3E" w:rsidRPr="00800D1B" w:rsidRDefault="00623E14" w:rsidP="00722CEA">
            <w:pPr>
              <w:spacing w:before="100" w:after="100"/>
              <w:ind w:left="-72"/>
              <w:jc w:val="center"/>
              <w:rPr>
                <w:color w:val="000000"/>
                <w:sz w:val="20"/>
                <w:lang w:val="sv-SE"/>
              </w:rPr>
            </w:pPr>
            <w:r w:rsidRPr="00800D1B">
              <w:rPr>
                <w:color w:val="000000"/>
                <w:sz w:val="20"/>
                <w:lang w:val="sv-SE"/>
              </w:rPr>
              <w:t>Prioritering</w:t>
            </w:r>
          </w:p>
        </w:tc>
        <w:tc>
          <w:tcPr>
            <w:tcW w:w="0" w:type="auto"/>
          </w:tcPr>
          <w:p w14:paraId="2D065ACE" w14:textId="77777777" w:rsidR="00A77B3E" w:rsidRPr="00800D1B" w:rsidRDefault="00623E14" w:rsidP="00722CEA">
            <w:pPr>
              <w:spacing w:before="100" w:after="100"/>
              <w:ind w:left="-72"/>
              <w:jc w:val="center"/>
              <w:rPr>
                <w:color w:val="000000"/>
                <w:sz w:val="20"/>
                <w:lang w:val="sv-SE"/>
              </w:rPr>
            </w:pPr>
            <w:r w:rsidRPr="00800D1B">
              <w:rPr>
                <w:color w:val="000000"/>
                <w:sz w:val="20"/>
                <w:lang w:val="sv-SE"/>
              </w:rPr>
              <w:t>Specifikt mål</w:t>
            </w:r>
          </w:p>
        </w:tc>
        <w:tc>
          <w:tcPr>
            <w:tcW w:w="0" w:type="auto"/>
          </w:tcPr>
          <w:p w14:paraId="2D065ACF" w14:textId="77777777" w:rsidR="00A77B3E" w:rsidRPr="00800D1B" w:rsidRDefault="00623E14" w:rsidP="00722CEA">
            <w:pPr>
              <w:spacing w:before="100" w:after="100"/>
              <w:ind w:left="-72"/>
              <w:jc w:val="center"/>
              <w:rPr>
                <w:color w:val="000000"/>
                <w:sz w:val="20"/>
                <w:lang w:val="sv-SE"/>
              </w:rPr>
            </w:pPr>
            <w:r w:rsidRPr="00800D1B">
              <w:rPr>
                <w:color w:val="000000"/>
                <w:sz w:val="20"/>
                <w:lang w:val="sv-SE"/>
              </w:rPr>
              <w:t>Fond</w:t>
            </w:r>
          </w:p>
        </w:tc>
        <w:tc>
          <w:tcPr>
            <w:tcW w:w="0" w:type="auto"/>
          </w:tcPr>
          <w:p w14:paraId="2D065AD0" w14:textId="77777777" w:rsidR="00A77B3E" w:rsidRPr="00800D1B" w:rsidRDefault="00623E14" w:rsidP="00722CEA">
            <w:pPr>
              <w:spacing w:before="100" w:after="100"/>
              <w:ind w:left="-72"/>
              <w:jc w:val="center"/>
              <w:rPr>
                <w:color w:val="000000"/>
                <w:sz w:val="20"/>
                <w:lang w:val="sv-SE"/>
              </w:rPr>
            </w:pPr>
            <w:r w:rsidRPr="00800D1B">
              <w:rPr>
                <w:color w:val="000000"/>
                <w:sz w:val="20"/>
                <w:lang w:val="sv-SE"/>
              </w:rPr>
              <w:t>Regionkategori</w:t>
            </w:r>
          </w:p>
        </w:tc>
        <w:tc>
          <w:tcPr>
            <w:tcW w:w="0" w:type="auto"/>
          </w:tcPr>
          <w:p w14:paraId="2D065AD1" w14:textId="77777777" w:rsidR="00A77B3E" w:rsidRPr="00800D1B" w:rsidRDefault="00623E14" w:rsidP="00722CEA">
            <w:pPr>
              <w:spacing w:before="100" w:after="100"/>
              <w:ind w:left="-72"/>
              <w:jc w:val="center"/>
              <w:rPr>
                <w:color w:val="000000"/>
                <w:sz w:val="20"/>
                <w:lang w:val="sv-SE"/>
              </w:rPr>
            </w:pPr>
            <w:r w:rsidRPr="00800D1B">
              <w:rPr>
                <w:color w:val="000000"/>
                <w:sz w:val="20"/>
                <w:lang w:val="sv-SE"/>
              </w:rPr>
              <w:t>Kod</w:t>
            </w:r>
          </w:p>
        </w:tc>
        <w:tc>
          <w:tcPr>
            <w:tcW w:w="0" w:type="auto"/>
          </w:tcPr>
          <w:p w14:paraId="2D065AD2" w14:textId="77777777" w:rsidR="00A77B3E" w:rsidRPr="00800D1B" w:rsidRDefault="00623E14" w:rsidP="00722CEA">
            <w:pPr>
              <w:spacing w:before="100" w:after="100"/>
              <w:ind w:left="-72"/>
              <w:jc w:val="center"/>
              <w:rPr>
                <w:color w:val="000000"/>
                <w:sz w:val="20"/>
                <w:lang w:val="sv-SE"/>
              </w:rPr>
            </w:pPr>
            <w:r w:rsidRPr="00800D1B">
              <w:rPr>
                <w:color w:val="000000"/>
                <w:sz w:val="20"/>
                <w:lang w:val="sv-SE"/>
              </w:rPr>
              <w:t>Belopp (euro)</w:t>
            </w:r>
          </w:p>
        </w:tc>
      </w:tr>
      <w:tr w:rsidR="003422DB" w:rsidRPr="00800D1B" w14:paraId="2D065ADA" w14:textId="77777777" w:rsidTr="00722CEA">
        <w:tc>
          <w:tcPr>
            <w:tcW w:w="0" w:type="auto"/>
          </w:tcPr>
          <w:p w14:paraId="2D065AD4" w14:textId="77777777" w:rsidR="00A77B3E" w:rsidRPr="00800D1B" w:rsidRDefault="00623E14" w:rsidP="00722CEA">
            <w:pPr>
              <w:spacing w:before="100" w:after="100"/>
              <w:ind w:left="-72"/>
              <w:rPr>
                <w:color w:val="000000"/>
                <w:sz w:val="20"/>
                <w:lang w:val="sv-SE"/>
              </w:rPr>
            </w:pPr>
            <w:r w:rsidRPr="00800D1B">
              <w:rPr>
                <w:color w:val="000000"/>
                <w:sz w:val="20"/>
                <w:lang w:val="sv-SE"/>
              </w:rPr>
              <w:t>3</w:t>
            </w:r>
          </w:p>
        </w:tc>
        <w:tc>
          <w:tcPr>
            <w:tcW w:w="0" w:type="auto"/>
          </w:tcPr>
          <w:p w14:paraId="2D065AD5" w14:textId="77777777" w:rsidR="00A77B3E" w:rsidRPr="00800D1B" w:rsidRDefault="00623E14" w:rsidP="00722CEA">
            <w:pPr>
              <w:spacing w:before="100" w:after="100"/>
              <w:ind w:left="-72"/>
              <w:rPr>
                <w:color w:val="000000"/>
                <w:sz w:val="20"/>
                <w:lang w:val="sv-SE"/>
              </w:rPr>
            </w:pPr>
            <w:r w:rsidRPr="00800D1B">
              <w:rPr>
                <w:color w:val="000000"/>
                <w:sz w:val="20"/>
                <w:lang w:val="sv-SE"/>
              </w:rPr>
              <w:t>RSO1.2</w:t>
            </w:r>
          </w:p>
        </w:tc>
        <w:tc>
          <w:tcPr>
            <w:tcW w:w="0" w:type="auto"/>
          </w:tcPr>
          <w:p w14:paraId="2D065AD6" w14:textId="77777777" w:rsidR="00A77B3E" w:rsidRPr="00800D1B" w:rsidRDefault="00623E14" w:rsidP="00722CEA">
            <w:pPr>
              <w:spacing w:before="100" w:after="100"/>
              <w:ind w:left="-72"/>
              <w:rPr>
                <w:color w:val="000000"/>
                <w:sz w:val="20"/>
                <w:lang w:val="sv-SE"/>
              </w:rPr>
            </w:pPr>
            <w:r w:rsidRPr="00800D1B">
              <w:rPr>
                <w:color w:val="000000"/>
                <w:sz w:val="20"/>
                <w:lang w:val="sv-SE"/>
              </w:rPr>
              <w:t>Eruf</w:t>
            </w:r>
          </w:p>
        </w:tc>
        <w:tc>
          <w:tcPr>
            <w:tcW w:w="0" w:type="auto"/>
          </w:tcPr>
          <w:p w14:paraId="2D065AD7" w14:textId="77777777" w:rsidR="00A77B3E" w:rsidRPr="00800D1B" w:rsidRDefault="00623E14" w:rsidP="00722CEA">
            <w:pPr>
              <w:spacing w:before="100" w:after="100"/>
              <w:ind w:left="-72"/>
              <w:rPr>
                <w:color w:val="000000"/>
                <w:sz w:val="20"/>
                <w:lang w:val="sv-SE"/>
              </w:rPr>
            </w:pPr>
            <w:r w:rsidRPr="00800D1B">
              <w:rPr>
                <w:color w:val="000000"/>
                <w:sz w:val="20"/>
                <w:lang w:val="sv-SE"/>
              </w:rPr>
              <w:t>Mer utvecklade regioner</w:t>
            </w:r>
          </w:p>
        </w:tc>
        <w:tc>
          <w:tcPr>
            <w:tcW w:w="0" w:type="auto"/>
          </w:tcPr>
          <w:p w14:paraId="2D065AD8" w14:textId="77777777" w:rsidR="00A77B3E" w:rsidRPr="00800D1B" w:rsidRDefault="00623E14" w:rsidP="00722CEA">
            <w:pPr>
              <w:spacing w:before="100" w:after="100"/>
              <w:ind w:left="-72"/>
              <w:rPr>
                <w:color w:val="000000"/>
                <w:sz w:val="20"/>
                <w:lang w:val="sv-SE"/>
              </w:rPr>
            </w:pPr>
            <w:r w:rsidRPr="00800D1B">
              <w:rPr>
                <w:color w:val="000000"/>
                <w:sz w:val="20"/>
                <w:lang w:val="sv-SE"/>
              </w:rPr>
              <w:t>01. Bevilja</w:t>
            </w:r>
          </w:p>
        </w:tc>
        <w:tc>
          <w:tcPr>
            <w:tcW w:w="0" w:type="auto"/>
          </w:tcPr>
          <w:p w14:paraId="2D065AD9" w14:textId="77777777" w:rsidR="00A77B3E" w:rsidRPr="00800D1B" w:rsidRDefault="00623E14" w:rsidP="00722CEA">
            <w:pPr>
              <w:spacing w:before="100" w:after="100"/>
              <w:ind w:left="-72"/>
              <w:jc w:val="right"/>
              <w:rPr>
                <w:color w:val="000000"/>
                <w:sz w:val="20"/>
                <w:lang w:val="sv-SE"/>
              </w:rPr>
            </w:pPr>
            <w:r w:rsidRPr="00800D1B">
              <w:rPr>
                <w:color w:val="000000"/>
                <w:sz w:val="20"/>
                <w:lang w:val="sv-SE"/>
              </w:rPr>
              <w:t>15 744 740,00</w:t>
            </w:r>
          </w:p>
        </w:tc>
      </w:tr>
      <w:tr w:rsidR="003422DB" w:rsidRPr="00800D1B" w14:paraId="2D065AE1" w14:textId="77777777" w:rsidTr="00722CEA">
        <w:tc>
          <w:tcPr>
            <w:tcW w:w="0" w:type="auto"/>
          </w:tcPr>
          <w:p w14:paraId="2D065ADB" w14:textId="77777777" w:rsidR="00A77B3E" w:rsidRPr="00800D1B" w:rsidRDefault="00623E14" w:rsidP="00722CEA">
            <w:pPr>
              <w:spacing w:before="100" w:after="100"/>
              <w:ind w:left="-72"/>
              <w:rPr>
                <w:color w:val="000000"/>
                <w:sz w:val="20"/>
                <w:lang w:val="sv-SE"/>
              </w:rPr>
            </w:pPr>
            <w:r w:rsidRPr="00800D1B">
              <w:rPr>
                <w:color w:val="000000"/>
                <w:sz w:val="20"/>
                <w:lang w:val="sv-SE"/>
              </w:rPr>
              <w:t>3</w:t>
            </w:r>
          </w:p>
        </w:tc>
        <w:tc>
          <w:tcPr>
            <w:tcW w:w="0" w:type="auto"/>
          </w:tcPr>
          <w:p w14:paraId="2D065ADC" w14:textId="77777777" w:rsidR="00A77B3E" w:rsidRPr="00800D1B" w:rsidRDefault="00623E14" w:rsidP="00722CEA">
            <w:pPr>
              <w:spacing w:before="100" w:after="100"/>
              <w:ind w:left="-72"/>
              <w:rPr>
                <w:color w:val="000000"/>
                <w:sz w:val="20"/>
                <w:lang w:val="sv-SE"/>
              </w:rPr>
            </w:pPr>
            <w:r w:rsidRPr="00800D1B">
              <w:rPr>
                <w:color w:val="000000"/>
                <w:sz w:val="20"/>
                <w:lang w:val="sv-SE"/>
              </w:rPr>
              <w:t>RSO1.2</w:t>
            </w:r>
          </w:p>
        </w:tc>
        <w:tc>
          <w:tcPr>
            <w:tcW w:w="0" w:type="auto"/>
          </w:tcPr>
          <w:p w14:paraId="2D065ADD" w14:textId="77777777" w:rsidR="00A77B3E" w:rsidRPr="00800D1B" w:rsidRDefault="00623E14" w:rsidP="00722CEA">
            <w:pPr>
              <w:spacing w:before="100" w:after="100"/>
              <w:ind w:left="-72"/>
              <w:rPr>
                <w:color w:val="000000"/>
                <w:sz w:val="20"/>
                <w:lang w:val="sv-SE"/>
              </w:rPr>
            </w:pPr>
            <w:r w:rsidRPr="00800D1B">
              <w:rPr>
                <w:color w:val="000000"/>
                <w:sz w:val="20"/>
                <w:lang w:val="sv-SE"/>
              </w:rPr>
              <w:t>Eruf</w:t>
            </w:r>
          </w:p>
        </w:tc>
        <w:tc>
          <w:tcPr>
            <w:tcW w:w="0" w:type="auto"/>
          </w:tcPr>
          <w:p w14:paraId="2D065ADE" w14:textId="77777777" w:rsidR="00A77B3E" w:rsidRPr="00800D1B" w:rsidRDefault="00623E14" w:rsidP="00722CEA">
            <w:pPr>
              <w:spacing w:before="100" w:after="100"/>
              <w:ind w:left="-72"/>
              <w:rPr>
                <w:color w:val="000000"/>
                <w:sz w:val="20"/>
                <w:lang w:val="sv-SE"/>
              </w:rPr>
            </w:pPr>
            <w:r w:rsidRPr="00800D1B">
              <w:rPr>
                <w:color w:val="000000"/>
                <w:sz w:val="20"/>
                <w:lang w:val="sv-SE"/>
              </w:rPr>
              <w:t>De yttersta randområdena eller de nordliga glesbefolkade områdena</w:t>
            </w:r>
          </w:p>
        </w:tc>
        <w:tc>
          <w:tcPr>
            <w:tcW w:w="0" w:type="auto"/>
          </w:tcPr>
          <w:p w14:paraId="2D065ADF" w14:textId="77777777" w:rsidR="00A77B3E" w:rsidRPr="00800D1B" w:rsidRDefault="00623E14" w:rsidP="00722CEA">
            <w:pPr>
              <w:spacing w:before="100" w:after="100"/>
              <w:ind w:left="-72"/>
              <w:rPr>
                <w:color w:val="000000"/>
                <w:sz w:val="20"/>
                <w:lang w:val="sv-SE"/>
              </w:rPr>
            </w:pPr>
            <w:r w:rsidRPr="00800D1B">
              <w:rPr>
                <w:color w:val="000000"/>
                <w:sz w:val="20"/>
                <w:lang w:val="sv-SE"/>
              </w:rPr>
              <w:t>01. Bevilja</w:t>
            </w:r>
          </w:p>
        </w:tc>
        <w:tc>
          <w:tcPr>
            <w:tcW w:w="0" w:type="auto"/>
          </w:tcPr>
          <w:p w14:paraId="2D065AE0" w14:textId="77777777" w:rsidR="00A77B3E" w:rsidRPr="00800D1B" w:rsidRDefault="00623E14" w:rsidP="00722CEA">
            <w:pPr>
              <w:spacing w:before="100" w:after="100"/>
              <w:ind w:left="-72"/>
              <w:jc w:val="right"/>
              <w:rPr>
                <w:color w:val="000000"/>
                <w:sz w:val="20"/>
                <w:lang w:val="sv-SE"/>
              </w:rPr>
            </w:pPr>
            <w:r w:rsidRPr="00800D1B">
              <w:rPr>
                <w:color w:val="000000"/>
                <w:sz w:val="20"/>
                <w:lang w:val="sv-SE"/>
              </w:rPr>
              <w:t>680 828,00</w:t>
            </w:r>
          </w:p>
        </w:tc>
      </w:tr>
      <w:tr w:rsidR="003422DB" w:rsidRPr="00800D1B" w14:paraId="2D065AE8" w14:textId="77777777" w:rsidTr="00722CEA">
        <w:tc>
          <w:tcPr>
            <w:tcW w:w="0" w:type="auto"/>
          </w:tcPr>
          <w:p w14:paraId="2D065AE2" w14:textId="77777777" w:rsidR="00A77B3E" w:rsidRPr="00800D1B" w:rsidRDefault="00623E14" w:rsidP="00722CEA">
            <w:pPr>
              <w:spacing w:before="100" w:after="100"/>
              <w:ind w:left="-72"/>
              <w:rPr>
                <w:color w:val="000000"/>
                <w:sz w:val="20"/>
                <w:lang w:val="sv-SE"/>
              </w:rPr>
            </w:pPr>
            <w:r w:rsidRPr="00800D1B">
              <w:rPr>
                <w:color w:val="000000"/>
                <w:sz w:val="20"/>
                <w:lang w:val="sv-SE"/>
              </w:rPr>
              <w:t>3</w:t>
            </w:r>
          </w:p>
        </w:tc>
        <w:tc>
          <w:tcPr>
            <w:tcW w:w="0" w:type="auto"/>
          </w:tcPr>
          <w:p w14:paraId="2D065AE3" w14:textId="77777777" w:rsidR="00A77B3E" w:rsidRPr="00800D1B" w:rsidRDefault="00623E14" w:rsidP="00722CEA">
            <w:pPr>
              <w:spacing w:before="100" w:after="100"/>
              <w:ind w:left="-72"/>
              <w:rPr>
                <w:color w:val="000000"/>
                <w:sz w:val="20"/>
                <w:lang w:val="sv-SE"/>
              </w:rPr>
            </w:pPr>
            <w:r w:rsidRPr="00800D1B">
              <w:rPr>
                <w:color w:val="000000"/>
                <w:sz w:val="20"/>
                <w:lang w:val="sv-SE"/>
              </w:rPr>
              <w:t>RSO1.2</w:t>
            </w:r>
          </w:p>
        </w:tc>
        <w:tc>
          <w:tcPr>
            <w:tcW w:w="0" w:type="auto"/>
          </w:tcPr>
          <w:p w14:paraId="2D065AE4" w14:textId="77777777" w:rsidR="00A77B3E" w:rsidRPr="00800D1B" w:rsidRDefault="00623E14" w:rsidP="00722CEA">
            <w:pPr>
              <w:spacing w:before="100" w:after="100"/>
              <w:ind w:left="-72"/>
              <w:rPr>
                <w:color w:val="000000"/>
                <w:sz w:val="20"/>
                <w:lang w:val="sv-SE"/>
              </w:rPr>
            </w:pPr>
            <w:r w:rsidRPr="00800D1B">
              <w:rPr>
                <w:color w:val="000000"/>
                <w:sz w:val="20"/>
                <w:lang w:val="sv-SE"/>
              </w:rPr>
              <w:t>Totalt</w:t>
            </w:r>
          </w:p>
        </w:tc>
        <w:tc>
          <w:tcPr>
            <w:tcW w:w="0" w:type="auto"/>
          </w:tcPr>
          <w:p w14:paraId="2D065AE5" w14:textId="77777777" w:rsidR="00A77B3E" w:rsidRPr="00800D1B" w:rsidRDefault="00A77B3E" w:rsidP="00722CEA">
            <w:pPr>
              <w:spacing w:before="100" w:after="100"/>
              <w:ind w:left="-72"/>
              <w:rPr>
                <w:color w:val="000000"/>
                <w:sz w:val="20"/>
                <w:lang w:val="sv-SE"/>
              </w:rPr>
            </w:pPr>
          </w:p>
        </w:tc>
        <w:tc>
          <w:tcPr>
            <w:tcW w:w="0" w:type="auto"/>
          </w:tcPr>
          <w:p w14:paraId="2D065AE6" w14:textId="77777777" w:rsidR="00A77B3E" w:rsidRPr="00800D1B" w:rsidRDefault="00A77B3E" w:rsidP="00722CEA">
            <w:pPr>
              <w:spacing w:before="100" w:after="100"/>
              <w:ind w:left="-72"/>
              <w:rPr>
                <w:color w:val="000000"/>
                <w:sz w:val="20"/>
                <w:lang w:val="sv-SE"/>
              </w:rPr>
            </w:pPr>
          </w:p>
        </w:tc>
        <w:tc>
          <w:tcPr>
            <w:tcW w:w="0" w:type="auto"/>
          </w:tcPr>
          <w:p w14:paraId="2D065AE7" w14:textId="77777777" w:rsidR="00A77B3E" w:rsidRPr="00800D1B" w:rsidRDefault="00623E14" w:rsidP="00722CEA">
            <w:pPr>
              <w:spacing w:before="100" w:after="100"/>
              <w:ind w:left="-72"/>
              <w:jc w:val="right"/>
              <w:rPr>
                <w:color w:val="000000"/>
                <w:sz w:val="20"/>
                <w:lang w:val="sv-SE"/>
              </w:rPr>
            </w:pPr>
            <w:r w:rsidRPr="00800D1B">
              <w:rPr>
                <w:color w:val="000000"/>
                <w:sz w:val="20"/>
                <w:lang w:val="sv-SE"/>
              </w:rPr>
              <w:t>16 425 568,00</w:t>
            </w:r>
          </w:p>
        </w:tc>
      </w:tr>
    </w:tbl>
    <w:p w14:paraId="2D065AEA" w14:textId="5ADDAE2A" w:rsidR="00A77B3E" w:rsidRPr="00800D1B" w:rsidRDefault="00623E14" w:rsidP="00431BFA">
      <w:pPr>
        <w:spacing w:before="360" w:after="100"/>
        <w:rPr>
          <w:lang w:val="sv-SE"/>
        </w:rPr>
      </w:pPr>
      <w:bookmarkStart w:id="55" w:name="_Toc256000296"/>
      <w:r w:rsidRPr="00800D1B">
        <w:rPr>
          <w:lang w:val="sv-SE"/>
        </w:rPr>
        <w:t>Tabell 6: Dimension 3 – territoriell genomförandemetod och territoriellt fokus</w:t>
      </w:r>
      <w:bookmarkEnd w:id="55"/>
    </w:p>
    <w:p w14:paraId="2D065AEB" w14:textId="77777777" w:rsidR="00A77B3E" w:rsidRPr="00800D1B" w:rsidRDefault="00A77B3E">
      <w:pPr>
        <w:spacing w:before="100"/>
        <w:rPr>
          <w:color w:val="000000"/>
          <w:sz w:val="0"/>
          <w:lang w:val="sv-SE"/>
        </w:rPr>
      </w:pPr>
    </w:p>
    <w:tbl>
      <w:tblPr>
        <w:tblStyle w:val="Tabellrutnt"/>
        <w:tblW w:w="5000" w:type="pct"/>
        <w:tblLook w:val="04A0" w:firstRow="1" w:lastRow="0" w:firstColumn="1" w:lastColumn="0" w:noHBand="0" w:noVBand="1"/>
        <w:tblDescription w:val="En tabell med sex kolumner: Prioritering; Specifikt mål; Fond; Regionkategori; Kod; Belopp (euro). Tabellen visar information om territoriell genomförandemetod och territoriellt fokus."/>
      </w:tblPr>
      <w:tblGrid>
        <w:gridCol w:w="1199"/>
        <w:gridCol w:w="1353"/>
        <w:gridCol w:w="742"/>
        <w:gridCol w:w="5827"/>
        <w:gridCol w:w="4618"/>
        <w:gridCol w:w="1433"/>
      </w:tblGrid>
      <w:tr w:rsidR="003422DB" w:rsidRPr="00800D1B" w14:paraId="2D065AF2" w14:textId="77777777" w:rsidTr="00722CEA">
        <w:tc>
          <w:tcPr>
            <w:tcW w:w="0" w:type="auto"/>
          </w:tcPr>
          <w:p w14:paraId="2D065AEC" w14:textId="77777777" w:rsidR="00A77B3E" w:rsidRPr="00800D1B" w:rsidRDefault="00623E14" w:rsidP="00722CEA">
            <w:pPr>
              <w:spacing w:before="100" w:after="100"/>
              <w:ind w:left="-72"/>
              <w:jc w:val="center"/>
              <w:rPr>
                <w:color w:val="000000"/>
                <w:sz w:val="20"/>
                <w:lang w:val="sv-SE"/>
              </w:rPr>
            </w:pPr>
            <w:r w:rsidRPr="00800D1B">
              <w:rPr>
                <w:color w:val="000000"/>
                <w:sz w:val="20"/>
                <w:lang w:val="sv-SE"/>
              </w:rPr>
              <w:t>Prioritering</w:t>
            </w:r>
          </w:p>
        </w:tc>
        <w:tc>
          <w:tcPr>
            <w:tcW w:w="0" w:type="auto"/>
          </w:tcPr>
          <w:p w14:paraId="2D065AED" w14:textId="77777777" w:rsidR="00A77B3E" w:rsidRPr="00800D1B" w:rsidRDefault="00623E14" w:rsidP="00722CEA">
            <w:pPr>
              <w:spacing w:before="100" w:after="100"/>
              <w:ind w:left="-72"/>
              <w:jc w:val="center"/>
              <w:rPr>
                <w:color w:val="000000"/>
                <w:sz w:val="20"/>
                <w:lang w:val="sv-SE"/>
              </w:rPr>
            </w:pPr>
            <w:r w:rsidRPr="00800D1B">
              <w:rPr>
                <w:color w:val="000000"/>
                <w:sz w:val="20"/>
                <w:lang w:val="sv-SE"/>
              </w:rPr>
              <w:t>Specifikt mål</w:t>
            </w:r>
          </w:p>
        </w:tc>
        <w:tc>
          <w:tcPr>
            <w:tcW w:w="0" w:type="auto"/>
          </w:tcPr>
          <w:p w14:paraId="2D065AEE" w14:textId="77777777" w:rsidR="00A77B3E" w:rsidRPr="00800D1B" w:rsidRDefault="00623E14" w:rsidP="00722CEA">
            <w:pPr>
              <w:spacing w:before="100" w:after="100"/>
              <w:ind w:left="-72"/>
              <w:jc w:val="center"/>
              <w:rPr>
                <w:color w:val="000000"/>
                <w:sz w:val="20"/>
                <w:lang w:val="sv-SE"/>
              </w:rPr>
            </w:pPr>
            <w:r w:rsidRPr="00800D1B">
              <w:rPr>
                <w:color w:val="000000"/>
                <w:sz w:val="20"/>
                <w:lang w:val="sv-SE"/>
              </w:rPr>
              <w:t>Fond</w:t>
            </w:r>
          </w:p>
        </w:tc>
        <w:tc>
          <w:tcPr>
            <w:tcW w:w="0" w:type="auto"/>
          </w:tcPr>
          <w:p w14:paraId="2D065AEF" w14:textId="77777777" w:rsidR="00A77B3E" w:rsidRPr="00800D1B" w:rsidRDefault="00623E14" w:rsidP="00722CEA">
            <w:pPr>
              <w:spacing w:before="100" w:after="100"/>
              <w:ind w:left="-72"/>
              <w:jc w:val="center"/>
              <w:rPr>
                <w:color w:val="000000"/>
                <w:sz w:val="20"/>
                <w:lang w:val="sv-SE"/>
              </w:rPr>
            </w:pPr>
            <w:r w:rsidRPr="00800D1B">
              <w:rPr>
                <w:color w:val="000000"/>
                <w:sz w:val="20"/>
                <w:lang w:val="sv-SE"/>
              </w:rPr>
              <w:t>Regionkategori</w:t>
            </w:r>
          </w:p>
        </w:tc>
        <w:tc>
          <w:tcPr>
            <w:tcW w:w="0" w:type="auto"/>
          </w:tcPr>
          <w:p w14:paraId="2D065AF0" w14:textId="77777777" w:rsidR="00A77B3E" w:rsidRPr="00800D1B" w:rsidRDefault="00623E14" w:rsidP="00722CEA">
            <w:pPr>
              <w:spacing w:before="100" w:after="100"/>
              <w:ind w:left="-72"/>
              <w:jc w:val="center"/>
              <w:rPr>
                <w:color w:val="000000"/>
                <w:sz w:val="20"/>
                <w:lang w:val="sv-SE"/>
              </w:rPr>
            </w:pPr>
            <w:r w:rsidRPr="00800D1B">
              <w:rPr>
                <w:color w:val="000000"/>
                <w:sz w:val="20"/>
                <w:lang w:val="sv-SE"/>
              </w:rPr>
              <w:t>Kod</w:t>
            </w:r>
          </w:p>
        </w:tc>
        <w:tc>
          <w:tcPr>
            <w:tcW w:w="0" w:type="auto"/>
          </w:tcPr>
          <w:p w14:paraId="2D065AF1" w14:textId="77777777" w:rsidR="00A77B3E" w:rsidRPr="00800D1B" w:rsidRDefault="00623E14" w:rsidP="00722CEA">
            <w:pPr>
              <w:spacing w:before="100" w:after="100"/>
              <w:ind w:left="-72"/>
              <w:jc w:val="center"/>
              <w:rPr>
                <w:color w:val="000000"/>
                <w:sz w:val="20"/>
                <w:lang w:val="sv-SE"/>
              </w:rPr>
            </w:pPr>
            <w:r w:rsidRPr="00800D1B">
              <w:rPr>
                <w:color w:val="000000"/>
                <w:sz w:val="20"/>
                <w:lang w:val="sv-SE"/>
              </w:rPr>
              <w:t>Belopp (euro)</w:t>
            </w:r>
          </w:p>
        </w:tc>
      </w:tr>
      <w:tr w:rsidR="003422DB" w:rsidRPr="00800D1B" w14:paraId="2D065AF9" w14:textId="77777777" w:rsidTr="00722CEA">
        <w:tc>
          <w:tcPr>
            <w:tcW w:w="0" w:type="auto"/>
          </w:tcPr>
          <w:p w14:paraId="2D065AF3" w14:textId="77777777" w:rsidR="00A77B3E" w:rsidRPr="00800D1B" w:rsidRDefault="00623E14" w:rsidP="00722CEA">
            <w:pPr>
              <w:spacing w:before="100" w:after="100"/>
              <w:ind w:left="-72"/>
              <w:rPr>
                <w:color w:val="000000"/>
                <w:sz w:val="20"/>
                <w:lang w:val="sv-SE"/>
              </w:rPr>
            </w:pPr>
            <w:r w:rsidRPr="00800D1B">
              <w:rPr>
                <w:color w:val="000000"/>
                <w:sz w:val="20"/>
                <w:lang w:val="sv-SE"/>
              </w:rPr>
              <w:t>3</w:t>
            </w:r>
          </w:p>
        </w:tc>
        <w:tc>
          <w:tcPr>
            <w:tcW w:w="0" w:type="auto"/>
          </w:tcPr>
          <w:p w14:paraId="2D065AF4" w14:textId="77777777" w:rsidR="00A77B3E" w:rsidRPr="00800D1B" w:rsidRDefault="00623E14" w:rsidP="00722CEA">
            <w:pPr>
              <w:spacing w:before="100" w:after="100"/>
              <w:ind w:left="-72"/>
              <w:rPr>
                <w:color w:val="000000"/>
                <w:sz w:val="20"/>
                <w:lang w:val="sv-SE"/>
              </w:rPr>
            </w:pPr>
            <w:r w:rsidRPr="00800D1B">
              <w:rPr>
                <w:color w:val="000000"/>
                <w:sz w:val="20"/>
                <w:lang w:val="sv-SE"/>
              </w:rPr>
              <w:t>RSO1.2</w:t>
            </w:r>
          </w:p>
        </w:tc>
        <w:tc>
          <w:tcPr>
            <w:tcW w:w="0" w:type="auto"/>
          </w:tcPr>
          <w:p w14:paraId="2D065AF5" w14:textId="77777777" w:rsidR="00A77B3E" w:rsidRPr="00800D1B" w:rsidRDefault="00623E14" w:rsidP="00722CEA">
            <w:pPr>
              <w:spacing w:before="100" w:after="100"/>
              <w:ind w:left="-72"/>
              <w:rPr>
                <w:color w:val="000000"/>
                <w:sz w:val="20"/>
                <w:lang w:val="sv-SE"/>
              </w:rPr>
            </w:pPr>
            <w:r w:rsidRPr="00800D1B">
              <w:rPr>
                <w:color w:val="000000"/>
                <w:sz w:val="20"/>
                <w:lang w:val="sv-SE"/>
              </w:rPr>
              <w:t>Eruf</w:t>
            </w:r>
          </w:p>
        </w:tc>
        <w:tc>
          <w:tcPr>
            <w:tcW w:w="0" w:type="auto"/>
          </w:tcPr>
          <w:p w14:paraId="2D065AF6" w14:textId="77777777" w:rsidR="00A77B3E" w:rsidRPr="00800D1B" w:rsidRDefault="00623E14" w:rsidP="00722CEA">
            <w:pPr>
              <w:spacing w:before="100" w:after="100"/>
              <w:ind w:left="-72"/>
              <w:rPr>
                <w:color w:val="000000"/>
                <w:sz w:val="20"/>
                <w:lang w:val="sv-SE"/>
              </w:rPr>
            </w:pPr>
            <w:r w:rsidRPr="00800D1B">
              <w:rPr>
                <w:color w:val="000000"/>
                <w:sz w:val="20"/>
                <w:lang w:val="sv-SE"/>
              </w:rPr>
              <w:t>Mer utvecklade regioner</w:t>
            </w:r>
          </w:p>
        </w:tc>
        <w:tc>
          <w:tcPr>
            <w:tcW w:w="0" w:type="auto"/>
          </w:tcPr>
          <w:p w14:paraId="2D065AF7" w14:textId="77777777" w:rsidR="00A77B3E" w:rsidRPr="00800D1B" w:rsidRDefault="00623E14" w:rsidP="00722CEA">
            <w:pPr>
              <w:spacing w:before="100" w:after="100"/>
              <w:ind w:left="-72"/>
              <w:rPr>
                <w:color w:val="000000"/>
                <w:sz w:val="20"/>
                <w:lang w:val="sv-SE"/>
              </w:rPr>
            </w:pPr>
            <w:r w:rsidRPr="00800D1B">
              <w:rPr>
                <w:color w:val="000000"/>
                <w:sz w:val="20"/>
                <w:lang w:val="sv-SE"/>
              </w:rPr>
              <w:t>33. Andra strategier – Ingen territoriell målinriktning</w:t>
            </w:r>
          </w:p>
        </w:tc>
        <w:tc>
          <w:tcPr>
            <w:tcW w:w="0" w:type="auto"/>
          </w:tcPr>
          <w:p w14:paraId="2D065AF8" w14:textId="77777777" w:rsidR="00A77B3E" w:rsidRPr="00800D1B" w:rsidRDefault="00623E14" w:rsidP="00722CEA">
            <w:pPr>
              <w:spacing w:before="100" w:after="100"/>
              <w:ind w:left="-72"/>
              <w:jc w:val="right"/>
              <w:rPr>
                <w:color w:val="000000"/>
                <w:sz w:val="20"/>
                <w:lang w:val="sv-SE"/>
              </w:rPr>
            </w:pPr>
            <w:r w:rsidRPr="00800D1B">
              <w:rPr>
                <w:color w:val="000000"/>
                <w:sz w:val="20"/>
                <w:lang w:val="sv-SE"/>
              </w:rPr>
              <w:t>15 744 740,00</w:t>
            </w:r>
          </w:p>
        </w:tc>
      </w:tr>
      <w:tr w:rsidR="003422DB" w:rsidRPr="00800D1B" w14:paraId="2D065B00" w14:textId="77777777" w:rsidTr="00722CEA">
        <w:tc>
          <w:tcPr>
            <w:tcW w:w="0" w:type="auto"/>
          </w:tcPr>
          <w:p w14:paraId="2D065AFA" w14:textId="77777777" w:rsidR="00A77B3E" w:rsidRPr="00800D1B" w:rsidRDefault="00623E14" w:rsidP="00722CEA">
            <w:pPr>
              <w:spacing w:before="100" w:after="100"/>
              <w:ind w:left="-72"/>
              <w:rPr>
                <w:color w:val="000000"/>
                <w:sz w:val="20"/>
                <w:lang w:val="sv-SE"/>
              </w:rPr>
            </w:pPr>
            <w:r w:rsidRPr="00800D1B">
              <w:rPr>
                <w:color w:val="000000"/>
                <w:sz w:val="20"/>
                <w:lang w:val="sv-SE"/>
              </w:rPr>
              <w:t>3</w:t>
            </w:r>
          </w:p>
        </w:tc>
        <w:tc>
          <w:tcPr>
            <w:tcW w:w="0" w:type="auto"/>
          </w:tcPr>
          <w:p w14:paraId="2D065AFB" w14:textId="77777777" w:rsidR="00A77B3E" w:rsidRPr="00800D1B" w:rsidRDefault="00623E14" w:rsidP="00722CEA">
            <w:pPr>
              <w:spacing w:before="100" w:after="100"/>
              <w:ind w:left="-72"/>
              <w:rPr>
                <w:color w:val="000000"/>
                <w:sz w:val="20"/>
                <w:lang w:val="sv-SE"/>
              </w:rPr>
            </w:pPr>
            <w:r w:rsidRPr="00800D1B">
              <w:rPr>
                <w:color w:val="000000"/>
                <w:sz w:val="20"/>
                <w:lang w:val="sv-SE"/>
              </w:rPr>
              <w:t>RSO1.2</w:t>
            </w:r>
          </w:p>
        </w:tc>
        <w:tc>
          <w:tcPr>
            <w:tcW w:w="0" w:type="auto"/>
          </w:tcPr>
          <w:p w14:paraId="2D065AFC" w14:textId="77777777" w:rsidR="00A77B3E" w:rsidRPr="00800D1B" w:rsidRDefault="00623E14" w:rsidP="00722CEA">
            <w:pPr>
              <w:spacing w:before="100" w:after="100"/>
              <w:ind w:left="-72"/>
              <w:rPr>
                <w:color w:val="000000"/>
                <w:sz w:val="20"/>
                <w:lang w:val="sv-SE"/>
              </w:rPr>
            </w:pPr>
            <w:r w:rsidRPr="00800D1B">
              <w:rPr>
                <w:color w:val="000000"/>
                <w:sz w:val="20"/>
                <w:lang w:val="sv-SE"/>
              </w:rPr>
              <w:t>Eruf</w:t>
            </w:r>
          </w:p>
        </w:tc>
        <w:tc>
          <w:tcPr>
            <w:tcW w:w="0" w:type="auto"/>
          </w:tcPr>
          <w:p w14:paraId="2D065AFD" w14:textId="77777777" w:rsidR="00A77B3E" w:rsidRPr="00800D1B" w:rsidRDefault="00623E14" w:rsidP="00722CEA">
            <w:pPr>
              <w:spacing w:before="100" w:after="100"/>
              <w:ind w:left="-72"/>
              <w:rPr>
                <w:color w:val="000000"/>
                <w:sz w:val="20"/>
                <w:lang w:val="sv-SE"/>
              </w:rPr>
            </w:pPr>
            <w:r w:rsidRPr="00800D1B">
              <w:rPr>
                <w:color w:val="000000"/>
                <w:sz w:val="20"/>
                <w:lang w:val="sv-SE"/>
              </w:rPr>
              <w:t>De yttersta randområdena eller de nordliga glesbefolkade områdena</w:t>
            </w:r>
          </w:p>
        </w:tc>
        <w:tc>
          <w:tcPr>
            <w:tcW w:w="0" w:type="auto"/>
          </w:tcPr>
          <w:p w14:paraId="2D065AFE" w14:textId="77777777" w:rsidR="00A77B3E" w:rsidRPr="00800D1B" w:rsidRDefault="00623E14" w:rsidP="00722CEA">
            <w:pPr>
              <w:spacing w:before="100" w:after="100"/>
              <w:ind w:left="-72"/>
              <w:rPr>
                <w:color w:val="000000"/>
                <w:sz w:val="20"/>
                <w:lang w:val="sv-SE"/>
              </w:rPr>
            </w:pPr>
            <w:r w:rsidRPr="00800D1B">
              <w:rPr>
                <w:color w:val="000000"/>
                <w:sz w:val="20"/>
                <w:lang w:val="sv-SE"/>
              </w:rPr>
              <w:t>31. Andra strategier – Glest befolkade områden</w:t>
            </w:r>
          </w:p>
        </w:tc>
        <w:tc>
          <w:tcPr>
            <w:tcW w:w="0" w:type="auto"/>
          </w:tcPr>
          <w:p w14:paraId="2D065AFF" w14:textId="77777777" w:rsidR="00A77B3E" w:rsidRPr="00800D1B" w:rsidRDefault="00623E14" w:rsidP="00722CEA">
            <w:pPr>
              <w:spacing w:before="100" w:after="100"/>
              <w:ind w:left="-72"/>
              <w:jc w:val="right"/>
              <w:rPr>
                <w:color w:val="000000"/>
                <w:sz w:val="20"/>
                <w:lang w:val="sv-SE"/>
              </w:rPr>
            </w:pPr>
            <w:r w:rsidRPr="00800D1B">
              <w:rPr>
                <w:color w:val="000000"/>
                <w:sz w:val="20"/>
                <w:lang w:val="sv-SE"/>
              </w:rPr>
              <w:t>680 828,00</w:t>
            </w:r>
          </w:p>
        </w:tc>
      </w:tr>
      <w:tr w:rsidR="003422DB" w:rsidRPr="00800D1B" w14:paraId="2D065B07" w14:textId="77777777" w:rsidTr="00722CEA">
        <w:tc>
          <w:tcPr>
            <w:tcW w:w="0" w:type="auto"/>
          </w:tcPr>
          <w:p w14:paraId="2D065B01" w14:textId="77777777" w:rsidR="00A77B3E" w:rsidRPr="00800D1B" w:rsidRDefault="00623E14" w:rsidP="00722CEA">
            <w:pPr>
              <w:spacing w:before="100" w:after="100"/>
              <w:ind w:left="-72"/>
              <w:rPr>
                <w:color w:val="000000"/>
                <w:sz w:val="20"/>
                <w:lang w:val="sv-SE"/>
              </w:rPr>
            </w:pPr>
            <w:r w:rsidRPr="00800D1B">
              <w:rPr>
                <w:color w:val="000000"/>
                <w:sz w:val="20"/>
                <w:lang w:val="sv-SE"/>
              </w:rPr>
              <w:t>3</w:t>
            </w:r>
          </w:p>
        </w:tc>
        <w:tc>
          <w:tcPr>
            <w:tcW w:w="0" w:type="auto"/>
          </w:tcPr>
          <w:p w14:paraId="2D065B02" w14:textId="77777777" w:rsidR="00A77B3E" w:rsidRPr="00800D1B" w:rsidRDefault="00623E14" w:rsidP="00722CEA">
            <w:pPr>
              <w:spacing w:before="100" w:after="100"/>
              <w:ind w:left="-72"/>
              <w:rPr>
                <w:color w:val="000000"/>
                <w:sz w:val="20"/>
                <w:lang w:val="sv-SE"/>
              </w:rPr>
            </w:pPr>
            <w:r w:rsidRPr="00800D1B">
              <w:rPr>
                <w:color w:val="000000"/>
                <w:sz w:val="20"/>
                <w:lang w:val="sv-SE"/>
              </w:rPr>
              <w:t>RSO1.2</w:t>
            </w:r>
          </w:p>
        </w:tc>
        <w:tc>
          <w:tcPr>
            <w:tcW w:w="0" w:type="auto"/>
          </w:tcPr>
          <w:p w14:paraId="2D065B03" w14:textId="77777777" w:rsidR="00A77B3E" w:rsidRPr="00800D1B" w:rsidRDefault="00623E14" w:rsidP="00722CEA">
            <w:pPr>
              <w:spacing w:before="100" w:after="100"/>
              <w:ind w:left="-72"/>
              <w:rPr>
                <w:color w:val="000000"/>
                <w:sz w:val="20"/>
                <w:lang w:val="sv-SE"/>
              </w:rPr>
            </w:pPr>
            <w:r w:rsidRPr="00800D1B">
              <w:rPr>
                <w:color w:val="000000"/>
                <w:sz w:val="20"/>
                <w:lang w:val="sv-SE"/>
              </w:rPr>
              <w:t>Totalt</w:t>
            </w:r>
          </w:p>
        </w:tc>
        <w:tc>
          <w:tcPr>
            <w:tcW w:w="0" w:type="auto"/>
          </w:tcPr>
          <w:p w14:paraId="2D065B04" w14:textId="77777777" w:rsidR="00A77B3E" w:rsidRPr="00800D1B" w:rsidRDefault="00A77B3E" w:rsidP="00722CEA">
            <w:pPr>
              <w:spacing w:before="100" w:after="100"/>
              <w:ind w:left="-72"/>
              <w:rPr>
                <w:color w:val="000000"/>
                <w:sz w:val="20"/>
                <w:lang w:val="sv-SE"/>
              </w:rPr>
            </w:pPr>
          </w:p>
        </w:tc>
        <w:tc>
          <w:tcPr>
            <w:tcW w:w="0" w:type="auto"/>
          </w:tcPr>
          <w:p w14:paraId="2D065B05" w14:textId="77777777" w:rsidR="00A77B3E" w:rsidRPr="00800D1B" w:rsidRDefault="00A77B3E" w:rsidP="00722CEA">
            <w:pPr>
              <w:spacing w:before="100" w:after="100"/>
              <w:ind w:left="-72"/>
              <w:rPr>
                <w:color w:val="000000"/>
                <w:sz w:val="20"/>
                <w:lang w:val="sv-SE"/>
              </w:rPr>
            </w:pPr>
          </w:p>
        </w:tc>
        <w:tc>
          <w:tcPr>
            <w:tcW w:w="0" w:type="auto"/>
          </w:tcPr>
          <w:p w14:paraId="2D065B06" w14:textId="77777777" w:rsidR="00A77B3E" w:rsidRPr="00800D1B" w:rsidRDefault="00623E14" w:rsidP="00722CEA">
            <w:pPr>
              <w:spacing w:before="100" w:after="100"/>
              <w:ind w:left="-72"/>
              <w:jc w:val="right"/>
              <w:rPr>
                <w:color w:val="000000"/>
                <w:sz w:val="20"/>
                <w:lang w:val="sv-SE"/>
              </w:rPr>
            </w:pPr>
            <w:r w:rsidRPr="00800D1B">
              <w:rPr>
                <w:color w:val="000000"/>
                <w:sz w:val="20"/>
                <w:lang w:val="sv-SE"/>
              </w:rPr>
              <w:t>16 425 568,00</w:t>
            </w:r>
          </w:p>
        </w:tc>
      </w:tr>
    </w:tbl>
    <w:p w14:paraId="2D065B09" w14:textId="6010B640" w:rsidR="00A77B3E" w:rsidRPr="00800D1B" w:rsidRDefault="00623E14" w:rsidP="00431BFA">
      <w:pPr>
        <w:spacing w:before="360" w:after="100"/>
        <w:rPr>
          <w:lang w:val="sv-SE"/>
        </w:rPr>
      </w:pPr>
      <w:bookmarkStart w:id="56" w:name="_Toc256000297"/>
      <w:r w:rsidRPr="00800D1B">
        <w:rPr>
          <w:lang w:val="sv-SE"/>
        </w:rPr>
        <w:t>Tabell 7: Dimension 6 – ESF+-sekundärteman</w:t>
      </w:r>
      <w:bookmarkEnd w:id="56"/>
    </w:p>
    <w:p w14:paraId="2D065B0A" w14:textId="77777777" w:rsidR="00A77B3E" w:rsidRPr="00800D1B" w:rsidRDefault="00A77B3E">
      <w:pPr>
        <w:spacing w:before="100"/>
        <w:rPr>
          <w:color w:val="000000"/>
          <w:sz w:val="0"/>
          <w:lang w:val="sv-SE"/>
        </w:rPr>
      </w:pPr>
    </w:p>
    <w:tbl>
      <w:tblPr>
        <w:tblStyle w:val="Tabellrutnt"/>
        <w:tblW w:w="5000" w:type="pct"/>
        <w:tblLook w:val="04A0" w:firstRow="1" w:lastRow="0" w:firstColumn="1" w:lastColumn="0" w:noHBand="0" w:noVBand="1"/>
        <w:tblDescription w:val="En tabell med sex kolumner: Prioritering; Specifikt mål; Fond; Regionkategori; Kod; Belopp (euro). Tabellen visar information om ESF+-sekundärteman."/>
      </w:tblPr>
      <w:tblGrid>
        <w:gridCol w:w="2696"/>
        <w:gridCol w:w="3040"/>
        <w:gridCol w:w="1516"/>
        <w:gridCol w:w="3415"/>
        <w:gridCol w:w="1361"/>
        <w:gridCol w:w="3144"/>
      </w:tblGrid>
      <w:tr w:rsidR="003422DB" w:rsidRPr="00800D1B" w14:paraId="2D065B11" w14:textId="77777777" w:rsidTr="00722CEA">
        <w:tc>
          <w:tcPr>
            <w:tcW w:w="0" w:type="auto"/>
          </w:tcPr>
          <w:p w14:paraId="2D065B0B" w14:textId="77777777" w:rsidR="00A77B3E" w:rsidRPr="00800D1B" w:rsidRDefault="00623E14" w:rsidP="00722CEA">
            <w:pPr>
              <w:spacing w:before="100" w:after="100"/>
              <w:ind w:left="-72"/>
              <w:jc w:val="center"/>
              <w:rPr>
                <w:color w:val="000000"/>
                <w:sz w:val="20"/>
                <w:lang w:val="sv-SE"/>
              </w:rPr>
            </w:pPr>
            <w:r w:rsidRPr="00800D1B">
              <w:rPr>
                <w:color w:val="000000"/>
                <w:sz w:val="20"/>
                <w:lang w:val="sv-SE"/>
              </w:rPr>
              <w:t>Prioritering</w:t>
            </w:r>
          </w:p>
        </w:tc>
        <w:tc>
          <w:tcPr>
            <w:tcW w:w="0" w:type="auto"/>
          </w:tcPr>
          <w:p w14:paraId="2D065B0C" w14:textId="77777777" w:rsidR="00A77B3E" w:rsidRPr="00800D1B" w:rsidRDefault="00623E14" w:rsidP="00722CEA">
            <w:pPr>
              <w:spacing w:before="100" w:after="100"/>
              <w:ind w:left="-72"/>
              <w:jc w:val="center"/>
              <w:rPr>
                <w:color w:val="000000"/>
                <w:sz w:val="20"/>
                <w:lang w:val="sv-SE"/>
              </w:rPr>
            </w:pPr>
            <w:r w:rsidRPr="00800D1B">
              <w:rPr>
                <w:color w:val="000000"/>
                <w:sz w:val="20"/>
                <w:lang w:val="sv-SE"/>
              </w:rPr>
              <w:t>Specifikt mål</w:t>
            </w:r>
          </w:p>
        </w:tc>
        <w:tc>
          <w:tcPr>
            <w:tcW w:w="0" w:type="auto"/>
          </w:tcPr>
          <w:p w14:paraId="2D065B0D" w14:textId="77777777" w:rsidR="00A77B3E" w:rsidRPr="00800D1B" w:rsidRDefault="00623E14" w:rsidP="00722CEA">
            <w:pPr>
              <w:spacing w:before="100" w:after="100"/>
              <w:ind w:left="-72"/>
              <w:jc w:val="center"/>
              <w:rPr>
                <w:color w:val="000000"/>
                <w:sz w:val="20"/>
                <w:lang w:val="sv-SE"/>
              </w:rPr>
            </w:pPr>
            <w:r w:rsidRPr="00800D1B">
              <w:rPr>
                <w:color w:val="000000"/>
                <w:sz w:val="20"/>
                <w:lang w:val="sv-SE"/>
              </w:rPr>
              <w:t>Fond</w:t>
            </w:r>
          </w:p>
        </w:tc>
        <w:tc>
          <w:tcPr>
            <w:tcW w:w="0" w:type="auto"/>
          </w:tcPr>
          <w:p w14:paraId="2D065B0E" w14:textId="77777777" w:rsidR="00A77B3E" w:rsidRPr="00800D1B" w:rsidRDefault="00623E14" w:rsidP="00722CEA">
            <w:pPr>
              <w:spacing w:before="100" w:after="100"/>
              <w:ind w:left="-72"/>
              <w:jc w:val="center"/>
              <w:rPr>
                <w:color w:val="000000"/>
                <w:sz w:val="20"/>
                <w:lang w:val="sv-SE"/>
              </w:rPr>
            </w:pPr>
            <w:r w:rsidRPr="00800D1B">
              <w:rPr>
                <w:color w:val="000000"/>
                <w:sz w:val="20"/>
                <w:lang w:val="sv-SE"/>
              </w:rPr>
              <w:t>Regionkategori</w:t>
            </w:r>
          </w:p>
        </w:tc>
        <w:tc>
          <w:tcPr>
            <w:tcW w:w="0" w:type="auto"/>
          </w:tcPr>
          <w:p w14:paraId="2D065B0F" w14:textId="77777777" w:rsidR="00A77B3E" w:rsidRPr="00800D1B" w:rsidRDefault="00623E14" w:rsidP="00722CEA">
            <w:pPr>
              <w:spacing w:before="100" w:after="100"/>
              <w:ind w:left="-72"/>
              <w:jc w:val="center"/>
              <w:rPr>
                <w:color w:val="000000"/>
                <w:sz w:val="20"/>
                <w:lang w:val="sv-SE"/>
              </w:rPr>
            </w:pPr>
            <w:r w:rsidRPr="00800D1B">
              <w:rPr>
                <w:color w:val="000000"/>
                <w:sz w:val="20"/>
                <w:lang w:val="sv-SE"/>
              </w:rPr>
              <w:t>Kod</w:t>
            </w:r>
          </w:p>
        </w:tc>
        <w:tc>
          <w:tcPr>
            <w:tcW w:w="0" w:type="auto"/>
          </w:tcPr>
          <w:p w14:paraId="2D065B10" w14:textId="77777777" w:rsidR="00A77B3E" w:rsidRPr="00800D1B" w:rsidRDefault="00623E14" w:rsidP="00722CEA">
            <w:pPr>
              <w:spacing w:before="100" w:after="100"/>
              <w:ind w:left="-72"/>
              <w:jc w:val="center"/>
              <w:rPr>
                <w:color w:val="000000"/>
                <w:sz w:val="20"/>
                <w:lang w:val="sv-SE"/>
              </w:rPr>
            </w:pPr>
            <w:r w:rsidRPr="00800D1B">
              <w:rPr>
                <w:color w:val="000000"/>
                <w:sz w:val="20"/>
                <w:lang w:val="sv-SE"/>
              </w:rPr>
              <w:t>Belopp (euro)</w:t>
            </w:r>
          </w:p>
        </w:tc>
      </w:tr>
    </w:tbl>
    <w:p w14:paraId="2D065B13" w14:textId="04FD8B48" w:rsidR="00A77B3E" w:rsidRPr="00800D1B" w:rsidRDefault="00623E14" w:rsidP="00552F60">
      <w:pPr>
        <w:spacing w:before="360" w:after="100"/>
        <w:rPr>
          <w:lang w:val="sv-SE"/>
        </w:rPr>
      </w:pPr>
      <w:bookmarkStart w:id="57" w:name="_Toc256000298"/>
      <w:r w:rsidRPr="00800D1B">
        <w:rPr>
          <w:lang w:val="sv-SE"/>
        </w:rPr>
        <w:t>Tabell 8: Dimension 7 – ESF+, Eruf, Sammanhållningsfonden och FRO, jämställdhetsdimensionen</w:t>
      </w:r>
      <w:bookmarkEnd w:id="57"/>
    </w:p>
    <w:p w14:paraId="2D065B14" w14:textId="77777777" w:rsidR="00A77B3E" w:rsidRPr="00800D1B" w:rsidRDefault="00A77B3E">
      <w:pPr>
        <w:spacing w:before="100"/>
        <w:rPr>
          <w:color w:val="000000"/>
          <w:sz w:val="0"/>
          <w:lang w:val="sv-SE"/>
        </w:rPr>
      </w:pPr>
    </w:p>
    <w:tbl>
      <w:tblPr>
        <w:tblStyle w:val="Tabellrutnt"/>
        <w:tblW w:w="5000" w:type="pct"/>
        <w:tblLook w:val="04A0" w:firstRow="1" w:lastRow="0" w:firstColumn="1" w:lastColumn="0" w:noHBand="0" w:noVBand="1"/>
        <w:tblDescription w:val="En tabell med sex kolumner: Prioritering; Specifikt mål; Fond; Regionkategori; Kod; Belopp (euro). Tabellen visar information om ESF+, Eruf, Sammanhållningsfonden och FRO, jämställdhetsdimensionen."/>
      </w:tblPr>
      <w:tblGrid>
        <w:gridCol w:w="1387"/>
        <w:gridCol w:w="1564"/>
        <w:gridCol w:w="858"/>
        <w:gridCol w:w="6737"/>
        <w:gridCol w:w="2970"/>
        <w:gridCol w:w="1656"/>
      </w:tblGrid>
      <w:tr w:rsidR="003422DB" w:rsidRPr="00800D1B" w14:paraId="2D065B1B" w14:textId="77777777" w:rsidTr="00E04517">
        <w:tc>
          <w:tcPr>
            <w:tcW w:w="0" w:type="auto"/>
          </w:tcPr>
          <w:p w14:paraId="2D065B15" w14:textId="77777777" w:rsidR="00A77B3E" w:rsidRPr="00800D1B" w:rsidRDefault="00623E14" w:rsidP="00E04517">
            <w:pPr>
              <w:spacing w:before="100" w:after="100"/>
              <w:ind w:left="-72"/>
              <w:jc w:val="center"/>
              <w:rPr>
                <w:color w:val="000000"/>
                <w:sz w:val="20"/>
                <w:lang w:val="sv-SE"/>
              </w:rPr>
            </w:pPr>
            <w:r w:rsidRPr="00800D1B">
              <w:rPr>
                <w:color w:val="000000"/>
                <w:sz w:val="20"/>
                <w:lang w:val="sv-SE"/>
              </w:rPr>
              <w:t>Prioritering</w:t>
            </w:r>
          </w:p>
        </w:tc>
        <w:tc>
          <w:tcPr>
            <w:tcW w:w="0" w:type="auto"/>
          </w:tcPr>
          <w:p w14:paraId="2D065B16" w14:textId="77777777" w:rsidR="00A77B3E" w:rsidRPr="00800D1B" w:rsidRDefault="00623E14" w:rsidP="00E04517">
            <w:pPr>
              <w:spacing w:before="100" w:after="100"/>
              <w:ind w:left="-72"/>
              <w:jc w:val="center"/>
              <w:rPr>
                <w:color w:val="000000"/>
                <w:sz w:val="20"/>
                <w:lang w:val="sv-SE"/>
              </w:rPr>
            </w:pPr>
            <w:r w:rsidRPr="00800D1B">
              <w:rPr>
                <w:color w:val="000000"/>
                <w:sz w:val="20"/>
                <w:lang w:val="sv-SE"/>
              </w:rPr>
              <w:t>Specifikt mål</w:t>
            </w:r>
          </w:p>
        </w:tc>
        <w:tc>
          <w:tcPr>
            <w:tcW w:w="0" w:type="auto"/>
          </w:tcPr>
          <w:p w14:paraId="2D065B17" w14:textId="77777777" w:rsidR="00A77B3E" w:rsidRPr="00800D1B" w:rsidRDefault="00623E14" w:rsidP="00E04517">
            <w:pPr>
              <w:spacing w:before="100" w:after="100"/>
              <w:ind w:left="-72"/>
              <w:jc w:val="center"/>
              <w:rPr>
                <w:color w:val="000000"/>
                <w:sz w:val="20"/>
                <w:lang w:val="sv-SE"/>
              </w:rPr>
            </w:pPr>
            <w:r w:rsidRPr="00800D1B">
              <w:rPr>
                <w:color w:val="000000"/>
                <w:sz w:val="20"/>
                <w:lang w:val="sv-SE"/>
              </w:rPr>
              <w:t>Fond</w:t>
            </w:r>
          </w:p>
        </w:tc>
        <w:tc>
          <w:tcPr>
            <w:tcW w:w="0" w:type="auto"/>
          </w:tcPr>
          <w:p w14:paraId="2D065B18" w14:textId="77777777" w:rsidR="00A77B3E" w:rsidRPr="00800D1B" w:rsidRDefault="00623E14" w:rsidP="00E04517">
            <w:pPr>
              <w:spacing w:before="100" w:after="100"/>
              <w:ind w:left="-72"/>
              <w:jc w:val="center"/>
              <w:rPr>
                <w:color w:val="000000"/>
                <w:sz w:val="20"/>
                <w:lang w:val="sv-SE"/>
              </w:rPr>
            </w:pPr>
            <w:r w:rsidRPr="00800D1B">
              <w:rPr>
                <w:color w:val="000000"/>
                <w:sz w:val="20"/>
                <w:lang w:val="sv-SE"/>
              </w:rPr>
              <w:t>Regionkategori</w:t>
            </w:r>
          </w:p>
        </w:tc>
        <w:tc>
          <w:tcPr>
            <w:tcW w:w="0" w:type="auto"/>
          </w:tcPr>
          <w:p w14:paraId="2D065B19" w14:textId="77777777" w:rsidR="00A77B3E" w:rsidRPr="00800D1B" w:rsidRDefault="00623E14" w:rsidP="00E04517">
            <w:pPr>
              <w:spacing w:before="100" w:after="100"/>
              <w:ind w:left="-72"/>
              <w:jc w:val="center"/>
              <w:rPr>
                <w:color w:val="000000"/>
                <w:sz w:val="20"/>
                <w:lang w:val="sv-SE"/>
              </w:rPr>
            </w:pPr>
            <w:r w:rsidRPr="00800D1B">
              <w:rPr>
                <w:color w:val="000000"/>
                <w:sz w:val="20"/>
                <w:lang w:val="sv-SE"/>
              </w:rPr>
              <w:t>Kod</w:t>
            </w:r>
          </w:p>
        </w:tc>
        <w:tc>
          <w:tcPr>
            <w:tcW w:w="0" w:type="auto"/>
          </w:tcPr>
          <w:p w14:paraId="2D065B1A" w14:textId="77777777" w:rsidR="00A77B3E" w:rsidRPr="00800D1B" w:rsidRDefault="00623E14" w:rsidP="00E04517">
            <w:pPr>
              <w:spacing w:before="100" w:after="100"/>
              <w:ind w:left="-72"/>
              <w:jc w:val="center"/>
              <w:rPr>
                <w:color w:val="000000"/>
                <w:sz w:val="20"/>
                <w:lang w:val="sv-SE"/>
              </w:rPr>
            </w:pPr>
            <w:r w:rsidRPr="00800D1B">
              <w:rPr>
                <w:color w:val="000000"/>
                <w:sz w:val="20"/>
                <w:lang w:val="sv-SE"/>
              </w:rPr>
              <w:t>Belopp (euro)</w:t>
            </w:r>
          </w:p>
        </w:tc>
      </w:tr>
      <w:tr w:rsidR="003422DB" w:rsidRPr="00800D1B" w14:paraId="2D065B22" w14:textId="77777777" w:rsidTr="00E04517">
        <w:tc>
          <w:tcPr>
            <w:tcW w:w="0" w:type="auto"/>
          </w:tcPr>
          <w:p w14:paraId="2D065B1C" w14:textId="77777777" w:rsidR="00A77B3E" w:rsidRPr="00800D1B" w:rsidRDefault="00623E14" w:rsidP="00E04517">
            <w:pPr>
              <w:spacing w:before="100" w:after="100"/>
              <w:ind w:left="-72"/>
              <w:rPr>
                <w:color w:val="000000"/>
                <w:sz w:val="20"/>
                <w:lang w:val="sv-SE"/>
              </w:rPr>
            </w:pPr>
            <w:r w:rsidRPr="00800D1B">
              <w:rPr>
                <w:color w:val="000000"/>
                <w:sz w:val="20"/>
                <w:lang w:val="sv-SE"/>
              </w:rPr>
              <w:t>3</w:t>
            </w:r>
          </w:p>
        </w:tc>
        <w:tc>
          <w:tcPr>
            <w:tcW w:w="0" w:type="auto"/>
          </w:tcPr>
          <w:p w14:paraId="2D065B1D" w14:textId="77777777" w:rsidR="00A77B3E" w:rsidRPr="00800D1B" w:rsidRDefault="00623E14" w:rsidP="00E04517">
            <w:pPr>
              <w:spacing w:before="100" w:after="100"/>
              <w:ind w:left="-72"/>
              <w:rPr>
                <w:color w:val="000000"/>
                <w:sz w:val="20"/>
                <w:lang w:val="sv-SE"/>
              </w:rPr>
            </w:pPr>
            <w:r w:rsidRPr="00800D1B">
              <w:rPr>
                <w:color w:val="000000"/>
                <w:sz w:val="20"/>
                <w:lang w:val="sv-SE"/>
              </w:rPr>
              <w:t>RSO1.2</w:t>
            </w:r>
          </w:p>
        </w:tc>
        <w:tc>
          <w:tcPr>
            <w:tcW w:w="0" w:type="auto"/>
          </w:tcPr>
          <w:p w14:paraId="2D065B1E" w14:textId="77777777" w:rsidR="00A77B3E" w:rsidRPr="00800D1B" w:rsidRDefault="00623E14" w:rsidP="00E04517">
            <w:pPr>
              <w:spacing w:before="100" w:after="100"/>
              <w:ind w:left="-72"/>
              <w:rPr>
                <w:color w:val="000000"/>
                <w:sz w:val="20"/>
                <w:lang w:val="sv-SE"/>
              </w:rPr>
            </w:pPr>
            <w:r w:rsidRPr="00800D1B">
              <w:rPr>
                <w:color w:val="000000"/>
                <w:sz w:val="20"/>
                <w:lang w:val="sv-SE"/>
              </w:rPr>
              <w:t>Eruf</w:t>
            </w:r>
          </w:p>
        </w:tc>
        <w:tc>
          <w:tcPr>
            <w:tcW w:w="0" w:type="auto"/>
          </w:tcPr>
          <w:p w14:paraId="2D065B1F" w14:textId="77777777" w:rsidR="00A77B3E" w:rsidRPr="00800D1B" w:rsidRDefault="00623E14" w:rsidP="00E04517">
            <w:pPr>
              <w:spacing w:before="100" w:after="100"/>
              <w:ind w:left="-72"/>
              <w:rPr>
                <w:color w:val="000000"/>
                <w:sz w:val="20"/>
                <w:lang w:val="sv-SE"/>
              </w:rPr>
            </w:pPr>
            <w:r w:rsidRPr="00800D1B">
              <w:rPr>
                <w:color w:val="000000"/>
                <w:sz w:val="20"/>
                <w:lang w:val="sv-SE"/>
              </w:rPr>
              <w:t>Mer utvecklade regioner</w:t>
            </w:r>
          </w:p>
        </w:tc>
        <w:tc>
          <w:tcPr>
            <w:tcW w:w="0" w:type="auto"/>
          </w:tcPr>
          <w:p w14:paraId="2D065B20" w14:textId="77777777" w:rsidR="00A77B3E" w:rsidRPr="00800D1B" w:rsidRDefault="00623E14" w:rsidP="00E04517">
            <w:pPr>
              <w:spacing w:before="100" w:after="100"/>
              <w:ind w:left="-72"/>
              <w:rPr>
                <w:color w:val="000000"/>
                <w:sz w:val="20"/>
                <w:lang w:val="sv-SE"/>
              </w:rPr>
            </w:pPr>
            <w:r w:rsidRPr="00800D1B">
              <w:rPr>
                <w:color w:val="000000"/>
                <w:sz w:val="20"/>
                <w:lang w:val="sv-SE"/>
              </w:rPr>
              <w:t>02. Jämställdhetsintegrering</w:t>
            </w:r>
          </w:p>
        </w:tc>
        <w:tc>
          <w:tcPr>
            <w:tcW w:w="0" w:type="auto"/>
          </w:tcPr>
          <w:p w14:paraId="2D065B21" w14:textId="77777777" w:rsidR="00A77B3E" w:rsidRPr="00800D1B" w:rsidRDefault="00623E14" w:rsidP="00E04517">
            <w:pPr>
              <w:spacing w:before="100" w:after="100"/>
              <w:ind w:left="-72"/>
              <w:jc w:val="right"/>
              <w:rPr>
                <w:color w:val="000000"/>
                <w:sz w:val="20"/>
                <w:lang w:val="sv-SE"/>
              </w:rPr>
            </w:pPr>
            <w:r w:rsidRPr="00800D1B">
              <w:rPr>
                <w:color w:val="000000"/>
                <w:sz w:val="20"/>
                <w:lang w:val="sv-SE"/>
              </w:rPr>
              <w:t>6 297 897,00</w:t>
            </w:r>
          </w:p>
        </w:tc>
      </w:tr>
      <w:tr w:rsidR="003422DB" w:rsidRPr="00800D1B" w14:paraId="2D065B29" w14:textId="77777777" w:rsidTr="00E04517">
        <w:tc>
          <w:tcPr>
            <w:tcW w:w="0" w:type="auto"/>
          </w:tcPr>
          <w:p w14:paraId="2D065B23" w14:textId="77777777" w:rsidR="00A77B3E" w:rsidRPr="00800D1B" w:rsidRDefault="00623E14" w:rsidP="00E04517">
            <w:pPr>
              <w:spacing w:before="100" w:after="100"/>
              <w:ind w:left="-72"/>
              <w:rPr>
                <w:color w:val="000000"/>
                <w:sz w:val="20"/>
                <w:lang w:val="sv-SE"/>
              </w:rPr>
            </w:pPr>
            <w:r w:rsidRPr="00800D1B">
              <w:rPr>
                <w:color w:val="000000"/>
                <w:sz w:val="20"/>
                <w:lang w:val="sv-SE"/>
              </w:rPr>
              <w:t>3</w:t>
            </w:r>
          </w:p>
        </w:tc>
        <w:tc>
          <w:tcPr>
            <w:tcW w:w="0" w:type="auto"/>
          </w:tcPr>
          <w:p w14:paraId="2D065B24" w14:textId="77777777" w:rsidR="00A77B3E" w:rsidRPr="00800D1B" w:rsidRDefault="00623E14" w:rsidP="00E04517">
            <w:pPr>
              <w:spacing w:before="100" w:after="100"/>
              <w:ind w:left="-72"/>
              <w:rPr>
                <w:color w:val="000000"/>
                <w:sz w:val="20"/>
                <w:lang w:val="sv-SE"/>
              </w:rPr>
            </w:pPr>
            <w:r w:rsidRPr="00800D1B">
              <w:rPr>
                <w:color w:val="000000"/>
                <w:sz w:val="20"/>
                <w:lang w:val="sv-SE"/>
              </w:rPr>
              <w:t>RSO1.2</w:t>
            </w:r>
          </w:p>
        </w:tc>
        <w:tc>
          <w:tcPr>
            <w:tcW w:w="0" w:type="auto"/>
          </w:tcPr>
          <w:p w14:paraId="2D065B25" w14:textId="77777777" w:rsidR="00A77B3E" w:rsidRPr="00800D1B" w:rsidRDefault="00623E14" w:rsidP="00E04517">
            <w:pPr>
              <w:spacing w:before="100" w:after="100"/>
              <w:ind w:left="-72"/>
              <w:rPr>
                <w:color w:val="000000"/>
                <w:sz w:val="20"/>
                <w:lang w:val="sv-SE"/>
              </w:rPr>
            </w:pPr>
            <w:r w:rsidRPr="00800D1B">
              <w:rPr>
                <w:color w:val="000000"/>
                <w:sz w:val="20"/>
                <w:lang w:val="sv-SE"/>
              </w:rPr>
              <w:t>Eruf</w:t>
            </w:r>
          </w:p>
        </w:tc>
        <w:tc>
          <w:tcPr>
            <w:tcW w:w="0" w:type="auto"/>
          </w:tcPr>
          <w:p w14:paraId="2D065B26" w14:textId="77777777" w:rsidR="00A77B3E" w:rsidRPr="00800D1B" w:rsidRDefault="00623E14" w:rsidP="00E04517">
            <w:pPr>
              <w:spacing w:before="100" w:after="100"/>
              <w:ind w:left="-72"/>
              <w:rPr>
                <w:color w:val="000000"/>
                <w:sz w:val="20"/>
                <w:lang w:val="sv-SE"/>
              </w:rPr>
            </w:pPr>
            <w:r w:rsidRPr="00800D1B">
              <w:rPr>
                <w:color w:val="000000"/>
                <w:sz w:val="20"/>
                <w:lang w:val="sv-SE"/>
              </w:rPr>
              <w:t>Mer utvecklade regioner</w:t>
            </w:r>
          </w:p>
        </w:tc>
        <w:tc>
          <w:tcPr>
            <w:tcW w:w="0" w:type="auto"/>
          </w:tcPr>
          <w:p w14:paraId="2D065B27" w14:textId="77777777" w:rsidR="00A77B3E" w:rsidRPr="00800D1B" w:rsidRDefault="00623E14" w:rsidP="00E04517">
            <w:pPr>
              <w:spacing w:before="100" w:after="100"/>
              <w:ind w:left="-72"/>
              <w:rPr>
                <w:color w:val="000000"/>
                <w:sz w:val="20"/>
                <w:lang w:val="sv-SE"/>
              </w:rPr>
            </w:pPr>
            <w:r w:rsidRPr="00800D1B">
              <w:rPr>
                <w:color w:val="000000"/>
                <w:sz w:val="20"/>
                <w:lang w:val="sv-SE"/>
              </w:rPr>
              <w:t>03. Könsneutralitet</w:t>
            </w:r>
          </w:p>
        </w:tc>
        <w:tc>
          <w:tcPr>
            <w:tcW w:w="0" w:type="auto"/>
          </w:tcPr>
          <w:p w14:paraId="2D065B28" w14:textId="77777777" w:rsidR="00A77B3E" w:rsidRPr="00800D1B" w:rsidRDefault="00623E14" w:rsidP="00E04517">
            <w:pPr>
              <w:spacing w:before="100" w:after="100"/>
              <w:ind w:left="-72"/>
              <w:jc w:val="right"/>
              <w:rPr>
                <w:color w:val="000000"/>
                <w:sz w:val="20"/>
                <w:lang w:val="sv-SE"/>
              </w:rPr>
            </w:pPr>
            <w:r w:rsidRPr="00800D1B">
              <w:rPr>
                <w:color w:val="000000"/>
                <w:sz w:val="20"/>
                <w:lang w:val="sv-SE"/>
              </w:rPr>
              <w:t>9 446 843,00</w:t>
            </w:r>
          </w:p>
        </w:tc>
      </w:tr>
      <w:tr w:rsidR="003422DB" w:rsidRPr="00800D1B" w14:paraId="2D065B30" w14:textId="77777777" w:rsidTr="00E04517">
        <w:tc>
          <w:tcPr>
            <w:tcW w:w="0" w:type="auto"/>
          </w:tcPr>
          <w:p w14:paraId="2D065B2A" w14:textId="77777777" w:rsidR="00A77B3E" w:rsidRPr="00800D1B" w:rsidRDefault="00623E14" w:rsidP="00E04517">
            <w:pPr>
              <w:spacing w:before="100" w:after="100"/>
              <w:ind w:left="-72"/>
              <w:rPr>
                <w:color w:val="000000"/>
                <w:sz w:val="20"/>
                <w:lang w:val="sv-SE"/>
              </w:rPr>
            </w:pPr>
            <w:r w:rsidRPr="00800D1B">
              <w:rPr>
                <w:color w:val="000000"/>
                <w:sz w:val="20"/>
                <w:lang w:val="sv-SE"/>
              </w:rPr>
              <w:t>3</w:t>
            </w:r>
          </w:p>
        </w:tc>
        <w:tc>
          <w:tcPr>
            <w:tcW w:w="0" w:type="auto"/>
          </w:tcPr>
          <w:p w14:paraId="2D065B2B" w14:textId="77777777" w:rsidR="00A77B3E" w:rsidRPr="00800D1B" w:rsidRDefault="00623E14" w:rsidP="00E04517">
            <w:pPr>
              <w:spacing w:before="100" w:after="100"/>
              <w:ind w:left="-72"/>
              <w:rPr>
                <w:color w:val="000000"/>
                <w:sz w:val="20"/>
                <w:lang w:val="sv-SE"/>
              </w:rPr>
            </w:pPr>
            <w:r w:rsidRPr="00800D1B">
              <w:rPr>
                <w:color w:val="000000"/>
                <w:sz w:val="20"/>
                <w:lang w:val="sv-SE"/>
              </w:rPr>
              <w:t>RSO1.2</w:t>
            </w:r>
          </w:p>
        </w:tc>
        <w:tc>
          <w:tcPr>
            <w:tcW w:w="0" w:type="auto"/>
          </w:tcPr>
          <w:p w14:paraId="2D065B2C" w14:textId="77777777" w:rsidR="00A77B3E" w:rsidRPr="00800D1B" w:rsidRDefault="00623E14" w:rsidP="00E04517">
            <w:pPr>
              <w:spacing w:before="100" w:after="100"/>
              <w:ind w:left="-72"/>
              <w:rPr>
                <w:color w:val="000000"/>
                <w:sz w:val="20"/>
                <w:lang w:val="sv-SE"/>
              </w:rPr>
            </w:pPr>
            <w:r w:rsidRPr="00800D1B">
              <w:rPr>
                <w:color w:val="000000"/>
                <w:sz w:val="20"/>
                <w:lang w:val="sv-SE"/>
              </w:rPr>
              <w:t>Eruf</w:t>
            </w:r>
          </w:p>
        </w:tc>
        <w:tc>
          <w:tcPr>
            <w:tcW w:w="0" w:type="auto"/>
          </w:tcPr>
          <w:p w14:paraId="2D065B2D" w14:textId="77777777" w:rsidR="00A77B3E" w:rsidRPr="00800D1B" w:rsidRDefault="00623E14" w:rsidP="00E04517">
            <w:pPr>
              <w:spacing w:before="100" w:after="100"/>
              <w:ind w:left="-72"/>
              <w:rPr>
                <w:color w:val="000000"/>
                <w:sz w:val="20"/>
                <w:lang w:val="sv-SE"/>
              </w:rPr>
            </w:pPr>
            <w:r w:rsidRPr="00800D1B">
              <w:rPr>
                <w:color w:val="000000"/>
                <w:sz w:val="20"/>
                <w:lang w:val="sv-SE"/>
              </w:rPr>
              <w:t>De yttersta randområdena eller de nordliga glesbefolkade områdena</w:t>
            </w:r>
          </w:p>
        </w:tc>
        <w:tc>
          <w:tcPr>
            <w:tcW w:w="0" w:type="auto"/>
          </w:tcPr>
          <w:p w14:paraId="2D065B2E" w14:textId="77777777" w:rsidR="00A77B3E" w:rsidRPr="00800D1B" w:rsidRDefault="00623E14" w:rsidP="00E04517">
            <w:pPr>
              <w:spacing w:before="100" w:after="100"/>
              <w:ind w:left="-72"/>
              <w:rPr>
                <w:color w:val="000000"/>
                <w:sz w:val="20"/>
                <w:lang w:val="sv-SE"/>
              </w:rPr>
            </w:pPr>
            <w:r w:rsidRPr="00800D1B">
              <w:rPr>
                <w:color w:val="000000"/>
                <w:sz w:val="20"/>
                <w:lang w:val="sv-SE"/>
              </w:rPr>
              <w:t>02. Jämställdhetsintegrering</w:t>
            </w:r>
          </w:p>
        </w:tc>
        <w:tc>
          <w:tcPr>
            <w:tcW w:w="0" w:type="auto"/>
          </w:tcPr>
          <w:p w14:paraId="2D065B2F" w14:textId="77777777" w:rsidR="00A77B3E" w:rsidRPr="00800D1B" w:rsidRDefault="00623E14" w:rsidP="00E04517">
            <w:pPr>
              <w:spacing w:before="100" w:after="100"/>
              <w:ind w:left="-72"/>
              <w:jc w:val="right"/>
              <w:rPr>
                <w:color w:val="000000"/>
                <w:sz w:val="20"/>
                <w:lang w:val="sv-SE"/>
              </w:rPr>
            </w:pPr>
            <w:r w:rsidRPr="00800D1B">
              <w:rPr>
                <w:color w:val="000000"/>
                <w:sz w:val="20"/>
                <w:lang w:val="sv-SE"/>
              </w:rPr>
              <w:t>272 331,00</w:t>
            </w:r>
          </w:p>
        </w:tc>
      </w:tr>
      <w:tr w:rsidR="003422DB" w:rsidRPr="00800D1B" w14:paraId="2D065B37" w14:textId="77777777" w:rsidTr="00E04517">
        <w:tc>
          <w:tcPr>
            <w:tcW w:w="0" w:type="auto"/>
          </w:tcPr>
          <w:p w14:paraId="2D065B31" w14:textId="77777777" w:rsidR="00A77B3E" w:rsidRPr="00800D1B" w:rsidRDefault="00623E14" w:rsidP="00E04517">
            <w:pPr>
              <w:spacing w:before="100" w:after="100"/>
              <w:ind w:left="-72"/>
              <w:rPr>
                <w:color w:val="000000"/>
                <w:sz w:val="20"/>
                <w:lang w:val="sv-SE"/>
              </w:rPr>
            </w:pPr>
            <w:r w:rsidRPr="00800D1B">
              <w:rPr>
                <w:color w:val="000000"/>
                <w:sz w:val="20"/>
                <w:lang w:val="sv-SE"/>
              </w:rPr>
              <w:t>3</w:t>
            </w:r>
          </w:p>
        </w:tc>
        <w:tc>
          <w:tcPr>
            <w:tcW w:w="0" w:type="auto"/>
          </w:tcPr>
          <w:p w14:paraId="2D065B32" w14:textId="77777777" w:rsidR="00A77B3E" w:rsidRPr="00800D1B" w:rsidRDefault="00623E14" w:rsidP="00E04517">
            <w:pPr>
              <w:spacing w:before="100" w:after="100"/>
              <w:ind w:left="-72"/>
              <w:rPr>
                <w:color w:val="000000"/>
                <w:sz w:val="20"/>
                <w:lang w:val="sv-SE"/>
              </w:rPr>
            </w:pPr>
            <w:r w:rsidRPr="00800D1B">
              <w:rPr>
                <w:color w:val="000000"/>
                <w:sz w:val="20"/>
                <w:lang w:val="sv-SE"/>
              </w:rPr>
              <w:t>RSO1.2</w:t>
            </w:r>
          </w:p>
        </w:tc>
        <w:tc>
          <w:tcPr>
            <w:tcW w:w="0" w:type="auto"/>
          </w:tcPr>
          <w:p w14:paraId="2D065B33" w14:textId="77777777" w:rsidR="00A77B3E" w:rsidRPr="00800D1B" w:rsidRDefault="00623E14" w:rsidP="00E04517">
            <w:pPr>
              <w:spacing w:before="100" w:after="100"/>
              <w:ind w:left="-72"/>
              <w:rPr>
                <w:color w:val="000000"/>
                <w:sz w:val="20"/>
                <w:lang w:val="sv-SE"/>
              </w:rPr>
            </w:pPr>
            <w:r w:rsidRPr="00800D1B">
              <w:rPr>
                <w:color w:val="000000"/>
                <w:sz w:val="20"/>
                <w:lang w:val="sv-SE"/>
              </w:rPr>
              <w:t>Eruf</w:t>
            </w:r>
          </w:p>
        </w:tc>
        <w:tc>
          <w:tcPr>
            <w:tcW w:w="0" w:type="auto"/>
          </w:tcPr>
          <w:p w14:paraId="2D065B34" w14:textId="77777777" w:rsidR="00A77B3E" w:rsidRPr="00800D1B" w:rsidRDefault="00623E14" w:rsidP="00E04517">
            <w:pPr>
              <w:spacing w:before="100" w:after="100"/>
              <w:ind w:left="-72"/>
              <w:rPr>
                <w:color w:val="000000"/>
                <w:sz w:val="20"/>
                <w:lang w:val="sv-SE"/>
              </w:rPr>
            </w:pPr>
            <w:r w:rsidRPr="00800D1B">
              <w:rPr>
                <w:color w:val="000000"/>
                <w:sz w:val="20"/>
                <w:lang w:val="sv-SE"/>
              </w:rPr>
              <w:t>De yttersta randområdena eller de nordliga glesbefolkade områdena</w:t>
            </w:r>
          </w:p>
        </w:tc>
        <w:tc>
          <w:tcPr>
            <w:tcW w:w="0" w:type="auto"/>
          </w:tcPr>
          <w:p w14:paraId="2D065B35" w14:textId="77777777" w:rsidR="00A77B3E" w:rsidRPr="00800D1B" w:rsidRDefault="00623E14" w:rsidP="00E04517">
            <w:pPr>
              <w:spacing w:before="100" w:after="100"/>
              <w:ind w:left="-72"/>
              <w:rPr>
                <w:color w:val="000000"/>
                <w:sz w:val="20"/>
                <w:lang w:val="sv-SE"/>
              </w:rPr>
            </w:pPr>
            <w:r w:rsidRPr="00800D1B">
              <w:rPr>
                <w:color w:val="000000"/>
                <w:sz w:val="20"/>
                <w:lang w:val="sv-SE"/>
              </w:rPr>
              <w:t>03. Könsneutralitet</w:t>
            </w:r>
          </w:p>
        </w:tc>
        <w:tc>
          <w:tcPr>
            <w:tcW w:w="0" w:type="auto"/>
          </w:tcPr>
          <w:p w14:paraId="2D065B36" w14:textId="77777777" w:rsidR="00A77B3E" w:rsidRPr="00800D1B" w:rsidRDefault="00623E14" w:rsidP="00E04517">
            <w:pPr>
              <w:spacing w:before="100" w:after="100"/>
              <w:ind w:left="-72"/>
              <w:jc w:val="right"/>
              <w:rPr>
                <w:color w:val="000000"/>
                <w:sz w:val="20"/>
                <w:lang w:val="sv-SE"/>
              </w:rPr>
            </w:pPr>
            <w:r w:rsidRPr="00800D1B">
              <w:rPr>
                <w:color w:val="000000"/>
                <w:sz w:val="20"/>
                <w:lang w:val="sv-SE"/>
              </w:rPr>
              <w:t>408 497,00</w:t>
            </w:r>
          </w:p>
        </w:tc>
      </w:tr>
      <w:tr w:rsidR="003422DB" w:rsidRPr="00800D1B" w14:paraId="2D065B3E" w14:textId="77777777" w:rsidTr="00E04517">
        <w:tc>
          <w:tcPr>
            <w:tcW w:w="0" w:type="auto"/>
          </w:tcPr>
          <w:p w14:paraId="2D065B38" w14:textId="77777777" w:rsidR="00A77B3E" w:rsidRPr="00800D1B" w:rsidRDefault="00623E14" w:rsidP="00E04517">
            <w:pPr>
              <w:spacing w:before="100" w:after="100"/>
              <w:ind w:left="-72"/>
              <w:rPr>
                <w:color w:val="000000"/>
                <w:sz w:val="20"/>
                <w:lang w:val="sv-SE"/>
              </w:rPr>
            </w:pPr>
            <w:r w:rsidRPr="00800D1B">
              <w:rPr>
                <w:color w:val="000000"/>
                <w:sz w:val="20"/>
                <w:lang w:val="sv-SE"/>
              </w:rPr>
              <w:t>3</w:t>
            </w:r>
          </w:p>
        </w:tc>
        <w:tc>
          <w:tcPr>
            <w:tcW w:w="0" w:type="auto"/>
          </w:tcPr>
          <w:p w14:paraId="2D065B39" w14:textId="77777777" w:rsidR="00A77B3E" w:rsidRPr="00800D1B" w:rsidRDefault="00623E14" w:rsidP="00E04517">
            <w:pPr>
              <w:spacing w:before="100" w:after="100"/>
              <w:ind w:left="-72"/>
              <w:rPr>
                <w:color w:val="000000"/>
                <w:sz w:val="20"/>
                <w:lang w:val="sv-SE"/>
              </w:rPr>
            </w:pPr>
            <w:r w:rsidRPr="00800D1B">
              <w:rPr>
                <w:color w:val="000000"/>
                <w:sz w:val="20"/>
                <w:lang w:val="sv-SE"/>
              </w:rPr>
              <w:t>RSO1.2</w:t>
            </w:r>
          </w:p>
        </w:tc>
        <w:tc>
          <w:tcPr>
            <w:tcW w:w="0" w:type="auto"/>
          </w:tcPr>
          <w:p w14:paraId="2D065B3A" w14:textId="77777777" w:rsidR="00A77B3E" w:rsidRPr="00800D1B" w:rsidRDefault="00623E14" w:rsidP="00E04517">
            <w:pPr>
              <w:spacing w:before="100" w:after="100"/>
              <w:ind w:left="-72"/>
              <w:rPr>
                <w:color w:val="000000"/>
                <w:sz w:val="20"/>
                <w:lang w:val="sv-SE"/>
              </w:rPr>
            </w:pPr>
            <w:r w:rsidRPr="00800D1B">
              <w:rPr>
                <w:color w:val="000000"/>
                <w:sz w:val="20"/>
                <w:lang w:val="sv-SE"/>
              </w:rPr>
              <w:t>Totalt</w:t>
            </w:r>
          </w:p>
        </w:tc>
        <w:tc>
          <w:tcPr>
            <w:tcW w:w="0" w:type="auto"/>
          </w:tcPr>
          <w:p w14:paraId="2D065B3B" w14:textId="77777777" w:rsidR="00A77B3E" w:rsidRPr="00800D1B" w:rsidRDefault="00A77B3E" w:rsidP="00E04517">
            <w:pPr>
              <w:spacing w:before="100" w:after="100"/>
              <w:ind w:left="-72"/>
              <w:rPr>
                <w:color w:val="000000"/>
                <w:sz w:val="20"/>
                <w:lang w:val="sv-SE"/>
              </w:rPr>
            </w:pPr>
          </w:p>
        </w:tc>
        <w:tc>
          <w:tcPr>
            <w:tcW w:w="0" w:type="auto"/>
          </w:tcPr>
          <w:p w14:paraId="2D065B3C" w14:textId="77777777" w:rsidR="00A77B3E" w:rsidRPr="00800D1B" w:rsidRDefault="00A77B3E" w:rsidP="00E04517">
            <w:pPr>
              <w:spacing w:before="100" w:after="100"/>
              <w:ind w:left="-72"/>
              <w:rPr>
                <w:color w:val="000000"/>
                <w:sz w:val="20"/>
                <w:lang w:val="sv-SE"/>
              </w:rPr>
            </w:pPr>
          </w:p>
        </w:tc>
        <w:tc>
          <w:tcPr>
            <w:tcW w:w="0" w:type="auto"/>
          </w:tcPr>
          <w:p w14:paraId="2D065B3D" w14:textId="77777777" w:rsidR="00A77B3E" w:rsidRPr="00800D1B" w:rsidRDefault="00623E14" w:rsidP="00E04517">
            <w:pPr>
              <w:spacing w:before="100" w:after="100"/>
              <w:ind w:left="-72"/>
              <w:jc w:val="right"/>
              <w:rPr>
                <w:color w:val="000000"/>
                <w:sz w:val="20"/>
                <w:lang w:val="sv-SE"/>
              </w:rPr>
            </w:pPr>
            <w:r w:rsidRPr="00800D1B">
              <w:rPr>
                <w:color w:val="000000"/>
                <w:sz w:val="20"/>
                <w:lang w:val="sv-SE"/>
              </w:rPr>
              <w:t>16 425 568,00</w:t>
            </w:r>
          </w:p>
        </w:tc>
      </w:tr>
    </w:tbl>
    <w:p w14:paraId="2D065B3F" w14:textId="77777777" w:rsidR="00A77B3E" w:rsidRPr="00800D1B" w:rsidRDefault="00623E14">
      <w:pPr>
        <w:spacing w:before="100"/>
        <w:rPr>
          <w:color w:val="000000"/>
          <w:sz w:val="20"/>
          <w:lang w:val="sv-SE"/>
        </w:rPr>
      </w:pPr>
      <w:r w:rsidRPr="00800D1B">
        <w:rPr>
          <w:color w:val="000000"/>
          <w:sz w:val="20"/>
          <w:lang w:val="sv-SE"/>
        </w:rPr>
        <w:t>* För ESF+ bidrar i princip 40 % av ESF+-medlen till uppföljning av jämställdheten. 100 % är tillämpligt när medlemsstaten väljer att använda artikel 6 i ESF+</w:t>
      </w:r>
    </w:p>
    <w:p w14:paraId="5A56EA6C" w14:textId="77777777" w:rsidR="00A67879" w:rsidRPr="00800D1B" w:rsidRDefault="00A67879" w:rsidP="00D40ECC">
      <w:pPr>
        <w:rPr>
          <w:lang w:val="sv-SE"/>
        </w:rPr>
        <w:sectPr w:rsidR="00A67879" w:rsidRPr="00800D1B" w:rsidSect="0065165D">
          <w:pgSz w:w="16838" w:h="11906" w:orient="landscape" w:code="9"/>
          <w:pgMar w:top="720" w:right="720" w:bottom="864" w:left="936" w:header="288" w:footer="72" w:gutter="0"/>
          <w:cols w:space="720"/>
          <w:noEndnote/>
          <w:docGrid w:linePitch="360"/>
        </w:sectPr>
      </w:pPr>
    </w:p>
    <w:p w14:paraId="2D065B40" w14:textId="72A72ED7" w:rsidR="00A77B3E" w:rsidRPr="00800D1B" w:rsidRDefault="00623E14">
      <w:pPr>
        <w:pStyle w:val="Rubrik5"/>
        <w:numPr>
          <w:ilvl w:val="3"/>
          <w:numId w:val="96"/>
        </w:numPr>
        <w:spacing w:before="200"/>
        <w:ind w:left="0" w:firstLine="0"/>
      </w:pPr>
      <w:bookmarkStart w:id="58" w:name="_Toc256000299"/>
      <w:r w:rsidRPr="00800D1B">
        <w:t>Specifikt mål: RSO1.3. Förbättra de små och medelstora företagens hållbara tillväxt och konkurrenskraft och skapandet av arbetstillfällen i dessa företag, inbegripet genom produktiva investeringar (Eruf)</w:t>
      </w:r>
      <w:bookmarkEnd w:id="58"/>
    </w:p>
    <w:p w14:paraId="2D065B41" w14:textId="77777777" w:rsidR="00A77B3E" w:rsidRPr="00800D1B" w:rsidRDefault="00A77B3E">
      <w:pPr>
        <w:spacing w:before="100"/>
        <w:rPr>
          <w:color w:val="000000"/>
          <w:sz w:val="0"/>
          <w:lang w:val="sv-SE"/>
        </w:rPr>
      </w:pPr>
    </w:p>
    <w:p w14:paraId="2D065B42" w14:textId="0F419F37" w:rsidR="00A77B3E" w:rsidRPr="00800D1B" w:rsidRDefault="00623E14" w:rsidP="00B124F8">
      <w:pPr>
        <w:pStyle w:val="Rubrik6"/>
        <w:numPr>
          <w:ilvl w:val="4"/>
          <w:numId w:val="15"/>
        </w:numPr>
        <w:ind w:left="360"/>
      </w:pPr>
      <w:bookmarkStart w:id="59" w:name="_Toc256000300"/>
      <w:r w:rsidRPr="00800D1B">
        <w:t>Interventioner inom ramen för fonderna</w:t>
      </w:r>
      <w:bookmarkEnd w:id="59"/>
    </w:p>
    <w:p w14:paraId="2D065B43" w14:textId="77777777" w:rsidR="00A77B3E" w:rsidRPr="00800D1B" w:rsidRDefault="00A77B3E">
      <w:pPr>
        <w:spacing w:before="100"/>
        <w:rPr>
          <w:color w:val="000000"/>
          <w:sz w:val="0"/>
          <w:lang w:val="sv-SE"/>
        </w:rPr>
      </w:pPr>
    </w:p>
    <w:p w14:paraId="2D065B44" w14:textId="77777777" w:rsidR="00A77B3E" w:rsidRPr="00800D1B" w:rsidRDefault="00623E14">
      <w:pPr>
        <w:spacing w:before="100"/>
        <w:rPr>
          <w:color w:val="000000"/>
          <w:sz w:val="0"/>
          <w:lang w:val="sv-SE"/>
        </w:rPr>
      </w:pPr>
      <w:r w:rsidRPr="00800D1B">
        <w:rPr>
          <w:color w:val="000000"/>
          <w:lang w:val="sv-SE"/>
        </w:rPr>
        <w:t>Referens: artikel 22.3 d i, iii, iv, v, vi och vii i förordningen om gemensamma bestämmelser</w:t>
      </w:r>
    </w:p>
    <w:p w14:paraId="2D065B45" w14:textId="5AD29AD4" w:rsidR="00A77B3E" w:rsidRPr="00800D1B" w:rsidRDefault="00623E14" w:rsidP="00A71A06">
      <w:pPr>
        <w:spacing w:before="100"/>
        <w:rPr>
          <w:lang w:val="sv-SE"/>
        </w:rPr>
      </w:pPr>
      <w:bookmarkStart w:id="60" w:name="_Toc256000301"/>
      <w:r w:rsidRPr="00800D1B">
        <w:rPr>
          <w:lang w:val="sv-SE"/>
        </w:rPr>
        <w:t>Relaterade typer av åtgärder – artikel 22.3 d i i förordningen om gemensamma bestämmelser och artikel 6 i ESF+-förordningen</w:t>
      </w:r>
      <w:bookmarkEnd w:id="60"/>
    </w:p>
    <w:p w14:paraId="29B5FF78" w14:textId="77777777" w:rsidR="00004AC4" w:rsidRPr="00800D1B" w:rsidRDefault="00004AC4" w:rsidP="00004AC4">
      <w:pPr>
        <w:pBdr>
          <w:top w:val="single" w:sz="4" w:space="1" w:color="auto"/>
          <w:left w:val="single" w:sz="4" w:space="4" w:color="auto"/>
          <w:right w:val="single" w:sz="4" w:space="4" w:color="auto"/>
        </w:pBdr>
        <w:spacing w:before="100"/>
        <w:ind w:left="101" w:right="115"/>
        <w:rPr>
          <w:color w:val="000000"/>
          <w:lang w:val="sv-SE"/>
        </w:rPr>
      </w:pPr>
      <w:r w:rsidRPr="00800D1B">
        <w:rPr>
          <w:color w:val="000000"/>
          <w:lang w:val="sv-SE"/>
        </w:rPr>
        <w:t>Ett stärkt entreprenörskap är viktigt för ÖNs förmåga att utvecklas och fortsätta stärka sin konkurrenskraft. En förutsättning för detta är att företagens affärsmodeller integrerar unga, jämställdhet, mångfald och miljöaspekter.</w:t>
      </w:r>
    </w:p>
    <w:p w14:paraId="461674E9" w14:textId="77777777" w:rsidR="00004AC4" w:rsidRPr="00800D1B" w:rsidRDefault="00004AC4" w:rsidP="00004AC4">
      <w:pPr>
        <w:pBdr>
          <w:top w:val="single" w:sz="4" w:space="1" w:color="auto"/>
          <w:left w:val="single" w:sz="4" w:space="4" w:color="auto"/>
          <w:right w:val="single" w:sz="4" w:space="4" w:color="auto"/>
        </w:pBdr>
        <w:spacing w:before="100"/>
        <w:ind w:left="101" w:right="115"/>
        <w:rPr>
          <w:color w:val="000000"/>
          <w:lang w:val="sv-SE"/>
        </w:rPr>
      </w:pPr>
      <w:r w:rsidRPr="00800D1B">
        <w:rPr>
          <w:color w:val="000000"/>
          <w:lang w:val="sv-SE"/>
        </w:rPr>
        <w:t>Satsningar på aktiviteter som stimulerar företagare i hela regionen till nyetablering, expansion och innovation bidrar till ekonomisk utveckling och en minskad ojämlikhet inom regionen. För att tillvarata innovationskraft och tillväxtpotential är det viktigt att programmet säkerställer att stöd fördelas jämställt och når en mångfald av företagare. Inte minst behövs strukturer för att utveckla nya typer av affärsmodeller, exempelvis med basen i civilsamhället eller andra affärsmodeller som utmanar traditionella sätt att värdera företagande.</w:t>
      </w:r>
    </w:p>
    <w:p w14:paraId="668FF213" w14:textId="77777777" w:rsidR="00004AC4" w:rsidRPr="00800D1B" w:rsidRDefault="00004AC4" w:rsidP="00004AC4">
      <w:pPr>
        <w:pBdr>
          <w:top w:val="single" w:sz="4" w:space="1" w:color="auto"/>
          <w:left w:val="single" w:sz="4" w:space="4" w:color="auto"/>
          <w:right w:val="single" w:sz="4" w:space="4" w:color="auto"/>
        </w:pBdr>
        <w:spacing w:before="100"/>
        <w:ind w:left="101" w:right="115"/>
        <w:rPr>
          <w:color w:val="000000"/>
          <w:lang w:val="sv-SE"/>
        </w:rPr>
      </w:pPr>
      <w:r w:rsidRPr="00800D1B">
        <w:rPr>
          <w:color w:val="000000"/>
          <w:lang w:val="sv-SE"/>
        </w:rPr>
        <w:t>Insatserna ska bidra till att långsiktigt stärka ett konkurrenskraftigt och hållbart näringsliv i ÖN genom att underlätta för en grön omställning och utveckling i befintliga företag. Nyckelinsatser riktas mot att öka förädlingsvärdet, innovationsförmågan och att hitta nya marknader. Viktiga aspekter för långsiktig konkurrenskraft är att arbeta för en mer jämställd ledning och ägande i företag och att underlätta generationsväxling. Företagens kreativitet och engagemang är en nödvändighet i arbetet med att minska klimatpåverkan och skapa en grön omställning samt förnyelse som bidrar till regionens välfärd.</w:t>
      </w:r>
    </w:p>
    <w:p w14:paraId="3B469E2A" w14:textId="77777777" w:rsidR="00004AC4" w:rsidRPr="00800D1B" w:rsidRDefault="00004AC4" w:rsidP="00004AC4">
      <w:pPr>
        <w:pBdr>
          <w:top w:val="single" w:sz="4" w:space="1" w:color="auto"/>
          <w:left w:val="single" w:sz="4" w:space="4" w:color="auto"/>
          <w:right w:val="single" w:sz="4" w:space="4" w:color="auto"/>
        </w:pBdr>
        <w:spacing w:before="100"/>
        <w:ind w:left="101" w:right="115"/>
        <w:rPr>
          <w:color w:val="000000"/>
          <w:lang w:val="sv-SE"/>
        </w:rPr>
      </w:pPr>
      <w:r w:rsidRPr="00800D1B">
        <w:rPr>
          <w:color w:val="000000"/>
          <w:lang w:val="sv-SE"/>
        </w:rPr>
        <w:t>Regionens företag och organisationer behöver öka sin närvaro på växande globala marknader, inte minst med tanke på att utvecklingen i många tillväxtländer leder till ökad efterfrågan på varor och tjänster inom områden där ÖNs företag ligger långt framme i utvecklingen. Internationalisering ska vara ett naturligt steg i företagens utveckling samtidigt som olika branscher har olika behov av stöd vid internationalisering och export. Det är därför av stor vikt att ÖNs exportstödjande organisationer ges möjlighet att stötta företag och är tillgängliga oberoende var i regionen företag bedriver sin verksamhet. För att bättre möta behoven bör investeringar främja företagens export samt utveckling av samverkansplattformar som stödjer internationaliseringsarbetet. Möjligheter till samverkan med Östersjöstrategins policyområde exempelvis turism bör eftersträvas.</w:t>
      </w:r>
    </w:p>
    <w:p w14:paraId="1F2E943E" w14:textId="77777777" w:rsidR="00004AC4" w:rsidRPr="00800D1B" w:rsidRDefault="00004AC4" w:rsidP="00004AC4">
      <w:pPr>
        <w:pBdr>
          <w:top w:val="single" w:sz="4" w:space="1" w:color="auto"/>
          <w:left w:val="single" w:sz="4" w:space="4" w:color="auto"/>
          <w:right w:val="single" w:sz="4" w:space="4" w:color="auto"/>
        </w:pBdr>
        <w:spacing w:before="100"/>
        <w:ind w:left="101" w:right="115"/>
        <w:rPr>
          <w:color w:val="000000"/>
          <w:lang w:val="sv-SE"/>
        </w:rPr>
      </w:pPr>
      <w:r w:rsidRPr="00800D1B">
        <w:rPr>
          <w:color w:val="000000"/>
          <w:lang w:val="sv-SE"/>
        </w:rPr>
        <w:t>Programmet ska stödja insatser som främjar omställningen till en koldioxidsnål ekonomi och som ger aktörer möjlighet att växa och starta företag i hela regionen. För detta behöver offentlig förvaltning, kommuner, regioner, forskning, näringsliv, branschorganisationer och intresseorganisationer utveckla och fördjupa sin samverkan. Stödstrukturerna bör anpassas efter lokala och regionala behov, där vissa former bör vara riktade både mot kunskapsintensivt företagande och etablering av spjutspetsföretag, samt företagande med lägre kunskapsintensitet som har tillväxtpotential.</w:t>
      </w:r>
    </w:p>
    <w:p w14:paraId="58F9BFFA" w14:textId="77777777" w:rsidR="00004AC4" w:rsidRPr="00800D1B" w:rsidRDefault="00004AC4" w:rsidP="00004AC4">
      <w:pPr>
        <w:pBdr>
          <w:left w:val="single" w:sz="4" w:space="4" w:color="auto"/>
          <w:bottom w:val="single" w:sz="4" w:space="15" w:color="auto"/>
          <w:right w:val="single" w:sz="4" w:space="4" w:color="auto"/>
        </w:pBdr>
        <w:spacing w:before="100"/>
        <w:ind w:left="101" w:right="115"/>
        <w:rPr>
          <w:color w:val="000000"/>
          <w:lang w:val="sv-SE"/>
        </w:rPr>
      </w:pPr>
      <w:r w:rsidRPr="00800D1B">
        <w:rPr>
          <w:color w:val="000000"/>
          <w:lang w:val="sv-SE"/>
        </w:rPr>
        <w:t>En väl fungerande kapitalförsörjning är avgörande för start och vidareutveckling av företag. Företagens behov av externt kapital ska i första hand tillgodoses på den privata marknaden, men det finns områden med behov av marknadskompletterande finansiering. Insatser ska därför skapa marknadskompletterande insatser i tidiga utvecklingsskeden och vid kommersialisering av innovativa affärsidéer. I regionens glesbygder krävs särskilda insatser som överbryggar utmaningen med låga fastighetsvärden och ofta en låg värdering från banker och andra främjandeaktörer av utvecklingspotentialen i företag som verkar i glesbygd. Bidrag till företag syftar till att höja kunskapen i företagen, att utveckla nya produkter och tjänster och liknande insatser i syfte att stärka företagens långsiktiga utveckling. Bidragen blir nödvändiga för att motivera investeringarna.</w:t>
      </w:r>
    </w:p>
    <w:p w14:paraId="0046AF2B" w14:textId="77777777" w:rsidR="00004AC4" w:rsidRPr="00800D1B" w:rsidRDefault="00004AC4" w:rsidP="00004AC4">
      <w:pPr>
        <w:pBdr>
          <w:top w:val="single" w:sz="4" w:space="1" w:color="auto"/>
          <w:left w:val="single" w:sz="4" w:space="4" w:color="auto"/>
          <w:bottom w:val="single" w:sz="4" w:space="15" w:color="auto"/>
          <w:right w:val="single" w:sz="4" w:space="4" w:color="auto"/>
        </w:pBdr>
        <w:spacing w:before="100"/>
        <w:ind w:left="101" w:right="115"/>
        <w:rPr>
          <w:color w:val="000000"/>
          <w:lang w:val="sv-SE"/>
        </w:rPr>
      </w:pPr>
      <w:r w:rsidRPr="00800D1B">
        <w:rPr>
          <w:color w:val="000000"/>
          <w:lang w:val="sv-SE"/>
        </w:rPr>
        <w:t>Prioriteringen ska bidra till ett ökat entreprenörskap genom insatser som bidrar till ett företagsklimat som främjar nyföretagande och positiva attityder till entreprenörskap. Inte minst behövs strukturer för att utveckla nya typer av affärsmodeller, exempelvis med basen i civilsamhället eller andra affärsmodeller som utmanar traditionella sätt att värdera företagande. En ökad jämställdhet, integration och mångfald i näringslivet är nödvändigt för att regionen ska utvecklas i en hållbar riktning. Insatser behöver därför bidra till att främja nyföretagande och positiva attityder till entreprenörskap. För att uppnå detta behövs ett stödsystem som bidrar till ett breddat entreprenörskap och företagande i hela regionen. Det innebär att särskilt främja kvinnors och utrikesföddas företagande och entreprenörskap. Det behövs också ett aktivt arbete med generationsskiften i företag och främjande av ungas nyföretagande.</w:t>
      </w:r>
    </w:p>
    <w:p w14:paraId="32BAB3D4" w14:textId="77777777" w:rsidR="00004AC4" w:rsidRPr="00800D1B" w:rsidRDefault="00004AC4" w:rsidP="00004AC4">
      <w:pPr>
        <w:pBdr>
          <w:top w:val="single" w:sz="4" w:space="1" w:color="auto"/>
          <w:left w:val="single" w:sz="4" w:space="4" w:color="auto"/>
          <w:bottom w:val="single" w:sz="4" w:space="15" w:color="auto"/>
          <w:right w:val="single" w:sz="4" w:space="4" w:color="auto"/>
        </w:pBdr>
        <w:spacing w:before="100"/>
        <w:ind w:left="101" w:right="115"/>
        <w:rPr>
          <w:color w:val="000000"/>
          <w:lang w:val="sv-SE"/>
        </w:rPr>
      </w:pPr>
      <w:r w:rsidRPr="00800D1B">
        <w:rPr>
          <w:color w:val="000000"/>
          <w:lang w:val="sv-SE"/>
        </w:rPr>
        <w:t>Programmet ska finansiera projekt som utvecklar modeller så att kommuner i glesbygd kan bygga flernivåsamverkan med lokal, regional och statlig nivå i syfte att skapa strukturer som kopplar samman företagsfrämjande aktörer och innovationssystem.</w:t>
      </w:r>
    </w:p>
    <w:p w14:paraId="3F919021" w14:textId="77777777" w:rsidR="00004AC4" w:rsidRPr="00800D1B" w:rsidRDefault="00004AC4" w:rsidP="00004AC4">
      <w:pPr>
        <w:pBdr>
          <w:top w:val="single" w:sz="4" w:space="1" w:color="auto"/>
          <w:left w:val="single" w:sz="4" w:space="4" w:color="auto"/>
          <w:bottom w:val="single" w:sz="4" w:space="15" w:color="auto"/>
          <w:right w:val="single" w:sz="4" w:space="4" w:color="auto"/>
        </w:pBdr>
        <w:spacing w:before="100"/>
        <w:ind w:left="101" w:right="115"/>
        <w:rPr>
          <w:color w:val="000000"/>
          <w:lang w:val="sv-SE"/>
        </w:rPr>
      </w:pPr>
      <w:r w:rsidRPr="00800D1B">
        <w:rPr>
          <w:color w:val="000000"/>
          <w:lang w:val="sv-SE"/>
        </w:rPr>
        <w:t>ÖNs natur utgör ofta reseanledningar för både nationella och internationella besökare. Genom samverkan mellan processer och intressenter som är centrala för att en plats ska upplevas som attraktiv och som bygger på platsens historia, geografi, natur och kultur kan hållbar naturturism samt besöksmål utvecklas och tillgängliggöras. Detta gynnar besöksnäringen såväl lokalt som nationellt. Utvecklingsområden som kopplas ihop är exempelvis destinationsdesign, företagsetableringar och kultur samt fritid. För att åstadkomma detta länkas intressenter och processer ihop i olika samhällssektorer, i olika branscher och inom olika målgrupper, såsom besökare, företagare och investerare.</w:t>
      </w:r>
    </w:p>
    <w:p w14:paraId="4E53081F" w14:textId="77777777" w:rsidR="00004AC4" w:rsidRPr="00800D1B" w:rsidRDefault="00004AC4" w:rsidP="00004AC4">
      <w:pPr>
        <w:pBdr>
          <w:top w:val="single" w:sz="4" w:space="1" w:color="auto"/>
          <w:left w:val="single" w:sz="4" w:space="4" w:color="auto"/>
          <w:bottom w:val="single" w:sz="4" w:space="15" w:color="auto"/>
          <w:right w:val="single" w:sz="4" w:space="4" w:color="auto"/>
        </w:pBdr>
        <w:spacing w:before="100"/>
        <w:ind w:left="101" w:right="115"/>
        <w:rPr>
          <w:color w:val="000000"/>
          <w:lang w:val="sv-SE"/>
        </w:rPr>
      </w:pPr>
      <w:r w:rsidRPr="00800D1B">
        <w:rPr>
          <w:color w:val="000000"/>
          <w:lang w:val="sv-SE"/>
        </w:rPr>
        <w:t xml:space="preserve">Ramprojekt där företagsstöd tillämpas kommer att användas i insatser som riktar sig mot investeringar i enskilda företag. Detta leder till efterfrågestyrda investeringar, användning av godkända stödformer och direkt medverkan från företagen. </w:t>
      </w:r>
    </w:p>
    <w:p w14:paraId="626B67B3" w14:textId="77777777" w:rsidR="00004AC4" w:rsidRPr="00800D1B" w:rsidRDefault="00004AC4" w:rsidP="00004AC4">
      <w:pPr>
        <w:pBdr>
          <w:top w:val="single" w:sz="4" w:space="1" w:color="auto"/>
          <w:left w:val="single" w:sz="4" w:space="4" w:color="auto"/>
          <w:bottom w:val="single" w:sz="4" w:space="15" w:color="auto"/>
          <w:right w:val="single" w:sz="4" w:space="4" w:color="auto"/>
        </w:pBdr>
        <w:spacing w:before="100"/>
        <w:ind w:left="101" w:right="115"/>
        <w:rPr>
          <w:color w:val="000000"/>
          <w:lang w:val="sv-SE"/>
        </w:rPr>
      </w:pPr>
      <w:r w:rsidRPr="00800D1B">
        <w:rPr>
          <w:color w:val="000000"/>
          <w:lang w:val="sv-SE"/>
        </w:rPr>
        <w:t>I detta område är avsikten att bidrag och finansieringsinstrument ska användas då det av erfarenhet är kostnadseffektivt för de insatser som avses genomföras.</w:t>
      </w:r>
    </w:p>
    <w:p w14:paraId="4D762115" w14:textId="77777777" w:rsidR="00004AC4" w:rsidRPr="00800D1B" w:rsidRDefault="00004AC4" w:rsidP="00004AC4">
      <w:pPr>
        <w:pBdr>
          <w:top w:val="single" w:sz="4" w:space="1" w:color="auto"/>
          <w:left w:val="single" w:sz="4" w:space="4" w:color="auto"/>
          <w:bottom w:val="single" w:sz="4" w:space="15" w:color="auto"/>
          <w:right w:val="single" w:sz="4" w:space="4" w:color="auto"/>
        </w:pBdr>
        <w:spacing w:before="100"/>
        <w:ind w:left="101" w:right="115"/>
        <w:rPr>
          <w:color w:val="000000"/>
          <w:lang w:val="sv-SE"/>
        </w:rPr>
      </w:pPr>
      <w:r w:rsidRPr="00800D1B">
        <w:rPr>
          <w:color w:val="000000"/>
          <w:lang w:val="sv-SE"/>
        </w:rPr>
        <w:t>Exempel på konkreta åtgärder:</w:t>
      </w:r>
    </w:p>
    <w:p w14:paraId="47E0016A" w14:textId="77777777" w:rsidR="00004AC4" w:rsidRPr="00800D1B" w:rsidRDefault="00004AC4">
      <w:pPr>
        <w:pStyle w:val="Liststycke"/>
        <w:numPr>
          <w:ilvl w:val="0"/>
          <w:numId w:val="50"/>
        </w:numPr>
        <w:pBdr>
          <w:top w:val="single" w:sz="4" w:space="1" w:color="auto"/>
          <w:left w:val="single" w:sz="4" w:space="4" w:color="auto"/>
          <w:bottom w:val="single" w:sz="4" w:space="15" w:color="auto"/>
          <w:right w:val="single" w:sz="4" w:space="4" w:color="auto"/>
        </w:pBdr>
        <w:spacing w:before="100"/>
        <w:ind w:left="251" w:right="115" w:hanging="150"/>
        <w:rPr>
          <w:color w:val="000000"/>
          <w:lang w:val="sv-SE"/>
        </w:rPr>
      </w:pPr>
      <w:r w:rsidRPr="00800D1B">
        <w:rPr>
          <w:color w:val="000000"/>
          <w:lang w:val="sv-SE"/>
        </w:rPr>
        <w:t>Förstudier</w:t>
      </w:r>
    </w:p>
    <w:p w14:paraId="77A310BA" w14:textId="77777777" w:rsidR="00004AC4" w:rsidRPr="00800D1B" w:rsidRDefault="00004AC4">
      <w:pPr>
        <w:pStyle w:val="Liststycke"/>
        <w:numPr>
          <w:ilvl w:val="0"/>
          <w:numId w:val="50"/>
        </w:numPr>
        <w:pBdr>
          <w:top w:val="single" w:sz="4" w:space="1" w:color="auto"/>
          <w:left w:val="single" w:sz="4" w:space="4" w:color="auto"/>
          <w:bottom w:val="single" w:sz="4" w:space="15" w:color="auto"/>
          <w:right w:val="single" w:sz="4" w:space="4" w:color="auto"/>
        </w:pBdr>
        <w:spacing w:before="100"/>
        <w:ind w:left="251" w:right="115" w:hanging="150"/>
        <w:rPr>
          <w:color w:val="000000"/>
          <w:lang w:val="sv-SE"/>
        </w:rPr>
      </w:pPr>
      <w:r w:rsidRPr="00800D1B">
        <w:rPr>
          <w:color w:val="000000"/>
          <w:lang w:val="sv-SE"/>
        </w:rPr>
        <w:t>Insatser som stärker entreprenörskap och företagande utifrån den samiska kulturen och stimulerar näringslivsutveckling i det samiska samhället.</w:t>
      </w:r>
    </w:p>
    <w:p w14:paraId="45C5ABE0" w14:textId="77777777" w:rsidR="00004AC4" w:rsidRPr="00800D1B" w:rsidRDefault="00004AC4">
      <w:pPr>
        <w:pStyle w:val="Liststycke"/>
        <w:numPr>
          <w:ilvl w:val="0"/>
          <w:numId w:val="50"/>
        </w:numPr>
        <w:pBdr>
          <w:top w:val="single" w:sz="4" w:space="1" w:color="auto"/>
          <w:left w:val="single" w:sz="4" w:space="4" w:color="auto"/>
          <w:bottom w:val="single" w:sz="4" w:space="15" w:color="auto"/>
          <w:right w:val="single" w:sz="4" w:space="4" w:color="auto"/>
        </w:pBdr>
        <w:spacing w:before="100"/>
        <w:ind w:left="251" w:right="115" w:hanging="150"/>
        <w:rPr>
          <w:color w:val="000000"/>
          <w:lang w:val="sv-SE"/>
        </w:rPr>
      </w:pPr>
      <w:r w:rsidRPr="00800D1B">
        <w:rPr>
          <w:color w:val="000000"/>
          <w:lang w:val="sv-SE"/>
        </w:rPr>
        <w:t>Att utveckla regionala och lokala inkubatorer där behov och förutsättningar finns.</w:t>
      </w:r>
    </w:p>
    <w:p w14:paraId="4B5F9767" w14:textId="77777777" w:rsidR="00004AC4" w:rsidRPr="00800D1B" w:rsidRDefault="00004AC4">
      <w:pPr>
        <w:pStyle w:val="Liststycke"/>
        <w:numPr>
          <w:ilvl w:val="0"/>
          <w:numId w:val="50"/>
        </w:numPr>
        <w:pBdr>
          <w:top w:val="single" w:sz="4" w:space="1" w:color="auto"/>
          <w:left w:val="single" w:sz="4" w:space="4" w:color="auto"/>
          <w:bottom w:val="single" w:sz="4" w:space="15" w:color="auto"/>
          <w:right w:val="single" w:sz="4" w:space="4" w:color="auto"/>
        </w:pBdr>
        <w:spacing w:before="100"/>
        <w:ind w:left="251" w:right="115" w:hanging="150"/>
        <w:rPr>
          <w:color w:val="000000"/>
          <w:lang w:val="sv-SE"/>
        </w:rPr>
      </w:pPr>
      <w:r w:rsidRPr="00800D1B">
        <w:rPr>
          <w:color w:val="000000"/>
          <w:lang w:val="sv-SE"/>
        </w:rPr>
        <w:t>Att stärka och utveckla företagande baserat på hållbara, nya och utvecklade produkter från utpekade smarta specialiseringsområden.</w:t>
      </w:r>
    </w:p>
    <w:p w14:paraId="2D401AE4" w14:textId="77777777" w:rsidR="00004AC4" w:rsidRPr="00800D1B" w:rsidRDefault="00004AC4">
      <w:pPr>
        <w:pStyle w:val="Liststycke"/>
        <w:numPr>
          <w:ilvl w:val="0"/>
          <w:numId w:val="50"/>
        </w:numPr>
        <w:pBdr>
          <w:top w:val="single" w:sz="4" w:space="1" w:color="auto"/>
          <w:left w:val="single" w:sz="4" w:space="4" w:color="auto"/>
          <w:bottom w:val="single" w:sz="4" w:space="15" w:color="auto"/>
          <w:right w:val="single" w:sz="4" w:space="4" w:color="auto"/>
        </w:pBdr>
        <w:spacing w:before="100"/>
        <w:ind w:left="251" w:right="115" w:hanging="150"/>
        <w:rPr>
          <w:color w:val="000000"/>
          <w:lang w:val="sv-SE"/>
        </w:rPr>
      </w:pPr>
      <w:r w:rsidRPr="00800D1B">
        <w:rPr>
          <w:color w:val="000000"/>
          <w:lang w:val="sv-SE"/>
        </w:rPr>
        <w:t>Bidra till att skapa innovativa mötesplatser, kluster och klusterallianser vilket möjliggör ett tvärsektoriellt arbete där olika kompetenser och branscher främjas.</w:t>
      </w:r>
    </w:p>
    <w:p w14:paraId="0F5479D1" w14:textId="77777777" w:rsidR="00004AC4" w:rsidRPr="00800D1B" w:rsidRDefault="00004AC4">
      <w:pPr>
        <w:pStyle w:val="Liststycke"/>
        <w:numPr>
          <w:ilvl w:val="0"/>
          <w:numId w:val="50"/>
        </w:numPr>
        <w:pBdr>
          <w:top w:val="single" w:sz="4" w:space="1" w:color="auto"/>
          <w:left w:val="single" w:sz="4" w:space="4" w:color="auto"/>
          <w:bottom w:val="single" w:sz="4" w:space="15" w:color="auto"/>
          <w:right w:val="single" w:sz="4" w:space="4" w:color="auto"/>
        </w:pBdr>
        <w:spacing w:before="100"/>
        <w:ind w:left="251" w:right="115" w:hanging="150"/>
        <w:rPr>
          <w:color w:val="000000"/>
          <w:lang w:val="sv-SE"/>
        </w:rPr>
      </w:pPr>
      <w:r w:rsidRPr="00800D1B">
        <w:rPr>
          <w:color w:val="000000"/>
          <w:lang w:val="sv-SE"/>
        </w:rPr>
        <w:t>Insatser kopplade till det regionala företagsstödet, med syfte att stimulera företagare i hela regionen till nyetablering, expansion och innovation.</w:t>
      </w:r>
    </w:p>
    <w:p w14:paraId="36D20A5D" w14:textId="77777777" w:rsidR="00004AC4" w:rsidRPr="00800D1B" w:rsidRDefault="00004AC4">
      <w:pPr>
        <w:pStyle w:val="Liststycke"/>
        <w:numPr>
          <w:ilvl w:val="0"/>
          <w:numId w:val="50"/>
        </w:numPr>
        <w:pBdr>
          <w:top w:val="single" w:sz="4" w:space="1" w:color="auto"/>
          <w:left w:val="single" w:sz="4" w:space="4" w:color="auto"/>
          <w:bottom w:val="single" w:sz="4" w:space="15" w:color="auto"/>
          <w:right w:val="single" w:sz="4" w:space="4" w:color="auto"/>
        </w:pBdr>
        <w:spacing w:before="100"/>
        <w:ind w:left="251" w:right="115" w:hanging="150"/>
        <w:rPr>
          <w:color w:val="000000"/>
          <w:lang w:val="sv-SE"/>
        </w:rPr>
      </w:pPr>
      <w:r w:rsidRPr="00800D1B">
        <w:rPr>
          <w:color w:val="000000"/>
          <w:lang w:val="sv-SE"/>
        </w:rPr>
        <w:t>Att stimulera och stärka mikro, små och medelstora företags vilja och förmåga att bredda sin verksamhet till nya internationella marknader.</w:t>
      </w:r>
    </w:p>
    <w:p w14:paraId="32E4578B" w14:textId="77777777" w:rsidR="00004AC4" w:rsidRPr="00800D1B" w:rsidRDefault="00004AC4">
      <w:pPr>
        <w:pStyle w:val="Liststycke"/>
        <w:numPr>
          <w:ilvl w:val="0"/>
          <w:numId w:val="50"/>
        </w:numPr>
        <w:pBdr>
          <w:top w:val="single" w:sz="4" w:space="1" w:color="auto"/>
          <w:left w:val="single" w:sz="4" w:space="4" w:color="auto"/>
          <w:bottom w:val="single" w:sz="4" w:space="15" w:color="auto"/>
          <w:right w:val="single" w:sz="4" w:space="4" w:color="auto"/>
        </w:pBdr>
        <w:spacing w:before="100"/>
        <w:ind w:left="251" w:right="115" w:hanging="150"/>
        <w:rPr>
          <w:color w:val="000000"/>
          <w:lang w:val="sv-SE"/>
        </w:rPr>
      </w:pPr>
      <w:r w:rsidRPr="00800D1B">
        <w:rPr>
          <w:color w:val="000000"/>
          <w:lang w:val="sv-SE"/>
        </w:rPr>
        <w:t>Att utveckla företags förmåga att attrahera riskkapital och riskvilligt kapital, för att överbrygga glapp genom regionala riskkapitalfonder eller andra insatser med offentliga medel.</w:t>
      </w:r>
    </w:p>
    <w:p w14:paraId="7CFF4D74" w14:textId="77777777" w:rsidR="00004AC4" w:rsidRPr="00800D1B" w:rsidRDefault="00004AC4" w:rsidP="00004AC4">
      <w:pPr>
        <w:pBdr>
          <w:top w:val="single" w:sz="4" w:space="1" w:color="auto"/>
          <w:left w:val="single" w:sz="4" w:space="4" w:color="auto"/>
          <w:bottom w:val="single" w:sz="4" w:space="15" w:color="auto"/>
          <w:right w:val="single" w:sz="4" w:space="4" w:color="auto"/>
        </w:pBdr>
        <w:spacing w:before="100"/>
        <w:ind w:left="101" w:right="115"/>
        <w:rPr>
          <w:color w:val="000000"/>
          <w:lang w:val="sv-SE"/>
        </w:rPr>
      </w:pPr>
      <w:r w:rsidRPr="00800D1B">
        <w:rPr>
          <w:color w:val="000000"/>
          <w:u w:val="single"/>
          <w:lang w:val="sv-SE"/>
        </w:rPr>
        <w:t>Förenlighet med principen om att inte orsaka betydande skada (art. 9.4 i förordningen om gemensamma bestämmelser</w:t>
      </w:r>
      <w:r w:rsidRPr="00800D1B">
        <w:rPr>
          <w:color w:val="000000"/>
          <w:lang w:val="sv-SE"/>
        </w:rPr>
        <w:t>)</w:t>
      </w:r>
    </w:p>
    <w:p w14:paraId="694B52CD" w14:textId="77777777" w:rsidR="00004AC4" w:rsidRPr="00800D1B" w:rsidRDefault="00004AC4" w:rsidP="008B1432">
      <w:pPr>
        <w:pBdr>
          <w:top w:val="single" w:sz="4" w:space="1" w:color="auto"/>
          <w:left w:val="single" w:sz="4" w:space="4" w:color="auto"/>
          <w:bottom w:val="single" w:sz="4" w:space="15" w:color="auto"/>
          <w:right w:val="single" w:sz="4" w:space="4" w:color="auto"/>
        </w:pBdr>
        <w:spacing w:before="100"/>
        <w:ind w:left="101" w:right="115"/>
        <w:rPr>
          <w:color w:val="000000"/>
          <w:lang w:val="sv-SE"/>
        </w:rPr>
      </w:pPr>
      <w:r w:rsidRPr="00800D1B">
        <w:rPr>
          <w:color w:val="000000"/>
          <w:lang w:val="sv-SE"/>
        </w:rPr>
        <w:t>Insatserna har bedömts vara förenliga med principen om att inte orsaka betydande skada eftersom de har bedömts i enlighet med kommissionens tekniska vägledning om tillämpningen av principen om att inte orsaka betydande skada inom ramen för förordningen om faciliteten för återhämtning och resiliens.</w:t>
      </w:r>
    </w:p>
    <w:p w14:paraId="2D065B61" w14:textId="5F16DD58" w:rsidR="00A77B3E" w:rsidRPr="00800D1B" w:rsidRDefault="00623E14" w:rsidP="00A71A06">
      <w:pPr>
        <w:spacing w:before="360"/>
        <w:rPr>
          <w:lang w:val="sv-SE"/>
        </w:rPr>
      </w:pPr>
      <w:bookmarkStart w:id="61" w:name="_Toc256000302"/>
      <w:r w:rsidRPr="00800D1B">
        <w:rPr>
          <w:lang w:val="sv-SE"/>
        </w:rPr>
        <w:t>Huvudsakliga målgrupper – artikel 22.3 d iii i förordningen om gemensamma bestämmelser</w:t>
      </w:r>
      <w:bookmarkEnd w:id="61"/>
    </w:p>
    <w:p w14:paraId="3D81CDFA" w14:textId="77777777" w:rsidR="00004AC4" w:rsidRPr="00800D1B" w:rsidRDefault="00004AC4" w:rsidP="00B124F8">
      <w:pPr>
        <w:pBdr>
          <w:top w:val="single" w:sz="4" w:space="5" w:color="auto"/>
          <w:left w:val="single" w:sz="4" w:space="4" w:color="auto"/>
          <w:bottom w:val="single" w:sz="4" w:space="22" w:color="auto"/>
          <w:right w:val="single" w:sz="4" w:space="4" w:color="auto"/>
        </w:pBdr>
        <w:spacing w:before="100"/>
        <w:ind w:left="101" w:right="115"/>
        <w:rPr>
          <w:color w:val="000000"/>
          <w:lang w:val="sv-SE"/>
        </w:rPr>
      </w:pPr>
      <w:r w:rsidRPr="00800D1B">
        <w:rPr>
          <w:color w:val="000000"/>
          <w:lang w:val="sv-SE"/>
        </w:rPr>
        <w:t>De huvudsakliga målgrupperna är offentliga aktörer, universitet och högskolor, forskningsinstitut och övriga forsknings- och utbildningsaktörer, små och medelstora företag, ekonomiska föreningar och civilsamhället. Särskilt fokus bör läggas på att säkerställa att insatserna bidrar till att nå och inkludera underrepresenterade grupper samt att nå en bredd av organisationer och företag. Vid utformandet av insatser och stöd är det viktigt att använda ett jämställdhets- och mångfaldsperspektiv.</w:t>
      </w:r>
    </w:p>
    <w:p w14:paraId="2D065B68" w14:textId="249F5EA6" w:rsidR="00A77B3E" w:rsidRPr="00800D1B" w:rsidRDefault="00623E14" w:rsidP="00A71A06">
      <w:pPr>
        <w:spacing w:before="360" w:after="100"/>
        <w:rPr>
          <w:lang w:val="sv-SE"/>
        </w:rPr>
      </w:pPr>
      <w:bookmarkStart w:id="62" w:name="_Toc256000303"/>
      <w:r w:rsidRPr="00800D1B">
        <w:rPr>
          <w:lang w:val="sv-SE"/>
        </w:rPr>
        <w:t>Åtgärder för säkerställande av jämställdhet, inkludering och icke-diskriminering – artikel 22.3 d iv i förordningen om gemensamma bestämmelser och artikel 6 i ESF+-förordningen</w:t>
      </w:r>
      <w:bookmarkEnd w:id="62"/>
    </w:p>
    <w:p w14:paraId="539BF495" w14:textId="77777777" w:rsidR="00004AC4" w:rsidRPr="00800D1B" w:rsidRDefault="00004AC4" w:rsidP="008B1432">
      <w:pPr>
        <w:pBdr>
          <w:top w:val="single" w:sz="4" w:space="1" w:color="auto"/>
          <w:left w:val="single" w:sz="4" w:space="4" w:color="auto"/>
          <w:bottom w:val="single" w:sz="4" w:space="22" w:color="auto"/>
          <w:right w:val="single" w:sz="4" w:space="4" w:color="auto"/>
        </w:pBdr>
        <w:spacing w:before="100"/>
        <w:ind w:left="101" w:right="115"/>
        <w:rPr>
          <w:color w:val="000000"/>
          <w:lang w:val="sv-SE"/>
        </w:rPr>
      </w:pPr>
      <w:r w:rsidRPr="00800D1B">
        <w:rPr>
          <w:color w:val="000000"/>
          <w:lang w:val="sv-SE"/>
        </w:rPr>
        <w:t>Jämställdhet, icke- diskriminering och tillgänglighet ska genomsyra insatserna i programmet, det vill säga, jämställdhetsintegrering är ett krav. Ingen får diskrimineras på grund av kön, könsöverskridande identitet eller uttryck, etnisk tillhörighet, religion eller annan trosuppfattning, funktionsnedsättning, sexuell läggning eller ålder. Projekten ska innehålla särskilda insatser för jämställdhet även om huvudsyftet är ett annat. Det ska tydligt beskrivas förväntade resultat kopplat till jämställdhet. Vid ansökningsförfarandet genomförs en jämställdhetsanalys som synkroniseras med övriga hållbarhetsaspekter att ta hänsyn till. Analysen ska visa hur framtagandet av insatser påverkar jämställdheten och det ska finnas minst ett mål som adresserar detsamma. Detta betyder att samtliga insatser i detta särskilda mål minst möter kraven för kod 02 i tabell 8.</w:t>
      </w:r>
    </w:p>
    <w:p w14:paraId="2102CBAD" w14:textId="77777777" w:rsidR="00004AC4" w:rsidRPr="00800D1B" w:rsidRDefault="00004AC4" w:rsidP="008B1432">
      <w:pPr>
        <w:pBdr>
          <w:top w:val="single" w:sz="4" w:space="1" w:color="auto"/>
          <w:left w:val="single" w:sz="4" w:space="4" w:color="auto"/>
          <w:bottom w:val="single" w:sz="4" w:space="22" w:color="auto"/>
          <w:right w:val="single" w:sz="4" w:space="4" w:color="auto"/>
        </w:pBdr>
        <w:spacing w:before="100"/>
        <w:ind w:left="101" w:right="115"/>
        <w:rPr>
          <w:color w:val="000000"/>
          <w:lang w:val="sv-SE"/>
        </w:rPr>
      </w:pPr>
      <w:r w:rsidRPr="00800D1B">
        <w:rPr>
          <w:color w:val="000000"/>
          <w:lang w:val="sv-SE"/>
        </w:rPr>
        <w:t>Förutom att alla insatser inom detta särskilda mål ska möta kod 02 ser vi även att flera projekt ska innehålla särskilda insatser för jämställdhet. Särskilda insatser innebär att projektets huvudsakliga mål är att förbättra jämställdhet mellan kvinnor och män. Analysen ska därmed visa hur utmaningar och problem inom jämställdhetsområdet ligger till grund varför projektet behövs och målen tar tydligt fasta på en förflyttning mot ökad jämställdhet. Projekten bidrar därmed direkt till det globala målet 5.</w:t>
      </w:r>
    </w:p>
    <w:p w14:paraId="034C73A2" w14:textId="77777777" w:rsidR="00004AC4" w:rsidRPr="00800D1B" w:rsidRDefault="00004AC4" w:rsidP="008B1432">
      <w:pPr>
        <w:pBdr>
          <w:top w:val="single" w:sz="4" w:space="1" w:color="auto"/>
          <w:left w:val="single" w:sz="4" w:space="4" w:color="auto"/>
          <w:bottom w:val="single" w:sz="4" w:space="22" w:color="auto"/>
          <w:right w:val="single" w:sz="4" w:space="4" w:color="auto"/>
        </w:pBdr>
        <w:spacing w:before="100"/>
        <w:ind w:left="101" w:right="115"/>
        <w:rPr>
          <w:color w:val="000000"/>
          <w:lang w:val="sv-SE"/>
        </w:rPr>
      </w:pPr>
      <w:r w:rsidRPr="00800D1B">
        <w:rPr>
          <w:color w:val="000000"/>
          <w:lang w:val="sv-SE"/>
        </w:rPr>
        <w:t>Samtliga projekt ska vid rapportering påvisa hur resultatet bidragit till att framsteg gjorts gentemot en ökad jämställdhet.</w:t>
      </w:r>
    </w:p>
    <w:p w14:paraId="2D065B71" w14:textId="520F9BEC" w:rsidR="00A77B3E" w:rsidRPr="00800D1B" w:rsidRDefault="00623E14" w:rsidP="002F4614">
      <w:pPr>
        <w:spacing w:before="360" w:after="100"/>
        <w:rPr>
          <w:lang w:val="sv-SE"/>
        </w:rPr>
      </w:pPr>
      <w:bookmarkStart w:id="63" w:name="_Toc256000304"/>
      <w:r w:rsidRPr="00800D1B">
        <w:rPr>
          <w:lang w:val="sv-SE"/>
        </w:rPr>
        <w:t>Angivande av de specifika målterritorierna, inbegripet planerad användning av territoriella verktyg – artikel 22.3 d v i förordningen om gemensamma bestämmelser</w:t>
      </w:r>
      <w:bookmarkEnd w:id="63"/>
    </w:p>
    <w:p w14:paraId="3BDDA0E0" w14:textId="676EABA4" w:rsidR="0020257C" w:rsidRPr="00800D1B" w:rsidRDefault="0020257C" w:rsidP="002F4614">
      <w:pPr>
        <w:pBdr>
          <w:top w:val="single" w:sz="4" w:space="10" w:color="auto"/>
          <w:left w:val="single" w:sz="4" w:space="4" w:color="auto"/>
          <w:bottom w:val="single" w:sz="4" w:space="20" w:color="auto"/>
          <w:right w:val="single" w:sz="4" w:space="4" w:color="auto"/>
          <w:between w:val="single" w:sz="4" w:space="10" w:color="auto"/>
          <w:bar w:val="single" w:sz="4" w:color="auto"/>
        </w:pBdr>
        <w:ind w:left="90" w:right="62"/>
        <w:rPr>
          <w:lang w:val="sv-SE"/>
        </w:rPr>
      </w:pPr>
      <w:r w:rsidRPr="00800D1B">
        <w:rPr>
          <w:lang w:val="sv-SE"/>
        </w:rPr>
        <w:t>Nej</w:t>
      </w:r>
    </w:p>
    <w:p w14:paraId="2D065B78" w14:textId="55194B1A" w:rsidR="00A77B3E" w:rsidRPr="00800D1B" w:rsidRDefault="00623E14" w:rsidP="003C32DB">
      <w:pPr>
        <w:spacing w:before="1440" w:after="100"/>
        <w:rPr>
          <w:lang w:val="sv-SE"/>
        </w:rPr>
      </w:pPr>
      <w:bookmarkStart w:id="64" w:name="_Toc256000305"/>
      <w:r w:rsidRPr="00800D1B">
        <w:rPr>
          <w:lang w:val="sv-SE"/>
        </w:rPr>
        <w:t>Interregionala, gränsregionala och transnationella åtgärder – artikel 22.3 d vi i förordningen om gemensamma bestämmelser</w:t>
      </w:r>
      <w:bookmarkEnd w:id="64"/>
    </w:p>
    <w:p w14:paraId="638DBFD6" w14:textId="77777777" w:rsidR="00004AC4" w:rsidRPr="00800D1B" w:rsidRDefault="00004AC4" w:rsidP="004F57A7">
      <w:pPr>
        <w:pBdr>
          <w:top w:val="single" w:sz="4" w:space="10" w:color="auto"/>
          <w:left w:val="single" w:sz="4" w:space="4" w:color="auto"/>
          <w:bottom w:val="single" w:sz="4" w:space="22" w:color="auto"/>
          <w:right w:val="single" w:sz="4" w:space="4" w:color="auto"/>
        </w:pBdr>
        <w:spacing w:before="100"/>
        <w:ind w:left="101" w:right="115"/>
        <w:rPr>
          <w:color w:val="000000"/>
          <w:lang w:val="sv-SE"/>
        </w:rPr>
      </w:pPr>
      <w:r w:rsidRPr="00800D1B">
        <w:rPr>
          <w:color w:val="000000"/>
          <w:lang w:val="sv-SE"/>
        </w:rPr>
        <w:t>En intervention får helt eller delvis genomföras i annat land, även utanför EU, under förutsättning att insatsen bidrar till det specifika målet. Samarbete med aktörer i ett eller flera andra länder kan vara integrerat i ett projekt för att stärka arbetet mot projektmålet. För att stärka arbetet mot projektmålet kan samarbete med aktörer i ett eller flera andra länder också läggas till ett redan pågående projekt i form av ett påbyggnadsprojekt. Båda alternativen kan användas för insatser i linje med exempelvis smart specialiseringsstrategier, Agenda 2030 eller EU:s strategi för Östersjöregionen. </w:t>
      </w:r>
    </w:p>
    <w:p w14:paraId="5005723F" w14:textId="77777777" w:rsidR="00004AC4" w:rsidRPr="00800D1B" w:rsidRDefault="00004AC4" w:rsidP="004F57A7">
      <w:pPr>
        <w:pBdr>
          <w:top w:val="single" w:sz="4" w:space="10" w:color="auto"/>
          <w:left w:val="single" w:sz="4" w:space="4" w:color="auto"/>
          <w:bottom w:val="single" w:sz="4" w:space="22" w:color="auto"/>
          <w:right w:val="single" w:sz="4" w:space="4" w:color="auto"/>
        </w:pBdr>
        <w:spacing w:before="100"/>
        <w:ind w:left="101" w:right="115"/>
        <w:rPr>
          <w:color w:val="000000"/>
          <w:lang w:val="sv-SE"/>
        </w:rPr>
      </w:pPr>
      <w:r w:rsidRPr="00800D1B">
        <w:rPr>
          <w:color w:val="000000"/>
          <w:lang w:val="sv-SE"/>
        </w:rPr>
        <w:t xml:space="preserve">EU:s strategi för Östersjöregionen ger en vägledning för valet av insatser och bidrar till att det regionala strukturfondsprogrammet kan användas på ett fokuserat sätt för att möta utmaningar i regionen. De insatser som kommer att stödjas ska ha ett mervärde för programområdet. </w:t>
      </w:r>
    </w:p>
    <w:p w14:paraId="7BFCBE3D" w14:textId="77777777" w:rsidR="00004AC4" w:rsidRPr="00800D1B" w:rsidRDefault="00004AC4" w:rsidP="004F57A7">
      <w:pPr>
        <w:pBdr>
          <w:top w:val="single" w:sz="4" w:space="10" w:color="auto"/>
          <w:left w:val="single" w:sz="4" w:space="4" w:color="auto"/>
          <w:bottom w:val="single" w:sz="4" w:space="22" w:color="auto"/>
          <w:right w:val="single" w:sz="4" w:space="4" w:color="auto"/>
        </w:pBdr>
        <w:spacing w:before="100"/>
        <w:ind w:left="101" w:right="115"/>
        <w:rPr>
          <w:color w:val="000000"/>
          <w:lang w:val="sv-SE"/>
        </w:rPr>
      </w:pPr>
      <w:r w:rsidRPr="00800D1B">
        <w:rPr>
          <w:color w:val="000000"/>
          <w:lang w:val="sv-SE"/>
        </w:rPr>
        <w:t xml:space="preserve">Nätverket Northern Sparsely Populated Areas (NSPA) består av de 13 nordligaste regionerna i norra Europa. De speciella förutsättningarna för NSPA området innebär att nätverket arbetar tillsammans med en mängd olika frågor som är gemensamma, ett exempel är Arktiska investeringsplattformen som handlade om att utreda möjligheten för ett gränsöverskridande samarbete i fråga om finansieringar som främjar investeringar i företag i Europas nordligaste områden. De regioner som var med i arbetet var finska Lappland, Uleåborgsregionen, Kajanaland, Pohjois-Karjala, Norra Savolax, Södra Savolax, Västerbotten, Norrbotten, Nordland, Troms och Finnmark samt Uleåborgs stad. </w:t>
      </w:r>
    </w:p>
    <w:p w14:paraId="2A1B24D2" w14:textId="77777777" w:rsidR="00004AC4" w:rsidRPr="00800D1B" w:rsidRDefault="00004AC4" w:rsidP="004F57A7">
      <w:pPr>
        <w:pBdr>
          <w:top w:val="single" w:sz="4" w:space="10" w:color="auto"/>
          <w:left w:val="single" w:sz="4" w:space="4" w:color="auto"/>
          <w:bottom w:val="single" w:sz="4" w:space="22" w:color="auto"/>
          <w:right w:val="single" w:sz="4" w:space="4" w:color="auto"/>
        </w:pBdr>
        <w:spacing w:before="100"/>
        <w:ind w:left="101" w:right="115"/>
        <w:rPr>
          <w:color w:val="000000"/>
          <w:lang w:val="sv-SE"/>
        </w:rPr>
      </w:pPr>
      <w:r w:rsidRPr="00800D1B">
        <w:rPr>
          <w:color w:val="000000"/>
          <w:lang w:val="sv-SE"/>
        </w:rPr>
        <w:t xml:space="preserve">Under kommande år avser regionen att vidmakthålla samma höga ambition att följa och även påverka näringslivsutvecklingen i ÖN samt även att upprätthålla den europeiska politiska dimensionen avseende exempelvis att ta en gemensam rymdstrategi, där vi tillsammans med våra aktörer kan utveckla en ny plattform i Europa kring rymdstrategi såväl regionalt som för Sverige och Europa som helhet. </w:t>
      </w:r>
    </w:p>
    <w:p w14:paraId="2D065B82" w14:textId="64A127D1" w:rsidR="00A77B3E" w:rsidRPr="00800D1B" w:rsidRDefault="00623E14" w:rsidP="003C32DB">
      <w:pPr>
        <w:spacing w:before="440"/>
        <w:rPr>
          <w:b/>
          <w:i/>
          <w:lang w:val="sv-SE"/>
        </w:rPr>
      </w:pPr>
      <w:bookmarkStart w:id="65" w:name="_Toc256000306"/>
      <w:r w:rsidRPr="00800D1B">
        <w:rPr>
          <w:lang w:val="sv-SE"/>
        </w:rPr>
        <w:t>Planerad användning av finansieringsinstrument – artikel 22.3 d vii i förordningen om gemensamma bestämmelser</w:t>
      </w:r>
      <w:bookmarkEnd w:id="65"/>
    </w:p>
    <w:p w14:paraId="2D065B83" w14:textId="77777777" w:rsidR="00A77B3E" w:rsidRPr="00800D1B" w:rsidRDefault="00A77B3E">
      <w:pPr>
        <w:spacing w:before="100"/>
        <w:rPr>
          <w:color w:val="000000"/>
          <w:sz w:val="0"/>
          <w:lang w:val="sv-SE"/>
        </w:rPr>
      </w:pPr>
    </w:p>
    <w:p w14:paraId="78D5A388" w14:textId="77777777" w:rsidR="000B0143" w:rsidRPr="00800D1B" w:rsidRDefault="000B0143" w:rsidP="004F57A7">
      <w:pPr>
        <w:pBdr>
          <w:top w:val="single" w:sz="4" w:space="10" w:color="auto"/>
          <w:left w:val="single" w:sz="4" w:space="4" w:color="auto"/>
          <w:bottom w:val="single" w:sz="4" w:space="22" w:color="auto"/>
          <w:right w:val="single" w:sz="4" w:space="0" w:color="auto"/>
        </w:pBdr>
        <w:ind w:left="101" w:right="-28"/>
        <w:rPr>
          <w:color w:val="000000"/>
          <w:lang w:val="sv-SE"/>
        </w:rPr>
      </w:pPr>
      <w:r w:rsidRPr="00800D1B">
        <w:rPr>
          <w:color w:val="000000"/>
          <w:lang w:val="sv-SE"/>
        </w:rPr>
        <w:t>Övre Norrland är en blandad kapitalförsörjningsmiljö med tillgång på kommersiell finansiering kring tätorter men med svagare finansiering i glesbygd. Marknadskompletterande insatser ska fokuseras till antingen A. specifika segment av SMF med högre riskprofil i täta miljöer, som är underfinansierade av marknaden och/eller till B. SMF i alla i täta och glesa miljöer. Kommersialisering av forskning och avancerad teknikutveckling i sådd och uppstartsfas utgör exempel på underfinansierade typ A. segment. Behov av proaktivitet mot marknaden, stöd till portföljföretag, samt finansiella behov hos SMF i tidiga faser, som vill växa, motiverar användningen av ägarkapital samt ägarkapitalsliknande instrument. Sådana instrument kan med fördel kompletteras av europeisk institutionell finansiering och bidragsinsatser för att stärka kvaliteten i företagens efterfrågan på finansiering, såsom finansiell kompetensutveckling av företag. Detta möter regionens prioritering av marknadskompletterande finansiering för tillväxt genom smart specialisering kommersialisering av innovation samt export.</w:t>
      </w:r>
    </w:p>
    <w:p w14:paraId="2D065B89" w14:textId="0C7F721C" w:rsidR="00A77B3E" w:rsidRPr="00800D1B" w:rsidRDefault="00623E14" w:rsidP="00B124F8">
      <w:pPr>
        <w:pStyle w:val="Rubrik6"/>
        <w:numPr>
          <w:ilvl w:val="4"/>
          <w:numId w:val="16"/>
        </w:numPr>
        <w:spacing w:before="720"/>
        <w:ind w:left="360"/>
      </w:pPr>
      <w:bookmarkStart w:id="66" w:name="_Toc256000307"/>
      <w:r w:rsidRPr="00800D1B">
        <w:t>Indikatorer</w:t>
      </w:r>
      <w:bookmarkEnd w:id="66"/>
    </w:p>
    <w:p w14:paraId="2D065B8A" w14:textId="77777777" w:rsidR="00A77B3E" w:rsidRPr="00800D1B" w:rsidRDefault="00A77B3E">
      <w:pPr>
        <w:spacing w:before="100"/>
        <w:rPr>
          <w:color w:val="000000"/>
          <w:sz w:val="0"/>
          <w:lang w:val="sv-SE"/>
        </w:rPr>
      </w:pPr>
    </w:p>
    <w:p w14:paraId="2D065B8B" w14:textId="77777777" w:rsidR="00A77B3E" w:rsidRPr="00800D1B" w:rsidRDefault="00623E14" w:rsidP="00A67879">
      <w:pPr>
        <w:spacing w:before="600"/>
        <w:rPr>
          <w:color w:val="000000"/>
          <w:sz w:val="0"/>
          <w:lang w:val="sv-SE"/>
        </w:rPr>
      </w:pPr>
      <w:r w:rsidRPr="00800D1B">
        <w:rPr>
          <w:color w:val="000000"/>
          <w:lang w:val="sv-SE"/>
        </w:rPr>
        <w:t>Referens: Artikel 22.3 d ii i förordningen om gemensamma bestämmelser och artikel 8 i Eruf-förordningen och förordningen om Sammanhållningsfonden</w:t>
      </w:r>
    </w:p>
    <w:p w14:paraId="2D065B8C" w14:textId="6F584F7D" w:rsidR="00A77B3E" w:rsidRPr="00800D1B" w:rsidRDefault="00623E14" w:rsidP="003D08B5">
      <w:pPr>
        <w:spacing w:before="100" w:after="100"/>
        <w:rPr>
          <w:lang w:val="sv-SE"/>
        </w:rPr>
      </w:pPr>
      <w:bookmarkStart w:id="67" w:name="_Toc256000308"/>
      <w:r w:rsidRPr="00800D1B">
        <w:rPr>
          <w:lang w:val="sv-SE"/>
        </w:rPr>
        <w:t>Tabell 2: Utfallsindikatorer</w:t>
      </w:r>
      <w:bookmarkEnd w:id="67"/>
    </w:p>
    <w:tbl>
      <w:tblPr>
        <w:tblStyle w:val="Tabellrutnt"/>
        <w:tblW w:w="5000" w:type="pct"/>
        <w:tblLook w:val="04A0" w:firstRow="1" w:lastRow="0" w:firstColumn="1" w:lastColumn="0" w:noHBand="0" w:noVBand="1"/>
        <w:tblDescription w:val="En tabell med nio kolumner: Prioritering; Specifikt mål; Fond; Regionkategori; ID; Indikator; Mätenhet; Delmål (2024); Mål (2029). Tabellen visar information om Utfallsindikatorer."/>
      </w:tblPr>
      <w:tblGrid>
        <w:gridCol w:w="1111"/>
        <w:gridCol w:w="1069"/>
        <w:gridCol w:w="601"/>
        <w:gridCol w:w="3306"/>
        <w:gridCol w:w="834"/>
        <w:gridCol w:w="4423"/>
        <w:gridCol w:w="1378"/>
        <w:gridCol w:w="1211"/>
        <w:gridCol w:w="1239"/>
      </w:tblGrid>
      <w:tr w:rsidR="003422DB" w:rsidRPr="00800D1B" w14:paraId="2D065B97" w14:textId="77777777" w:rsidTr="00E04517">
        <w:tc>
          <w:tcPr>
            <w:tcW w:w="0" w:type="auto"/>
          </w:tcPr>
          <w:p w14:paraId="2D065B8E" w14:textId="77777777" w:rsidR="00A77B3E" w:rsidRPr="00800D1B" w:rsidRDefault="00623E14" w:rsidP="00E04517">
            <w:pPr>
              <w:spacing w:before="100" w:after="100"/>
              <w:ind w:left="-72"/>
              <w:jc w:val="center"/>
              <w:rPr>
                <w:color w:val="000000"/>
                <w:sz w:val="20"/>
                <w:lang w:val="sv-SE"/>
              </w:rPr>
            </w:pPr>
            <w:r w:rsidRPr="00800D1B">
              <w:rPr>
                <w:color w:val="000000"/>
                <w:sz w:val="20"/>
                <w:lang w:val="sv-SE"/>
              </w:rPr>
              <w:t>Prioritering</w:t>
            </w:r>
          </w:p>
        </w:tc>
        <w:tc>
          <w:tcPr>
            <w:tcW w:w="0" w:type="auto"/>
          </w:tcPr>
          <w:p w14:paraId="2D065B8F" w14:textId="77777777" w:rsidR="00A77B3E" w:rsidRPr="00800D1B" w:rsidRDefault="00623E14" w:rsidP="00E04517">
            <w:pPr>
              <w:spacing w:before="100" w:after="100"/>
              <w:ind w:left="-72"/>
              <w:jc w:val="center"/>
              <w:rPr>
                <w:color w:val="000000"/>
                <w:sz w:val="20"/>
                <w:lang w:val="sv-SE"/>
              </w:rPr>
            </w:pPr>
            <w:r w:rsidRPr="00800D1B">
              <w:rPr>
                <w:color w:val="000000"/>
                <w:sz w:val="20"/>
                <w:lang w:val="sv-SE"/>
              </w:rPr>
              <w:t>Specifikt mål</w:t>
            </w:r>
          </w:p>
        </w:tc>
        <w:tc>
          <w:tcPr>
            <w:tcW w:w="0" w:type="auto"/>
          </w:tcPr>
          <w:p w14:paraId="2D065B90" w14:textId="77777777" w:rsidR="00A77B3E" w:rsidRPr="00800D1B" w:rsidRDefault="00623E14" w:rsidP="00E04517">
            <w:pPr>
              <w:spacing w:before="100" w:after="100"/>
              <w:ind w:left="-72"/>
              <w:jc w:val="center"/>
              <w:rPr>
                <w:color w:val="000000"/>
                <w:sz w:val="20"/>
                <w:lang w:val="sv-SE"/>
              </w:rPr>
            </w:pPr>
            <w:r w:rsidRPr="00800D1B">
              <w:rPr>
                <w:color w:val="000000"/>
                <w:sz w:val="20"/>
                <w:lang w:val="sv-SE"/>
              </w:rPr>
              <w:t>Fond</w:t>
            </w:r>
          </w:p>
        </w:tc>
        <w:tc>
          <w:tcPr>
            <w:tcW w:w="0" w:type="auto"/>
          </w:tcPr>
          <w:p w14:paraId="2D065B91" w14:textId="77777777" w:rsidR="00A77B3E" w:rsidRPr="00800D1B" w:rsidRDefault="00623E14" w:rsidP="00E04517">
            <w:pPr>
              <w:spacing w:before="100" w:after="100"/>
              <w:ind w:left="-72"/>
              <w:jc w:val="center"/>
              <w:rPr>
                <w:color w:val="000000"/>
                <w:sz w:val="20"/>
                <w:lang w:val="sv-SE"/>
              </w:rPr>
            </w:pPr>
            <w:r w:rsidRPr="00800D1B">
              <w:rPr>
                <w:color w:val="000000"/>
                <w:sz w:val="20"/>
                <w:lang w:val="sv-SE"/>
              </w:rPr>
              <w:t>Regionkategori</w:t>
            </w:r>
          </w:p>
        </w:tc>
        <w:tc>
          <w:tcPr>
            <w:tcW w:w="0" w:type="auto"/>
          </w:tcPr>
          <w:p w14:paraId="2D065B92" w14:textId="77777777" w:rsidR="00A77B3E" w:rsidRPr="00800D1B" w:rsidRDefault="00623E14" w:rsidP="00E04517">
            <w:pPr>
              <w:spacing w:before="100" w:after="100"/>
              <w:ind w:left="-72"/>
              <w:jc w:val="center"/>
              <w:rPr>
                <w:color w:val="000000"/>
                <w:sz w:val="20"/>
                <w:lang w:val="sv-SE"/>
              </w:rPr>
            </w:pPr>
            <w:r w:rsidRPr="00800D1B">
              <w:rPr>
                <w:color w:val="000000"/>
                <w:sz w:val="20"/>
                <w:lang w:val="sv-SE"/>
              </w:rPr>
              <w:t>ID</w:t>
            </w:r>
          </w:p>
        </w:tc>
        <w:tc>
          <w:tcPr>
            <w:tcW w:w="0" w:type="auto"/>
          </w:tcPr>
          <w:p w14:paraId="2D065B93" w14:textId="77777777" w:rsidR="00A77B3E" w:rsidRPr="00800D1B" w:rsidRDefault="00623E14" w:rsidP="00E04517">
            <w:pPr>
              <w:spacing w:before="100" w:after="100"/>
              <w:ind w:left="-72"/>
              <w:jc w:val="center"/>
              <w:rPr>
                <w:color w:val="000000"/>
                <w:sz w:val="20"/>
                <w:lang w:val="sv-SE"/>
              </w:rPr>
            </w:pPr>
            <w:r w:rsidRPr="00800D1B">
              <w:rPr>
                <w:color w:val="000000"/>
                <w:sz w:val="20"/>
                <w:lang w:val="sv-SE"/>
              </w:rPr>
              <w:t>Indikator</w:t>
            </w:r>
          </w:p>
        </w:tc>
        <w:tc>
          <w:tcPr>
            <w:tcW w:w="0" w:type="auto"/>
          </w:tcPr>
          <w:p w14:paraId="2D065B94" w14:textId="77777777" w:rsidR="00A77B3E" w:rsidRPr="00800D1B" w:rsidRDefault="00623E14" w:rsidP="00E04517">
            <w:pPr>
              <w:spacing w:before="100" w:after="100"/>
              <w:ind w:left="-72"/>
              <w:jc w:val="center"/>
              <w:rPr>
                <w:color w:val="000000"/>
                <w:sz w:val="20"/>
                <w:lang w:val="sv-SE"/>
              </w:rPr>
            </w:pPr>
            <w:r w:rsidRPr="00800D1B">
              <w:rPr>
                <w:color w:val="000000"/>
                <w:sz w:val="20"/>
                <w:lang w:val="sv-SE"/>
              </w:rPr>
              <w:t>Mätenhet</w:t>
            </w:r>
          </w:p>
        </w:tc>
        <w:tc>
          <w:tcPr>
            <w:tcW w:w="0" w:type="auto"/>
          </w:tcPr>
          <w:p w14:paraId="2D065B95" w14:textId="77777777" w:rsidR="00A77B3E" w:rsidRPr="00800D1B" w:rsidRDefault="00623E14" w:rsidP="00E04517">
            <w:pPr>
              <w:spacing w:before="100" w:after="100"/>
              <w:ind w:left="-72"/>
              <w:jc w:val="center"/>
              <w:rPr>
                <w:color w:val="000000"/>
                <w:sz w:val="20"/>
                <w:lang w:val="sv-SE"/>
              </w:rPr>
            </w:pPr>
            <w:r w:rsidRPr="00800D1B">
              <w:rPr>
                <w:color w:val="000000"/>
                <w:sz w:val="20"/>
                <w:lang w:val="sv-SE"/>
              </w:rPr>
              <w:t>Delmål (2024)</w:t>
            </w:r>
          </w:p>
        </w:tc>
        <w:tc>
          <w:tcPr>
            <w:tcW w:w="0" w:type="auto"/>
          </w:tcPr>
          <w:p w14:paraId="2D065B96" w14:textId="77777777" w:rsidR="00A77B3E" w:rsidRPr="00800D1B" w:rsidRDefault="00623E14" w:rsidP="00E04517">
            <w:pPr>
              <w:spacing w:before="100" w:after="100"/>
              <w:ind w:left="-72"/>
              <w:jc w:val="center"/>
              <w:rPr>
                <w:color w:val="000000"/>
                <w:sz w:val="20"/>
                <w:lang w:val="sv-SE"/>
              </w:rPr>
            </w:pPr>
            <w:r w:rsidRPr="00800D1B">
              <w:rPr>
                <w:color w:val="000000"/>
                <w:sz w:val="20"/>
                <w:lang w:val="sv-SE"/>
              </w:rPr>
              <w:t>Mål (2029)</w:t>
            </w:r>
          </w:p>
        </w:tc>
      </w:tr>
      <w:tr w:rsidR="003422DB" w:rsidRPr="00800D1B" w14:paraId="2D065BA1" w14:textId="77777777" w:rsidTr="00E04517">
        <w:tc>
          <w:tcPr>
            <w:tcW w:w="0" w:type="auto"/>
          </w:tcPr>
          <w:p w14:paraId="2D065B98" w14:textId="77777777" w:rsidR="00A77B3E" w:rsidRPr="00800D1B" w:rsidRDefault="00623E14" w:rsidP="00E04517">
            <w:pPr>
              <w:spacing w:before="100" w:after="100"/>
              <w:ind w:left="-72"/>
              <w:rPr>
                <w:color w:val="000000"/>
                <w:sz w:val="20"/>
                <w:lang w:val="sv-SE"/>
              </w:rPr>
            </w:pPr>
            <w:r w:rsidRPr="00800D1B">
              <w:rPr>
                <w:color w:val="000000"/>
                <w:sz w:val="20"/>
                <w:lang w:val="sv-SE"/>
              </w:rPr>
              <w:t>3</w:t>
            </w:r>
          </w:p>
        </w:tc>
        <w:tc>
          <w:tcPr>
            <w:tcW w:w="0" w:type="auto"/>
          </w:tcPr>
          <w:p w14:paraId="2D065B99" w14:textId="77777777" w:rsidR="00A77B3E" w:rsidRPr="00800D1B" w:rsidRDefault="00623E14" w:rsidP="00E04517">
            <w:pPr>
              <w:spacing w:before="100" w:after="100"/>
              <w:ind w:left="-72"/>
              <w:rPr>
                <w:color w:val="000000"/>
                <w:sz w:val="20"/>
                <w:lang w:val="sv-SE"/>
              </w:rPr>
            </w:pPr>
            <w:r w:rsidRPr="00800D1B">
              <w:rPr>
                <w:color w:val="000000"/>
                <w:sz w:val="20"/>
                <w:lang w:val="sv-SE"/>
              </w:rPr>
              <w:t>RSO1.3</w:t>
            </w:r>
          </w:p>
        </w:tc>
        <w:tc>
          <w:tcPr>
            <w:tcW w:w="0" w:type="auto"/>
          </w:tcPr>
          <w:p w14:paraId="2D065B9A" w14:textId="77777777" w:rsidR="00A77B3E" w:rsidRPr="00800D1B" w:rsidRDefault="00623E14" w:rsidP="00E04517">
            <w:pPr>
              <w:spacing w:before="100" w:after="100"/>
              <w:ind w:left="-72"/>
              <w:rPr>
                <w:color w:val="000000"/>
                <w:sz w:val="20"/>
                <w:lang w:val="sv-SE"/>
              </w:rPr>
            </w:pPr>
            <w:r w:rsidRPr="00800D1B">
              <w:rPr>
                <w:color w:val="000000"/>
                <w:sz w:val="20"/>
                <w:lang w:val="sv-SE"/>
              </w:rPr>
              <w:t>Eruf</w:t>
            </w:r>
          </w:p>
        </w:tc>
        <w:tc>
          <w:tcPr>
            <w:tcW w:w="0" w:type="auto"/>
          </w:tcPr>
          <w:p w14:paraId="2D065B9B" w14:textId="77777777" w:rsidR="00A77B3E" w:rsidRPr="00800D1B" w:rsidRDefault="00623E14" w:rsidP="00A67879">
            <w:pPr>
              <w:spacing w:before="100" w:after="100"/>
              <w:ind w:left="-72" w:right="-135"/>
              <w:rPr>
                <w:color w:val="000000"/>
                <w:sz w:val="20"/>
                <w:lang w:val="sv-SE"/>
              </w:rPr>
            </w:pPr>
            <w:r w:rsidRPr="00800D1B">
              <w:rPr>
                <w:color w:val="000000"/>
                <w:sz w:val="20"/>
                <w:lang w:val="sv-SE"/>
              </w:rPr>
              <w:t>Mer utvecklade regioner</w:t>
            </w:r>
          </w:p>
        </w:tc>
        <w:tc>
          <w:tcPr>
            <w:tcW w:w="0" w:type="auto"/>
          </w:tcPr>
          <w:p w14:paraId="2D065B9C" w14:textId="77777777" w:rsidR="00A77B3E" w:rsidRPr="00800D1B" w:rsidRDefault="00623E14" w:rsidP="00E04517">
            <w:pPr>
              <w:spacing w:before="100" w:after="100"/>
              <w:ind w:left="-72"/>
              <w:rPr>
                <w:color w:val="000000"/>
                <w:sz w:val="20"/>
                <w:lang w:val="sv-SE"/>
              </w:rPr>
            </w:pPr>
            <w:r w:rsidRPr="00800D1B">
              <w:rPr>
                <w:color w:val="000000"/>
                <w:sz w:val="20"/>
                <w:lang w:val="sv-SE"/>
              </w:rPr>
              <w:t>RCO01</w:t>
            </w:r>
          </w:p>
        </w:tc>
        <w:tc>
          <w:tcPr>
            <w:tcW w:w="0" w:type="auto"/>
          </w:tcPr>
          <w:p w14:paraId="2D065B9D" w14:textId="77777777" w:rsidR="00A77B3E" w:rsidRPr="00800D1B" w:rsidRDefault="00623E14" w:rsidP="00E04517">
            <w:pPr>
              <w:spacing w:before="100" w:after="100"/>
              <w:ind w:left="-72"/>
              <w:rPr>
                <w:color w:val="000000"/>
                <w:sz w:val="20"/>
                <w:lang w:val="sv-SE"/>
              </w:rPr>
            </w:pPr>
            <w:r w:rsidRPr="00800D1B">
              <w:rPr>
                <w:color w:val="000000"/>
                <w:sz w:val="20"/>
                <w:lang w:val="sv-SE"/>
              </w:rPr>
              <w:t>Företag som får stöd (varav mikroföretag, små företag, medelstora företag, stora företag)</w:t>
            </w:r>
          </w:p>
        </w:tc>
        <w:tc>
          <w:tcPr>
            <w:tcW w:w="0" w:type="auto"/>
          </w:tcPr>
          <w:p w14:paraId="2D065B9E" w14:textId="77777777" w:rsidR="00A77B3E" w:rsidRPr="00800D1B" w:rsidRDefault="00623E14" w:rsidP="00E04517">
            <w:pPr>
              <w:spacing w:before="100" w:after="100"/>
              <w:ind w:left="-72"/>
              <w:rPr>
                <w:color w:val="000000"/>
                <w:sz w:val="20"/>
                <w:lang w:val="sv-SE"/>
              </w:rPr>
            </w:pPr>
            <w:r w:rsidRPr="00800D1B">
              <w:rPr>
                <w:color w:val="000000"/>
                <w:sz w:val="20"/>
                <w:lang w:val="sv-SE"/>
              </w:rPr>
              <w:t>företag</w:t>
            </w:r>
          </w:p>
        </w:tc>
        <w:tc>
          <w:tcPr>
            <w:tcW w:w="0" w:type="auto"/>
          </w:tcPr>
          <w:p w14:paraId="2D065B9F" w14:textId="77777777" w:rsidR="00A77B3E" w:rsidRPr="00800D1B" w:rsidRDefault="00623E14" w:rsidP="00E04517">
            <w:pPr>
              <w:spacing w:before="100" w:after="100"/>
              <w:ind w:left="-72"/>
              <w:jc w:val="right"/>
              <w:rPr>
                <w:color w:val="000000"/>
                <w:sz w:val="20"/>
                <w:lang w:val="sv-SE"/>
              </w:rPr>
            </w:pPr>
            <w:r w:rsidRPr="00800D1B">
              <w:rPr>
                <w:color w:val="000000"/>
                <w:sz w:val="20"/>
                <w:lang w:val="sv-SE"/>
              </w:rPr>
              <w:t>34,00</w:t>
            </w:r>
          </w:p>
        </w:tc>
        <w:tc>
          <w:tcPr>
            <w:tcW w:w="0" w:type="auto"/>
          </w:tcPr>
          <w:p w14:paraId="2D065BA0" w14:textId="77777777" w:rsidR="00A77B3E" w:rsidRPr="00800D1B" w:rsidRDefault="00623E14" w:rsidP="00E04517">
            <w:pPr>
              <w:spacing w:before="100" w:after="100"/>
              <w:ind w:left="-72"/>
              <w:jc w:val="right"/>
              <w:rPr>
                <w:color w:val="000000"/>
                <w:sz w:val="20"/>
                <w:lang w:val="sv-SE"/>
              </w:rPr>
            </w:pPr>
            <w:r w:rsidRPr="00800D1B">
              <w:rPr>
                <w:color w:val="000000"/>
                <w:sz w:val="20"/>
                <w:lang w:val="sv-SE"/>
              </w:rPr>
              <w:t>344,00</w:t>
            </w:r>
          </w:p>
        </w:tc>
      </w:tr>
      <w:tr w:rsidR="003422DB" w:rsidRPr="00800D1B" w14:paraId="2D065BAB" w14:textId="77777777" w:rsidTr="00E04517">
        <w:tc>
          <w:tcPr>
            <w:tcW w:w="0" w:type="auto"/>
          </w:tcPr>
          <w:p w14:paraId="2D065BA2" w14:textId="77777777" w:rsidR="00A77B3E" w:rsidRPr="00800D1B" w:rsidRDefault="00623E14" w:rsidP="00E04517">
            <w:pPr>
              <w:spacing w:before="100" w:after="100"/>
              <w:ind w:left="-72"/>
              <w:rPr>
                <w:color w:val="000000"/>
                <w:sz w:val="20"/>
                <w:lang w:val="sv-SE"/>
              </w:rPr>
            </w:pPr>
            <w:r w:rsidRPr="00800D1B">
              <w:rPr>
                <w:color w:val="000000"/>
                <w:sz w:val="20"/>
                <w:lang w:val="sv-SE"/>
              </w:rPr>
              <w:t>3</w:t>
            </w:r>
          </w:p>
        </w:tc>
        <w:tc>
          <w:tcPr>
            <w:tcW w:w="0" w:type="auto"/>
          </w:tcPr>
          <w:p w14:paraId="2D065BA3" w14:textId="77777777" w:rsidR="00A77B3E" w:rsidRPr="00800D1B" w:rsidRDefault="00623E14" w:rsidP="00E04517">
            <w:pPr>
              <w:spacing w:before="100" w:after="100"/>
              <w:ind w:left="-72"/>
              <w:rPr>
                <w:color w:val="000000"/>
                <w:sz w:val="20"/>
                <w:lang w:val="sv-SE"/>
              </w:rPr>
            </w:pPr>
            <w:r w:rsidRPr="00800D1B">
              <w:rPr>
                <w:color w:val="000000"/>
                <w:sz w:val="20"/>
                <w:lang w:val="sv-SE"/>
              </w:rPr>
              <w:t>RSO1.3</w:t>
            </w:r>
          </w:p>
        </w:tc>
        <w:tc>
          <w:tcPr>
            <w:tcW w:w="0" w:type="auto"/>
          </w:tcPr>
          <w:p w14:paraId="2D065BA4" w14:textId="77777777" w:rsidR="00A77B3E" w:rsidRPr="00800D1B" w:rsidRDefault="00623E14" w:rsidP="00E04517">
            <w:pPr>
              <w:spacing w:before="100" w:after="100"/>
              <w:ind w:left="-72"/>
              <w:rPr>
                <w:color w:val="000000"/>
                <w:sz w:val="20"/>
                <w:lang w:val="sv-SE"/>
              </w:rPr>
            </w:pPr>
            <w:r w:rsidRPr="00800D1B">
              <w:rPr>
                <w:color w:val="000000"/>
                <w:sz w:val="20"/>
                <w:lang w:val="sv-SE"/>
              </w:rPr>
              <w:t>Eruf</w:t>
            </w:r>
          </w:p>
        </w:tc>
        <w:tc>
          <w:tcPr>
            <w:tcW w:w="0" w:type="auto"/>
          </w:tcPr>
          <w:p w14:paraId="2D065BA5" w14:textId="77777777" w:rsidR="00A77B3E" w:rsidRPr="00800D1B" w:rsidRDefault="00623E14" w:rsidP="00A67879">
            <w:pPr>
              <w:spacing w:before="100" w:after="100"/>
              <w:ind w:left="-72" w:right="-135"/>
              <w:rPr>
                <w:color w:val="000000"/>
                <w:sz w:val="20"/>
                <w:lang w:val="sv-SE"/>
              </w:rPr>
            </w:pPr>
            <w:r w:rsidRPr="00800D1B">
              <w:rPr>
                <w:color w:val="000000"/>
                <w:sz w:val="20"/>
                <w:lang w:val="sv-SE"/>
              </w:rPr>
              <w:t>Mer utvecklade regioner</w:t>
            </w:r>
          </w:p>
        </w:tc>
        <w:tc>
          <w:tcPr>
            <w:tcW w:w="0" w:type="auto"/>
          </w:tcPr>
          <w:p w14:paraId="2D065BA6" w14:textId="77777777" w:rsidR="00A77B3E" w:rsidRPr="00800D1B" w:rsidRDefault="00623E14" w:rsidP="00E04517">
            <w:pPr>
              <w:spacing w:before="100" w:after="100"/>
              <w:ind w:left="-72"/>
              <w:rPr>
                <w:color w:val="000000"/>
                <w:sz w:val="20"/>
                <w:lang w:val="sv-SE"/>
              </w:rPr>
            </w:pPr>
            <w:r w:rsidRPr="00800D1B">
              <w:rPr>
                <w:color w:val="000000"/>
                <w:sz w:val="20"/>
                <w:lang w:val="sv-SE"/>
              </w:rPr>
              <w:t>RCO03</w:t>
            </w:r>
          </w:p>
        </w:tc>
        <w:tc>
          <w:tcPr>
            <w:tcW w:w="0" w:type="auto"/>
          </w:tcPr>
          <w:p w14:paraId="2D065BA7" w14:textId="77777777" w:rsidR="00A77B3E" w:rsidRPr="00800D1B" w:rsidRDefault="00623E14" w:rsidP="00E04517">
            <w:pPr>
              <w:spacing w:before="100" w:after="100"/>
              <w:ind w:left="-72"/>
              <w:rPr>
                <w:color w:val="000000"/>
                <w:sz w:val="20"/>
                <w:lang w:val="sv-SE"/>
              </w:rPr>
            </w:pPr>
            <w:r w:rsidRPr="00800D1B">
              <w:rPr>
                <w:color w:val="000000"/>
                <w:sz w:val="20"/>
                <w:lang w:val="sv-SE"/>
              </w:rPr>
              <w:t>Företag som får stöd genom finansieringsinstrument</w:t>
            </w:r>
          </w:p>
        </w:tc>
        <w:tc>
          <w:tcPr>
            <w:tcW w:w="0" w:type="auto"/>
          </w:tcPr>
          <w:p w14:paraId="2D065BA8" w14:textId="77777777" w:rsidR="00A77B3E" w:rsidRPr="00800D1B" w:rsidRDefault="00623E14" w:rsidP="00E04517">
            <w:pPr>
              <w:spacing w:before="100" w:after="100"/>
              <w:ind w:left="-72"/>
              <w:rPr>
                <w:color w:val="000000"/>
                <w:sz w:val="20"/>
                <w:lang w:val="sv-SE"/>
              </w:rPr>
            </w:pPr>
            <w:r w:rsidRPr="00800D1B">
              <w:rPr>
                <w:color w:val="000000"/>
                <w:sz w:val="20"/>
                <w:lang w:val="sv-SE"/>
              </w:rPr>
              <w:t>företag</w:t>
            </w:r>
          </w:p>
        </w:tc>
        <w:tc>
          <w:tcPr>
            <w:tcW w:w="0" w:type="auto"/>
          </w:tcPr>
          <w:p w14:paraId="2D065BA9" w14:textId="77777777" w:rsidR="00A77B3E" w:rsidRPr="00800D1B" w:rsidRDefault="00623E14" w:rsidP="00E04517">
            <w:pPr>
              <w:spacing w:before="100" w:after="100"/>
              <w:ind w:left="-72"/>
              <w:jc w:val="right"/>
              <w:rPr>
                <w:color w:val="000000"/>
                <w:sz w:val="20"/>
                <w:lang w:val="sv-SE"/>
              </w:rPr>
            </w:pPr>
            <w:r w:rsidRPr="00800D1B">
              <w:rPr>
                <w:color w:val="000000"/>
                <w:sz w:val="20"/>
                <w:lang w:val="sv-SE"/>
              </w:rPr>
              <w:t>3,00</w:t>
            </w:r>
          </w:p>
        </w:tc>
        <w:tc>
          <w:tcPr>
            <w:tcW w:w="0" w:type="auto"/>
          </w:tcPr>
          <w:p w14:paraId="2D065BAA" w14:textId="77777777" w:rsidR="00A77B3E" w:rsidRPr="00800D1B" w:rsidRDefault="00623E14" w:rsidP="00E04517">
            <w:pPr>
              <w:spacing w:before="100" w:after="100"/>
              <w:ind w:left="-72"/>
              <w:jc w:val="right"/>
              <w:rPr>
                <w:color w:val="000000"/>
                <w:sz w:val="20"/>
                <w:lang w:val="sv-SE"/>
              </w:rPr>
            </w:pPr>
            <w:r w:rsidRPr="00800D1B">
              <w:rPr>
                <w:color w:val="000000"/>
                <w:sz w:val="20"/>
                <w:lang w:val="sv-SE"/>
              </w:rPr>
              <w:t>34,00</w:t>
            </w:r>
          </w:p>
        </w:tc>
      </w:tr>
      <w:tr w:rsidR="003422DB" w:rsidRPr="00800D1B" w14:paraId="2D065BB5" w14:textId="77777777" w:rsidTr="00E04517">
        <w:tc>
          <w:tcPr>
            <w:tcW w:w="0" w:type="auto"/>
          </w:tcPr>
          <w:p w14:paraId="2D065BAC" w14:textId="77777777" w:rsidR="00A77B3E" w:rsidRPr="00800D1B" w:rsidRDefault="00623E14" w:rsidP="00E04517">
            <w:pPr>
              <w:spacing w:before="100" w:after="100"/>
              <w:ind w:left="-72"/>
              <w:rPr>
                <w:color w:val="000000"/>
                <w:sz w:val="20"/>
                <w:lang w:val="sv-SE"/>
              </w:rPr>
            </w:pPr>
            <w:r w:rsidRPr="00800D1B">
              <w:rPr>
                <w:color w:val="000000"/>
                <w:sz w:val="20"/>
                <w:lang w:val="sv-SE"/>
              </w:rPr>
              <w:t>3</w:t>
            </w:r>
          </w:p>
        </w:tc>
        <w:tc>
          <w:tcPr>
            <w:tcW w:w="0" w:type="auto"/>
          </w:tcPr>
          <w:p w14:paraId="2D065BAD" w14:textId="77777777" w:rsidR="00A77B3E" w:rsidRPr="00800D1B" w:rsidRDefault="00623E14" w:rsidP="00E04517">
            <w:pPr>
              <w:spacing w:before="100" w:after="100"/>
              <w:ind w:left="-72"/>
              <w:rPr>
                <w:color w:val="000000"/>
                <w:sz w:val="20"/>
                <w:lang w:val="sv-SE"/>
              </w:rPr>
            </w:pPr>
            <w:r w:rsidRPr="00800D1B">
              <w:rPr>
                <w:color w:val="000000"/>
                <w:sz w:val="20"/>
                <w:lang w:val="sv-SE"/>
              </w:rPr>
              <w:t>RSO1.3</w:t>
            </w:r>
          </w:p>
        </w:tc>
        <w:tc>
          <w:tcPr>
            <w:tcW w:w="0" w:type="auto"/>
          </w:tcPr>
          <w:p w14:paraId="2D065BAE" w14:textId="77777777" w:rsidR="00A77B3E" w:rsidRPr="00800D1B" w:rsidRDefault="00623E14" w:rsidP="00E04517">
            <w:pPr>
              <w:spacing w:before="100" w:after="100"/>
              <w:ind w:left="-72"/>
              <w:rPr>
                <w:color w:val="000000"/>
                <w:sz w:val="20"/>
                <w:lang w:val="sv-SE"/>
              </w:rPr>
            </w:pPr>
            <w:r w:rsidRPr="00800D1B">
              <w:rPr>
                <w:color w:val="000000"/>
                <w:sz w:val="20"/>
                <w:lang w:val="sv-SE"/>
              </w:rPr>
              <w:t>Eruf</w:t>
            </w:r>
          </w:p>
        </w:tc>
        <w:tc>
          <w:tcPr>
            <w:tcW w:w="0" w:type="auto"/>
          </w:tcPr>
          <w:p w14:paraId="2D065BAF" w14:textId="77777777" w:rsidR="00A77B3E" w:rsidRPr="00800D1B" w:rsidRDefault="00623E14" w:rsidP="00A67879">
            <w:pPr>
              <w:spacing w:before="100" w:after="100"/>
              <w:ind w:left="-72" w:right="-135"/>
              <w:rPr>
                <w:color w:val="000000"/>
                <w:sz w:val="20"/>
                <w:lang w:val="sv-SE"/>
              </w:rPr>
            </w:pPr>
            <w:r w:rsidRPr="00800D1B">
              <w:rPr>
                <w:color w:val="000000"/>
                <w:sz w:val="20"/>
                <w:lang w:val="sv-SE"/>
              </w:rPr>
              <w:t>Mer utvecklade regioner</w:t>
            </w:r>
          </w:p>
        </w:tc>
        <w:tc>
          <w:tcPr>
            <w:tcW w:w="0" w:type="auto"/>
          </w:tcPr>
          <w:p w14:paraId="2D065BB0" w14:textId="77777777" w:rsidR="00A77B3E" w:rsidRPr="00800D1B" w:rsidRDefault="00623E14" w:rsidP="00E04517">
            <w:pPr>
              <w:spacing w:before="100" w:after="100"/>
              <w:ind w:left="-72"/>
              <w:rPr>
                <w:color w:val="000000"/>
                <w:sz w:val="20"/>
                <w:lang w:val="sv-SE"/>
              </w:rPr>
            </w:pPr>
            <w:r w:rsidRPr="00800D1B">
              <w:rPr>
                <w:color w:val="000000"/>
                <w:sz w:val="20"/>
                <w:lang w:val="sv-SE"/>
              </w:rPr>
              <w:t>RCO04</w:t>
            </w:r>
          </w:p>
        </w:tc>
        <w:tc>
          <w:tcPr>
            <w:tcW w:w="0" w:type="auto"/>
          </w:tcPr>
          <w:p w14:paraId="2D065BB1" w14:textId="77777777" w:rsidR="00A77B3E" w:rsidRPr="00800D1B" w:rsidRDefault="00623E14" w:rsidP="00E04517">
            <w:pPr>
              <w:spacing w:before="100" w:after="100"/>
              <w:ind w:left="-72"/>
              <w:rPr>
                <w:color w:val="000000"/>
                <w:sz w:val="20"/>
                <w:lang w:val="sv-SE"/>
              </w:rPr>
            </w:pPr>
            <w:r w:rsidRPr="00800D1B">
              <w:rPr>
                <w:color w:val="000000"/>
                <w:sz w:val="20"/>
                <w:lang w:val="sv-SE"/>
              </w:rPr>
              <w:t>Företag som får icke-finansiellt stöd</w:t>
            </w:r>
          </w:p>
        </w:tc>
        <w:tc>
          <w:tcPr>
            <w:tcW w:w="0" w:type="auto"/>
          </w:tcPr>
          <w:p w14:paraId="2D065BB2" w14:textId="77777777" w:rsidR="00A77B3E" w:rsidRPr="00800D1B" w:rsidRDefault="00623E14" w:rsidP="00E04517">
            <w:pPr>
              <w:spacing w:before="100" w:after="100"/>
              <w:ind w:left="-72"/>
              <w:rPr>
                <w:color w:val="000000"/>
                <w:sz w:val="20"/>
                <w:lang w:val="sv-SE"/>
              </w:rPr>
            </w:pPr>
            <w:r w:rsidRPr="00800D1B">
              <w:rPr>
                <w:color w:val="000000"/>
                <w:sz w:val="20"/>
                <w:lang w:val="sv-SE"/>
              </w:rPr>
              <w:t>företag</w:t>
            </w:r>
          </w:p>
        </w:tc>
        <w:tc>
          <w:tcPr>
            <w:tcW w:w="0" w:type="auto"/>
          </w:tcPr>
          <w:p w14:paraId="2D065BB3" w14:textId="77777777" w:rsidR="00A77B3E" w:rsidRPr="00800D1B" w:rsidRDefault="00623E14" w:rsidP="00E04517">
            <w:pPr>
              <w:spacing w:before="100" w:after="100"/>
              <w:ind w:left="-72"/>
              <w:jc w:val="right"/>
              <w:rPr>
                <w:color w:val="000000"/>
                <w:sz w:val="20"/>
                <w:lang w:val="sv-SE"/>
              </w:rPr>
            </w:pPr>
            <w:r w:rsidRPr="00800D1B">
              <w:rPr>
                <w:color w:val="000000"/>
                <w:sz w:val="20"/>
                <w:lang w:val="sv-SE"/>
              </w:rPr>
              <w:t>31,00</w:t>
            </w:r>
          </w:p>
        </w:tc>
        <w:tc>
          <w:tcPr>
            <w:tcW w:w="0" w:type="auto"/>
          </w:tcPr>
          <w:p w14:paraId="2D065BB4" w14:textId="77777777" w:rsidR="00A77B3E" w:rsidRPr="00800D1B" w:rsidRDefault="00623E14" w:rsidP="00E04517">
            <w:pPr>
              <w:spacing w:before="100" w:after="100"/>
              <w:ind w:left="-72"/>
              <w:jc w:val="right"/>
              <w:rPr>
                <w:color w:val="000000"/>
                <w:sz w:val="20"/>
                <w:lang w:val="sv-SE"/>
              </w:rPr>
            </w:pPr>
            <w:r w:rsidRPr="00800D1B">
              <w:rPr>
                <w:color w:val="000000"/>
                <w:sz w:val="20"/>
                <w:lang w:val="sv-SE"/>
              </w:rPr>
              <w:t>311,00</w:t>
            </w:r>
          </w:p>
        </w:tc>
      </w:tr>
      <w:tr w:rsidR="003422DB" w:rsidRPr="00800D1B" w14:paraId="2D065BBF" w14:textId="77777777" w:rsidTr="00E04517">
        <w:tc>
          <w:tcPr>
            <w:tcW w:w="0" w:type="auto"/>
          </w:tcPr>
          <w:p w14:paraId="2D065BB6" w14:textId="77777777" w:rsidR="00A77B3E" w:rsidRPr="00800D1B" w:rsidRDefault="00623E14" w:rsidP="00E04517">
            <w:pPr>
              <w:spacing w:before="100" w:after="100"/>
              <w:ind w:left="-72"/>
              <w:rPr>
                <w:color w:val="000000"/>
                <w:sz w:val="20"/>
                <w:lang w:val="sv-SE"/>
              </w:rPr>
            </w:pPr>
            <w:r w:rsidRPr="00800D1B">
              <w:rPr>
                <w:color w:val="000000"/>
                <w:sz w:val="20"/>
                <w:lang w:val="sv-SE"/>
              </w:rPr>
              <w:t>3</w:t>
            </w:r>
          </w:p>
        </w:tc>
        <w:tc>
          <w:tcPr>
            <w:tcW w:w="0" w:type="auto"/>
          </w:tcPr>
          <w:p w14:paraId="2D065BB7" w14:textId="77777777" w:rsidR="00A77B3E" w:rsidRPr="00800D1B" w:rsidRDefault="00623E14" w:rsidP="00E04517">
            <w:pPr>
              <w:spacing w:before="100" w:after="100"/>
              <w:ind w:left="-72"/>
              <w:rPr>
                <w:color w:val="000000"/>
                <w:sz w:val="20"/>
                <w:lang w:val="sv-SE"/>
              </w:rPr>
            </w:pPr>
            <w:r w:rsidRPr="00800D1B">
              <w:rPr>
                <w:color w:val="000000"/>
                <w:sz w:val="20"/>
                <w:lang w:val="sv-SE"/>
              </w:rPr>
              <w:t>RSO1.3</w:t>
            </w:r>
          </w:p>
        </w:tc>
        <w:tc>
          <w:tcPr>
            <w:tcW w:w="0" w:type="auto"/>
          </w:tcPr>
          <w:p w14:paraId="2D065BB8" w14:textId="77777777" w:rsidR="00A77B3E" w:rsidRPr="00800D1B" w:rsidRDefault="00623E14" w:rsidP="00E04517">
            <w:pPr>
              <w:spacing w:before="100" w:after="100"/>
              <w:ind w:left="-72"/>
              <w:rPr>
                <w:color w:val="000000"/>
                <w:sz w:val="20"/>
                <w:lang w:val="sv-SE"/>
              </w:rPr>
            </w:pPr>
            <w:r w:rsidRPr="00800D1B">
              <w:rPr>
                <w:color w:val="000000"/>
                <w:sz w:val="20"/>
                <w:lang w:val="sv-SE"/>
              </w:rPr>
              <w:t>Eruf</w:t>
            </w:r>
          </w:p>
        </w:tc>
        <w:tc>
          <w:tcPr>
            <w:tcW w:w="0" w:type="auto"/>
          </w:tcPr>
          <w:p w14:paraId="2D065BB9" w14:textId="77777777" w:rsidR="00A77B3E" w:rsidRPr="00800D1B" w:rsidRDefault="00623E14" w:rsidP="00A67879">
            <w:pPr>
              <w:spacing w:before="100" w:after="100"/>
              <w:ind w:left="-72" w:right="-135"/>
              <w:rPr>
                <w:color w:val="000000"/>
                <w:sz w:val="20"/>
                <w:lang w:val="sv-SE"/>
              </w:rPr>
            </w:pPr>
            <w:r w:rsidRPr="00800D1B">
              <w:rPr>
                <w:color w:val="000000"/>
                <w:sz w:val="20"/>
                <w:lang w:val="sv-SE"/>
              </w:rPr>
              <w:t>Mer utvecklade regioner</w:t>
            </w:r>
          </w:p>
        </w:tc>
        <w:tc>
          <w:tcPr>
            <w:tcW w:w="0" w:type="auto"/>
          </w:tcPr>
          <w:p w14:paraId="2D065BBA" w14:textId="77777777" w:rsidR="00A77B3E" w:rsidRPr="00800D1B" w:rsidRDefault="00623E14" w:rsidP="00E04517">
            <w:pPr>
              <w:spacing w:before="100" w:after="100"/>
              <w:ind w:left="-72"/>
              <w:rPr>
                <w:color w:val="000000"/>
                <w:sz w:val="20"/>
                <w:lang w:val="sv-SE"/>
              </w:rPr>
            </w:pPr>
            <w:r w:rsidRPr="00800D1B">
              <w:rPr>
                <w:color w:val="000000"/>
                <w:sz w:val="20"/>
                <w:lang w:val="sv-SE"/>
              </w:rPr>
              <w:t>SWO01</w:t>
            </w:r>
          </w:p>
        </w:tc>
        <w:tc>
          <w:tcPr>
            <w:tcW w:w="0" w:type="auto"/>
          </w:tcPr>
          <w:p w14:paraId="2D065BBB" w14:textId="77777777" w:rsidR="00A77B3E" w:rsidRPr="00800D1B" w:rsidRDefault="00623E14" w:rsidP="00E04517">
            <w:pPr>
              <w:spacing w:before="100" w:after="100"/>
              <w:ind w:left="-72"/>
              <w:rPr>
                <w:color w:val="000000"/>
                <w:sz w:val="20"/>
                <w:lang w:val="sv-SE"/>
              </w:rPr>
            </w:pPr>
            <w:r w:rsidRPr="00800D1B">
              <w:rPr>
                <w:color w:val="000000"/>
                <w:sz w:val="20"/>
                <w:lang w:val="sv-SE"/>
              </w:rPr>
              <w:t>Antal organisationer som får stöd</w:t>
            </w:r>
          </w:p>
        </w:tc>
        <w:tc>
          <w:tcPr>
            <w:tcW w:w="0" w:type="auto"/>
          </w:tcPr>
          <w:p w14:paraId="2D065BBC" w14:textId="77777777" w:rsidR="00A77B3E" w:rsidRPr="00800D1B" w:rsidRDefault="00623E14" w:rsidP="00E04517">
            <w:pPr>
              <w:spacing w:before="100" w:after="100"/>
              <w:ind w:left="-72"/>
              <w:rPr>
                <w:color w:val="000000"/>
                <w:sz w:val="20"/>
                <w:lang w:val="sv-SE"/>
              </w:rPr>
            </w:pPr>
            <w:r w:rsidRPr="00800D1B">
              <w:rPr>
                <w:color w:val="000000"/>
                <w:sz w:val="20"/>
                <w:lang w:val="sv-SE"/>
              </w:rPr>
              <w:t>Organisationer</w:t>
            </w:r>
          </w:p>
        </w:tc>
        <w:tc>
          <w:tcPr>
            <w:tcW w:w="0" w:type="auto"/>
          </w:tcPr>
          <w:p w14:paraId="2D065BBD" w14:textId="77777777" w:rsidR="00A77B3E" w:rsidRPr="00800D1B" w:rsidRDefault="00623E14" w:rsidP="00E04517">
            <w:pPr>
              <w:spacing w:before="100" w:after="100"/>
              <w:ind w:left="-72"/>
              <w:jc w:val="right"/>
              <w:rPr>
                <w:color w:val="000000"/>
                <w:sz w:val="20"/>
                <w:lang w:val="sv-SE"/>
              </w:rPr>
            </w:pPr>
            <w:r w:rsidRPr="00800D1B">
              <w:rPr>
                <w:color w:val="000000"/>
                <w:sz w:val="20"/>
                <w:lang w:val="sv-SE"/>
              </w:rPr>
              <w:t>1,00</w:t>
            </w:r>
          </w:p>
        </w:tc>
        <w:tc>
          <w:tcPr>
            <w:tcW w:w="0" w:type="auto"/>
          </w:tcPr>
          <w:p w14:paraId="2D065BBE" w14:textId="77777777" w:rsidR="00A77B3E" w:rsidRPr="00800D1B" w:rsidRDefault="00623E14" w:rsidP="00E04517">
            <w:pPr>
              <w:spacing w:before="100" w:after="100"/>
              <w:ind w:left="-72"/>
              <w:jc w:val="right"/>
              <w:rPr>
                <w:color w:val="000000"/>
                <w:sz w:val="20"/>
                <w:lang w:val="sv-SE"/>
              </w:rPr>
            </w:pPr>
            <w:r w:rsidRPr="00800D1B">
              <w:rPr>
                <w:color w:val="000000"/>
                <w:sz w:val="20"/>
                <w:lang w:val="sv-SE"/>
              </w:rPr>
              <w:t>5,00</w:t>
            </w:r>
          </w:p>
        </w:tc>
      </w:tr>
      <w:tr w:rsidR="003422DB" w:rsidRPr="00800D1B" w14:paraId="2D065BC9" w14:textId="77777777" w:rsidTr="00E04517">
        <w:tc>
          <w:tcPr>
            <w:tcW w:w="0" w:type="auto"/>
          </w:tcPr>
          <w:p w14:paraId="2D065BC0" w14:textId="77777777" w:rsidR="00A77B3E" w:rsidRPr="00800D1B" w:rsidRDefault="00623E14" w:rsidP="00E04517">
            <w:pPr>
              <w:spacing w:before="100" w:after="100"/>
              <w:ind w:left="-72"/>
              <w:rPr>
                <w:color w:val="000000"/>
                <w:sz w:val="20"/>
                <w:lang w:val="sv-SE"/>
              </w:rPr>
            </w:pPr>
            <w:r w:rsidRPr="00800D1B">
              <w:rPr>
                <w:color w:val="000000"/>
                <w:sz w:val="20"/>
                <w:lang w:val="sv-SE"/>
              </w:rPr>
              <w:t>3</w:t>
            </w:r>
          </w:p>
        </w:tc>
        <w:tc>
          <w:tcPr>
            <w:tcW w:w="0" w:type="auto"/>
          </w:tcPr>
          <w:p w14:paraId="2D065BC1" w14:textId="77777777" w:rsidR="00A77B3E" w:rsidRPr="00800D1B" w:rsidRDefault="00623E14" w:rsidP="00E04517">
            <w:pPr>
              <w:spacing w:before="100" w:after="100"/>
              <w:ind w:left="-72"/>
              <w:rPr>
                <w:color w:val="000000"/>
                <w:sz w:val="20"/>
                <w:lang w:val="sv-SE"/>
              </w:rPr>
            </w:pPr>
            <w:r w:rsidRPr="00800D1B">
              <w:rPr>
                <w:color w:val="000000"/>
                <w:sz w:val="20"/>
                <w:lang w:val="sv-SE"/>
              </w:rPr>
              <w:t>RSO1.3</w:t>
            </w:r>
          </w:p>
        </w:tc>
        <w:tc>
          <w:tcPr>
            <w:tcW w:w="0" w:type="auto"/>
          </w:tcPr>
          <w:p w14:paraId="2D065BC2" w14:textId="77777777" w:rsidR="00A77B3E" w:rsidRPr="00800D1B" w:rsidRDefault="00623E14" w:rsidP="00E04517">
            <w:pPr>
              <w:spacing w:before="100" w:after="100"/>
              <w:ind w:left="-72"/>
              <w:rPr>
                <w:color w:val="000000"/>
                <w:sz w:val="20"/>
                <w:lang w:val="sv-SE"/>
              </w:rPr>
            </w:pPr>
            <w:r w:rsidRPr="00800D1B">
              <w:rPr>
                <w:color w:val="000000"/>
                <w:sz w:val="20"/>
                <w:lang w:val="sv-SE"/>
              </w:rPr>
              <w:t>Eruf</w:t>
            </w:r>
          </w:p>
        </w:tc>
        <w:tc>
          <w:tcPr>
            <w:tcW w:w="0" w:type="auto"/>
          </w:tcPr>
          <w:p w14:paraId="2D065BC3" w14:textId="77777777" w:rsidR="00A77B3E" w:rsidRPr="00800D1B" w:rsidRDefault="00623E14" w:rsidP="00A67879">
            <w:pPr>
              <w:spacing w:before="100" w:after="100"/>
              <w:ind w:left="-72" w:right="-135"/>
              <w:rPr>
                <w:color w:val="000000"/>
                <w:sz w:val="20"/>
                <w:lang w:val="sv-SE"/>
              </w:rPr>
            </w:pPr>
            <w:r w:rsidRPr="00800D1B">
              <w:rPr>
                <w:color w:val="000000"/>
                <w:sz w:val="20"/>
                <w:lang w:val="sv-SE"/>
              </w:rPr>
              <w:t>Mer utvecklade regioner</w:t>
            </w:r>
          </w:p>
        </w:tc>
        <w:tc>
          <w:tcPr>
            <w:tcW w:w="0" w:type="auto"/>
          </w:tcPr>
          <w:p w14:paraId="2D065BC4" w14:textId="77777777" w:rsidR="00A77B3E" w:rsidRPr="00800D1B" w:rsidRDefault="00623E14" w:rsidP="00E04517">
            <w:pPr>
              <w:spacing w:before="100" w:after="100"/>
              <w:ind w:left="-72"/>
              <w:rPr>
                <w:color w:val="000000"/>
                <w:sz w:val="20"/>
                <w:lang w:val="sv-SE"/>
              </w:rPr>
            </w:pPr>
            <w:r w:rsidRPr="00800D1B">
              <w:rPr>
                <w:color w:val="000000"/>
                <w:sz w:val="20"/>
                <w:lang w:val="sv-SE"/>
              </w:rPr>
              <w:t>SWO02</w:t>
            </w:r>
          </w:p>
        </w:tc>
        <w:tc>
          <w:tcPr>
            <w:tcW w:w="0" w:type="auto"/>
          </w:tcPr>
          <w:p w14:paraId="2D065BC5" w14:textId="77777777" w:rsidR="00A77B3E" w:rsidRPr="00800D1B" w:rsidRDefault="00623E14" w:rsidP="00E04517">
            <w:pPr>
              <w:spacing w:before="100" w:after="100"/>
              <w:ind w:left="-72"/>
              <w:rPr>
                <w:color w:val="000000"/>
                <w:sz w:val="20"/>
                <w:lang w:val="sv-SE"/>
              </w:rPr>
            </w:pPr>
            <w:r w:rsidRPr="00800D1B">
              <w:rPr>
                <w:color w:val="000000"/>
                <w:sz w:val="20"/>
                <w:lang w:val="sv-SE"/>
              </w:rPr>
              <w:t>Investeringar i euro</w:t>
            </w:r>
          </w:p>
        </w:tc>
        <w:tc>
          <w:tcPr>
            <w:tcW w:w="0" w:type="auto"/>
          </w:tcPr>
          <w:p w14:paraId="2D065BC6" w14:textId="77777777" w:rsidR="00A77B3E" w:rsidRPr="00800D1B" w:rsidRDefault="00623E14" w:rsidP="00E04517">
            <w:pPr>
              <w:spacing w:before="100" w:after="100"/>
              <w:ind w:left="-72"/>
              <w:rPr>
                <w:color w:val="000000"/>
                <w:sz w:val="20"/>
                <w:lang w:val="sv-SE"/>
              </w:rPr>
            </w:pPr>
            <w:r w:rsidRPr="00800D1B">
              <w:rPr>
                <w:color w:val="000000"/>
                <w:sz w:val="20"/>
                <w:lang w:val="sv-SE"/>
              </w:rPr>
              <w:t>euro</w:t>
            </w:r>
          </w:p>
        </w:tc>
        <w:tc>
          <w:tcPr>
            <w:tcW w:w="0" w:type="auto"/>
          </w:tcPr>
          <w:p w14:paraId="2D065BC7" w14:textId="77777777" w:rsidR="00A77B3E" w:rsidRPr="00800D1B" w:rsidRDefault="00623E14" w:rsidP="00E04517">
            <w:pPr>
              <w:spacing w:before="100" w:after="100"/>
              <w:ind w:left="-72"/>
              <w:jc w:val="right"/>
              <w:rPr>
                <w:color w:val="000000"/>
                <w:sz w:val="20"/>
                <w:lang w:val="sv-SE"/>
              </w:rPr>
            </w:pPr>
            <w:r w:rsidRPr="00800D1B">
              <w:rPr>
                <w:color w:val="000000"/>
                <w:sz w:val="20"/>
                <w:lang w:val="sv-SE"/>
              </w:rPr>
              <w:t>483 784,30</w:t>
            </w:r>
          </w:p>
        </w:tc>
        <w:tc>
          <w:tcPr>
            <w:tcW w:w="0" w:type="auto"/>
          </w:tcPr>
          <w:p w14:paraId="2D065BC8" w14:textId="77777777" w:rsidR="00A77B3E" w:rsidRPr="00800D1B" w:rsidRDefault="00623E14" w:rsidP="00E04517">
            <w:pPr>
              <w:spacing w:before="100" w:after="100"/>
              <w:ind w:left="-72"/>
              <w:jc w:val="right"/>
              <w:rPr>
                <w:color w:val="000000"/>
                <w:sz w:val="20"/>
                <w:lang w:val="sv-SE"/>
              </w:rPr>
            </w:pPr>
            <w:r w:rsidRPr="00800D1B">
              <w:rPr>
                <w:color w:val="000000"/>
                <w:sz w:val="20"/>
                <w:lang w:val="sv-SE"/>
              </w:rPr>
              <w:t>4 837 843,00</w:t>
            </w:r>
          </w:p>
        </w:tc>
      </w:tr>
      <w:tr w:rsidR="003422DB" w:rsidRPr="00800D1B" w14:paraId="2D065BD3" w14:textId="77777777" w:rsidTr="00E04517">
        <w:tc>
          <w:tcPr>
            <w:tcW w:w="0" w:type="auto"/>
          </w:tcPr>
          <w:p w14:paraId="2D065BCA" w14:textId="77777777" w:rsidR="00A77B3E" w:rsidRPr="00800D1B" w:rsidRDefault="00623E14" w:rsidP="00E04517">
            <w:pPr>
              <w:spacing w:before="100" w:after="100"/>
              <w:ind w:left="-72"/>
              <w:rPr>
                <w:color w:val="000000"/>
                <w:sz w:val="20"/>
                <w:lang w:val="sv-SE"/>
              </w:rPr>
            </w:pPr>
            <w:r w:rsidRPr="00800D1B">
              <w:rPr>
                <w:color w:val="000000"/>
                <w:sz w:val="20"/>
                <w:lang w:val="sv-SE"/>
              </w:rPr>
              <w:t>3</w:t>
            </w:r>
          </w:p>
        </w:tc>
        <w:tc>
          <w:tcPr>
            <w:tcW w:w="0" w:type="auto"/>
          </w:tcPr>
          <w:p w14:paraId="2D065BCB" w14:textId="77777777" w:rsidR="00A77B3E" w:rsidRPr="00800D1B" w:rsidRDefault="00623E14" w:rsidP="00E04517">
            <w:pPr>
              <w:spacing w:before="100" w:after="100"/>
              <w:ind w:left="-72"/>
              <w:rPr>
                <w:color w:val="000000"/>
                <w:sz w:val="20"/>
                <w:lang w:val="sv-SE"/>
              </w:rPr>
            </w:pPr>
            <w:r w:rsidRPr="00800D1B">
              <w:rPr>
                <w:color w:val="000000"/>
                <w:sz w:val="20"/>
                <w:lang w:val="sv-SE"/>
              </w:rPr>
              <w:t>RSO1.3</w:t>
            </w:r>
          </w:p>
        </w:tc>
        <w:tc>
          <w:tcPr>
            <w:tcW w:w="0" w:type="auto"/>
          </w:tcPr>
          <w:p w14:paraId="2D065BCC" w14:textId="77777777" w:rsidR="00A77B3E" w:rsidRPr="00800D1B" w:rsidRDefault="00623E14" w:rsidP="00E04517">
            <w:pPr>
              <w:spacing w:before="100" w:after="100"/>
              <w:ind w:left="-72"/>
              <w:rPr>
                <w:color w:val="000000"/>
                <w:sz w:val="20"/>
                <w:lang w:val="sv-SE"/>
              </w:rPr>
            </w:pPr>
            <w:r w:rsidRPr="00800D1B">
              <w:rPr>
                <w:color w:val="000000"/>
                <w:sz w:val="20"/>
                <w:lang w:val="sv-SE"/>
              </w:rPr>
              <w:t>Eruf</w:t>
            </w:r>
          </w:p>
        </w:tc>
        <w:tc>
          <w:tcPr>
            <w:tcW w:w="0" w:type="auto"/>
          </w:tcPr>
          <w:p w14:paraId="2D065BCD" w14:textId="77777777" w:rsidR="00A77B3E" w:rsidRPr="00800D1B" w:rsidRDefault="00623E14" w:rsidP="00552F60">
            <w:pPr>
              <w:spacing w:before="100" w:after="100"/>
              <w:ind w:left="-72" w:right="-222"/>
              <w:rPr>
                <w:color w:val="000000"/>
                <w:sz w:val="20"/>
                <w:lang w:val="sv-SE"/>
              </w:rPr>
            </w:pPr>
            <w:r w:rsidRPr="00800D1B">
              <w:rPr>
                <w:color w:val="000000"/>
                <w:sz w:val="20"/>
                <w:lang w:val="sv-SE"/>
              </w:rPr>
              <w:t>De yttersta randområdena eller de nordliga glesbefolkade områdena</w:t>
            </w:r>
          </w:p>
        </w:tc>
        <w:tc>
          <w:tcPr>
            <w:tcW w:w="0" w:type="auto"/>
          </w:tcPr>
          <w:p w14:paraId="2D065BCE" w14:textId="77777777" w:rsidR="00A77B3E" w:rsidRPr="00800D1B" w:rsidRDefault="00623E14" w:rsidP="00E04517">
            <w:pPr>
              <w:spacing w:before="100" w:after="100"/>
              <w:ind w:left="-72"/>
              <w:rPr>
                <w:color w:val="000000"/>
                <w:sz w:val="20"/>
                <w:lang w:val="sv-SE"/>
              </w:rPr>
            </w:pPr>
            <w:r w:rsidRPr="00800D1B">
              <w:rPr>
                <w:color w:val="000000"/>
                <w:sz w:val="20"/>
                <w:lang w:val="sv-SE"/>
              </w:rPr>
              <w:t>RCO01</w:t>
            </w:r>
          </w:p>
        </w:tc>
        <w:tc>
          <w:tcPr>
            <w:tcW w:w="0" w:type="auto"/>
          </w:tcPr>
          <w:p w14:paraId="2D065BCF" w14:textId="77777777" w:rsidR="00A77B3E" w:rsidRPr="00800D1B" w:rsidRDefault="00623E14" w:rsidP="00E04517">
            <w:pPr>
              <w:spacing w:before="100" w:after="100"/>
              <w:ind w:left="-72"/>
              <w:rPr>
                <w:color w:val="000000"/>
                <w:sz w:val="20"/>
                <w:lang w:val="sv-SE"/>
              </w:rPr>
            </w:pPr>
            <w:r w:rsidRPr="00800D1B">
              <w:rPr>
                <w:color w:val="000000"/>
                <w:sz w:val="20"/>
                <w:lang w:val="sv-SE"/>
              </w:rPr>
              <w:t>Företag som får stöd (varav mikroföretag, små företag, medelstora företag, stora företag)</w:t>
            </w:r>
          </w:p>
        </w:tc>
        <w:tc>
          <w:tcPr>
            <w:tcW w:w="0" w:type="auto"/>
          </w:tcPr>
          <w:p w14:paraId="2D065BD0" w14:textId="77777777" w:rsidR="00A77B3E" w:rsidRPr="00800D1B" w:rsidRDefault="00623E14" w:rsidP="00E04517">
            <w:pPr>
              <w:spacing w:before="100" w:after="100"/>
              <w:ind w:left="-72"/>
              <w:rPr>
                <w:color w:val="000000"/>
                <w:sz w:val="20"/>
                <w:lang w:val="sv-SE"/>
              </w:rPr>
            </w:pPr>
            <w:r w:rsidRPr="00800D1B">
              <w:rPr>
                <w:color w:val="000000"/>
                <w:sz w:val="20"/>
                <w:lang w:val="sv-SE"/>
              </w:rPr>
              <w:t>företag</w:t>
            </w:r>
          </w:p>
        </w:tc>
        <w:tc>
          <w:tcPr>
            <w:tcW w:w="0" w:type="auto"/>
          </w:tcPr>
          <w:p w14:paraId="2D065BD1" w14:textId="77777777" w:rsidR="00A77B3E" w:rsidRPr="00800D1B" w:rsidRDefault="00623E14" w:rsidP="00E04517">
            <w:pPr>
              <w:spacing w:before="100" w:after="100"/>
              <w:ind w:left="-72"/>
              <w:jc w:val="right"/>
              <w:rPr>
                <w:color w:val="000000"/>
                <w:sz w:val="20"/>
                <w:lang w:val="sv-SE"/>
              </w:rPr>
            </w:pPr>
            <w:r w:rsidRPr="00800D1B">
              <w:rPr>
                <w:color w:val="000000"/>
                <w:sz w:val="20"/>
                <w:lang w:val="sv-SE"/>
              </w:rPr>
              <w:t>143,00</w:t>
            </w:r>
          </w:p>
        </w:tc>
        <w:tc>
          <w:tcPr>
            <w:tcW w:w="0" w:type="auto"/>
          </w:tcPr>
          <w:p w14:paraId="2D065BD2" w14:textId="77777777" w:rsidR="00A77B3E" w:rsidRPr="00800D1B" w:rsidRDefault="00623E14" w:rsidP="00E04517">
            <w:pPr>
              <w:spacing w:before="100" w:after="100"/>
              <w:ind w:left="-72"/>
              <w:jc w:val="right"/>
              <w:rPr>
                <w:color w:val="000000"/>
                <w:sz w:val="20"/>
                <w:lang w:val="sv-SE"/>
              </w:rPr>
            </w:pPr>
            <w:r w:rsidRPr="00800D1B">
              <w:rPr>
                <w:color w:val="000000"/>
                <w:sz w:val="20"/>
                <w:lang w:val="sv-SE"/>
              </w:rPr>
              <w:t>1 426,00</w:t>
            </w:r>
          </w:p>
        </w:tc>
      </w:tr>
      <w:tr w:rsidR="003422DB" w:rsidRPr="00800D1B" w14:paraId="2D065BDD" w14:textId="77777777" w:rsidTr="00E04517">
        <w:tc>
          <w:tcPr>
            <w:tcW w:w="0" w:type="auto"/>
          </w:tcPr>
          <w:p w14:paraId="2D065BD4" w14:textId="77777777" w:rsidR="00A77B3E" w:rsidRPr="00800D1B" w:rsidRDefault="00623E14" w:rsidP="00E04517">
            <w:pPr>
              <w:spacing w:before="100" w:after="100"/>
              <w:ind w:left="-72"/>
              <w:rPr>
                <w:color w:val="000000"/>
                <w:sz w:val="20"/>
                <w:lang w:val="sv-SE"/>
              </w:rPr>
            </w:pPr>
            <w:r w:rsidRPr="00800D1B">
              <w:rPr>
                <w:color w:val="000000"/>
                <w:sz w:val="20"/>
                <w:lang w:val="sv-SE"/>
              </w:rPr>
              <w:t>3</w:t>
            </w:r>
          </w:p>
        </w:tc>
        <w:tc>
          <w:tcPr>
            <w:tcW w:w="0" w:type="auto"/>
          </w:tcPr>
          <w:p w14:paraId="2D065BD5" w14:textId="77777777" w:rsidR="00A77B3E" w:rsidRPr="00800D1B" w:rsidRDefault="00623E14" w:rsidP="00E04517">
            <w:pPr>
              <w:spacing w:before="100" w:after="100"/>
              <w:ind w:left="-72"/>
              <w:rPr>
                <w:color w:val="000000"/>
                <w:sz w:val="20"/>
                <w:lang w:val="sv-SE"/>
              </w:rPr>
            </w:pPr>
            <w:r w:rsidRPr="00800D1B">
              <w:rPr>
                <w:color w:val="000000"/>
                <w:sz w:val="20"/>
                <w:lang w:val="sv-SE"/>
              </w:rPr>
              <w:t>RSO1.3</w:t>
            </w:r>
          </w:p>
        </w:tc>
        <w:tc>
          <w:tcPr>
            <w:tcW w:w="0" w:type="auto"/>
          </w:tcPr>
          <w:p w14:paraId="2D065BD6" w14:textId="77777777" w:rsidR="00A77B3E" w:rsidRPr="00800D1B" w:rsidRDefault="00623E14" w:rsidP="00E04517">
            <w:pPr>
              <w:spacing w:before="100" w:after="100"/>
              <w:ind w:left="-72"/>
              <w:rPr>
                <w:color w:val="000000"/>
                <w:sz w:val="20"/>
                <w:lang w:val="sv-SE"/>
              </w:rPr>
            </w:pPr>
            <w:r w:rsidRPr="00800D1B">
              <w:rPr>
                <w:color w:val="000000"/>
                <w:sz w:val="20"/>
                <w:lang w:val="sv-SE"/>
              </w:rPr>
              <w:t>Eruf</w:t>
            </w:r>
          </w:p>
        </w:tc>
        <w:tc>
          <w:tcPr>
            <w:tcW w:w="0" w:type="auto"/>
          </w:tcPr>
          <w:p w14:paraId="2D065BD7" w14:textId="77777777" w:rsidR="00A77B3E" w:rsidRPr="00800D1B" w:rsidRDefault="00623E14" w:rsidP="00A67879">
            <w:pPr>
              <w:spacing w:before="100" w:after="100"/>
              <w:ind w:left="-72" w:right="-135"/>
              <w:rPr>
                <w:color w:val="000000"/>
                <w:sz w:val="20"/>
                <w:lang w:val="sv-SE"/>
              </w:rPr>
            </w:pPr>
            <w:r w:rsidRPr="00800D1B">
              <w:rPr>
                <w:color w:val="000000"/>
                <w:sz w:val="20"/>
                <w:lang w:val="sv-SE"/>
              </w:rPr>
              <w:t>De yttersta randområdena eller de nordliga glesbefolkade områdena</w:t>
            </w:r>
          </w:p>
        </w:tc>
        <w:tc>
          <w:tcPr>
            <w:tcW w:w="0" w:type="auto"/>
          </w:tcPr>
          <w:p w14:paraId="2D065BD8" w14:textId="77777777" w:rsidR="00A77B3E" w:rsidRPr="00800D1B" w:rsidRDefault="00623E14" w:rsidP="00E04517">
            <w:pPr>
              <w:spacing w:before="100" w:after="100"/>
              <w:ind w:left="-72"/>
              <w:rPr>
                <w:color w:val="000000"/>
                <w:sz w:val="20"/>
                <w:lang w:val="sv-SE"/>
              </w:rPr>
            </w:pPr>
            <w:r w:rsidRPr="00800D1B">
              <w:rPr>
                <w:color w:val="000000"/>
                <w:sz w:val="20"/>
                <w:lang w:val="sv-SE"/>
              </w:rPr>
              <w:t>RCO02</w:t>
            </w:r>
          </w:p>
        </w:tc>
        <w:tc>
          <w:tcPr>
            <w:tcW w:w="0" w:type="auto"/>
          </w:tcPr>
          <w:p w14:paraId="2D065BD9" w14:textId="77777777" w:rsidR="00A77B3E" w:rsidRPr="00800D1B" w:rsidRDefault="00623E14" w:rsidP="00E04517">
            <w:pPr>
              <w:spacing w:before="100" w:after="100"/>
              <w:ind w:left="-72"/>
              <w:rPr>
                <w:color w:val="000000"/>
                <w:sz w:val="20"/>
                <w:lang w:val="sv-SE"/>
              </w:rPr>
            </w:pPr>
            <w:r w:rsidRPr="00800D1B">
              <w:rPr>
                <w:color w:val="000000"/>
                <w:sz w:val="20"/>
                <w:lang w:val="sv-SE"/>
              </w:rPr>
              <w:t>Företag som får bidrag</w:t>
            </w:r>
          </w:p>
        </w:tc>
        <w:tc>
          <w:tcPr>
            <w:tcW w:w="0" w:type="auto"/>
          </w:tcPr>
          <w:p w14:paraId="2D065BDA" w14:textId="77777777" w:rsidR="00A77B3E" w:rsidRPr="00800D1B" w:rsidRDefault="00623E14" w:rsidP="00E04517">
            <w:pPr>
              <w:spacing w:before="100" w:after="100"/>
              <w:ind w:left="-72"/>
              <w:rPr>
                <w:color w:val="000000"/>
                <w:sz w:val="20"/>
                <w:lang w:val="sv-SE"/>
              </w:rPr>
            </w:pPr>
            <w:r w:rsidRPr="00800D1B">
              <w:rPr>
                <w:color w:val="000000"/>
                <w:sz w:val="20"/>
                <w:lang w:val="sv-SE"/>
              </w:rPr>
              <w:t>företag</w:t>
            </w:r>
          </w:p>
        </w:tc>
        <w:tc>
          <w:tcPr>
            <w:tcW w:w="0" w:type="auto"/>
          </w:tcPr>
          <w:p w14:paraId="2D065BDB" w14:textId="77777777" w:rsidR="00A77B3E" w:rsidRPr="00800D1B" w:rsidRDefault="00623E14" w:rsidP="00E04517">
            <w:pPr>
              <w:spacing w:before="100" w:after="100"/>
              <w:ind w:left="-72"/>
              <w:jc w:val="right"/>
              <w:rPr>
                <w:color w:val="000000"/>
                <w:sz w:val="20"/>
                <w:lang w:val="sv-SE"/>
              </w:rPr>
            </w:pPr>
            <w:r w:rsidRPr="00800D1B">
              <w:rPr>
                <w:color w:val="000000"/>
                <w:sz w:val="20"/>
                <w:lang w:val="sv-SE"/>
              </w:rPr>
              <w:t>135,00</w:t>
            </w:r>
          </w:p>
        </w:tc>
        <w:tc>
          <w:tcPr>
            <w:tcW w:w="0" w:type="auto"/>
          </w:tcPr>
          <w:p w14:paraId="2D065BDC" w14:textId="77777777" w:rsidR="00A77B3E" w:rsidRPr="00800D1B" w:rsidRDefault="00623E14" w:rsidP="00E04517">
            <w:pPr>
              <w:spacing w:before="100" w:after="100"/>
              <w:ind w:left="-72"/>
              <w:jc w:val="right"/>
              <w:rPr>
                <w:color w:val="000000"/>
                <w:sz w:val="20"/>
                <w:lang w:val="sv-SE"/>
              </w:rPr>
            </w:pPr>
            <w:r w:rsidRPr="00800D1B">
              <w:rPr>
                <w:color w:val="000000"/>
                <w:sz w:val="20"/>
                <w:lang w:val="sv-SE"/>
              </w:rPr>
              <w:t>1 354,00</w:t>
            </w:r>
          </w:p>
        </w:tc>
      </w:tr>
      <w:tr w:rsidR="003422DB" w:rsidRPr="00800D1B" w14:paraId="2D065BE7" w14:textId="77777777" w:rsidTr="00E04517">
        <w:tc>
          <w:tcPr>
            <w:tcW w:w="0" w:type="auto"/>
          </w:tcPr>
          <w:p w14:paraId="2D065BDE" w14:textId="77777777" w:rsidR="00A77B3E" w:rsidRPr="00800D1B" w:rsidRDefault="00623E14" w:rsidP="00E04517">
            <w:pPr>
              <w:spacing w:before="100" w:after="100"/>
              <w:ind w:left="-72"/>
              <w:rPr>
                <w:color w:val="000000"/>
                <w:sz w:val="20"/>
                <w:lang w:val="sv-SE"/>
              </w:rPr>
            </w:pPr>
            <w:r w:rsidRPr="00800D1B">
              <w:rPr>
                <w:color w:val="000000"/>
                <w:sz w:val="20"/>
                <w:lang w:val="sv-SE"/>
              </w:rPr>
              <w:t>3</w:t>
            </w:r>
          </w:p>
        </w:tc>
        <w:tc>
          <w:tcPr>
            <w:tcW w:w="0" w:type="auto"/>
          </w:tcPr>
          <w:p w14:paraId="2D065BDF" w14:textId="77777777" w:rsidR="00A77B3E" w:rsidRPr="00800D1B" w:rsidRDefault="00623E14" w:rsidP="00E04517">
            <w:pPr>
              <w:spacing w:before="100" w:after="100"/>
              <w:ind w:left="-72"/>
              <w:rPr>
                <w:color w:val="000000"/>
                <w:sz w:val="20"/>
                <w:lang w:val="sv-SE"/>
              </w:rPr>
            </w:pPr>
            <w:r w:rsidRPr="00800D1B">
              <w:rPr>
                <w:color w:val="000000"/>
                <w:sz w:val="20"/>
                <w:lang w:val="sv-SE"/>
              </w:rPr>
              <w:t>RSO1.3</w:t>
            </w:r>
          </w:p>
        </w:tc>
        <w:tc>
          <w:tcPr>
            <w:tcW w:w="0" w:type="auto"/>
          </w:tcPr>
          <w:p w14:paraId="2D065BE0" w14:textId="77777777" w:rsidR="00A77B3E" w:rsidRPr="00800D1B" w:rsidRDefault="00623E14" w:rsidP="00E04517">
            <w:pPr>
              <w:spacing w:before="100" w:after="100"/>
              <w:ind w:left="-72"/>
              <w:rPr>
                <w:color w:val="000000"/>
                <w:sz w:val="20"/>
                <w:lang w:val="sv-SE"/>
              </w:rPr>
            </w:pPr>
            <w:r w:rsidRPr="00800D1B">
              <w:rPr>
                <w:color w:val="000000"/>
                <w:sz w:val="20"/>
                <w:lang w:val="sv-SE"/>
              </w:rPr>
              <w:t>Eruf</w:t>
            </w:r>
          </w:p>
        </w:tc>
        <w:tc>
          <w:tcPr>
            <w:tcW w:w="0" w:type="auto"/>
          </w:tcPr>
          <w:p w14:paraId="2D065BE1" w14:textId="77777777" w:rsidR="00A77B3E" w:rsidRPr="00800D1B" w:rsidRDefault="00623E14" w:rsidP="00A67879">
            <w:pPr>
              <w:spacing w:before="100" w:after="100"/>
              <w:ind w:left="-72" w:right="-135"/>
              <w:rPr>
                <w:color w:val="000000"/>
                <w:sz w:val="20"/>
                <w:lang w:val="sv-SE"/>
              </w:rPr>
            </w:pPr>
            <w:r w:rsidRPr="00800D1B">
              <w:rPr>
                <w:color w:val="000000"/>
                <w:sz w:val="20"/>
                <w:lang w:val="sv-SE"/>
              </w:rPr>
              <w:t>De yttersta randområdena eller de nordliga glesbefolkade områdena</w:t>
            </w:r>
          </w:p>
        </w:tc>
        <w:tc>
          <w:tcPr>
            <w:tcW w:w="0" w:type="auto"/>
          </w:tcPr>
          <w:p w14:paraId="2D065BE2" w14:textId="77777777" w:rsidR="00A77B3E" w:rsidRPr="00800D1B" w:rsidRDefault="00623E14" w:rsidP="00E04517">
            <w:pPr>
              <w:spacing w:before="100" w:after="100"/>
              <w:ind w:left="-72"/>
              <w:rPr>
                <w:color w:val="000000"/>
                <w:sz w:val="20"/>
                <w:lang w:val="sv-SE"/>
              </w:rPr>
            </w:pPr>
            <w:r w:rsidRPr="00800D1B">
              <w:rPr>
                <w:color w:val="000000"/>
                <w:sz w:val="20"/>
                <w:lang w:val="sv-SE"/>
              </w:rPr>
              <w:t>RCO03</w:t>
            </w:r>
          </w:p>
        </w:tc>
        <w:tc>
          <w:tcPr>
            <w:tcW w:w="0" w:type="auto"/>
          </w:tcPr>
          <w:p w14:paraId="2D065BE3" w14:textId="77777777" w:rsidR="00A77B3E" w:rsidRPr="00800D1B" w:rsidRDefault="00623E14" w:rsidP="00E04517">
            <w:pPr>
              <w:spacing w:before="100" w:after="100"/>
              <w:ind w:left="-72"/>
              <w:rPr>
                <w:color w:val="000000"/>
                <w:sz w:val="20"/>
                <w:lang w:val="sv-SE"/>
              </w:rPr>
            </w:pPr>
            <w:r w:rsidRPr="00800D1B">
              <w:rPr>
                <w:color w:val="000000"/>
                <w:sz w:val="20"/>
                <w:lang w:val="sv-SE"/>
              </w:rPr>
              <w:t>Företag som får stöd genom finansieringsinstrument</w:t>
            </w:r>
          </w:p>
        </w:tc>
        <w:tc>
          <w:tcPr>
            <w:tcW w:w="0" w:type="auto"/>
          </w:tcPr>
          <w:p w14:paraId="2D065BE4" w14:textId="77777777" w:rsidR="00A77B3E" w:rsidRPr="00800D1B" w:rsidRDefault="00623E14" w:rsidP="00E04517">
            <w:pPr>
              <w:spacing w:before="100" w:after="100"/>
              <w:ind w:left="-72"/>
              <w:rPr>
                <w:color w:val="000000"/>
                <w:sz w:val="20"/>
                <w:lang w:val="sv-SE"/>
              </w:rPr>
            </w:pPr>
            <w:r w:rsidRPr="00800D1B">
              <w:rPr>
                <w:color w:val="000000"/>
                <w:sz w:val="20"/>
                <w:lang w:val="sv-SE"/>
              </w:rPr>
              <w:t>företag</w:t>
            </w:r>
          </w:p>
        </w:tc>
        <w:tc>
          <w:tcPr>
            <w:tcW w:w="0" w:type="auto"/>
          </w:tcPr>
          <w:p w14:paraId="2D065BE5" w14:textId="77777777" w:rsidR="00A77B3E" w:rsidRPr="00800D1B" w:rsidRDefault="00623E14" w:rsidP="00E04517">
            <w:pPr>
              <w:spacing w:before="100" w:after="100"/>
              <w:ind w:left="-72"/>
              <w:jc w:val="right"/>
              <w:rPr>
                <w:color w:val="000000"/>
                <w:sz w:val="20"/>
                <w:lang w:val="sv-SE"/>
              </w:rPr>
            </w:pPr>
            <w:r w:rsidRPr="00800D1B">
              <w:rPr>
                <w:color w:val="000000"/>
                <w:sz w:val="20"/>
                <w:lang w:val="sv-SE"/>
              </w:rPr>
              <w:t>2,00</w:t>
            </w:r>
          </w:p>
        </w:tc>
        <w:tc>
          <w:tcPr>
            <w:tcW w:w="0" w:type="auto"/>
          </w:tcPr>
          <w:p w14:paraId="2D065BE6" w14:textId="77777777" w:rsidR="00A77B3E" w:rsidRPr="00800D1B" w:rsidRDefault="00623E14" w:rsidP="00E04517">
            <w:pPr>
              <w:spacing w:before="100" w:after="100"/>
              <w:ind w:left="-72"/>
              <w:jc w:val="right"/>
              <w:rPr>
                <w:color w:val="000000"/>
                <w:sz w:val="20"/>
                <w:lang w:val="sv-SE"/>
              </w:rPr>
            </w:pPr>
            <w:r w:rsidRPr="00800D1B">
              <w:rPr>
                <w:color w:val="000000"/>
                <w:sz w:val="20"/>
                <w:lang w:val="sv-SE"/>
              </w:rPr>
              <w:t>23,00</w:t>
            </w:r>
          </w:p>
        </w:tc>
      </w:tr>
      <w:tr w:rsidR="003422DB" w:rsidRPr="00800D1B" w14:paraId="2D065BF1" w14:textId="77777777" w:rsidTr="00E04517">
        <w:tc>
          <w:tcPr>
            <w:tcW w:w="0" w:type="auto"/>
          </w:tcPr>
          <w:p w14:paraId="2D065BE8" w14:textId="77777777" w:rsidR="00A77B3E" w:rsidRPr="00800D1B" w:rsidRDefault="00623E14" w:rsidP="00E04517">
            <w:pPr>
              <w:spacing w:before="100" w:after="100"/>
              <w:ind w:left="-72"/>
              <w:rPr>
                <w:color w:val="000000"/>
                <w:sz w:val="20"/>
                <w:lang w:val="sv-SE"/>
              </w:rPr>
            </w:pPr>
            <w:r w:rsidRPr="00800D1B">
              <w:rPr>
                <w:color w:val="000000"/>
                <w:sz w:val="20"/>
                <w:lang w:val="sv-SE"/>
              </w:rPr>
              <w:t>3</w:t>
            </w:r>
          </w:p>
        </w:tc>
        <w:tc>
          <w:tcPr>
            <w:tcW w:w="0" w:type="auto"/>
          </w:tcPr>
          <w:p w14:paraId="2D065BE9" w14:textId="77777777" w:rsidR="00A77B3E" w:rsidRPr="00800D1B" w:rsidRDefault="00623E14" w:rsidP="00E04517">
            <w:pPr>
              <w:spacing w:before="100" w:after="100"/>
              <w:ind w:left="-72"/>
              <w:rPr>
                <w:color w:val="000000"/>
                <w:sz w:val="20"/>
                <w:lang w:val="sv-SE"/>
              </w:rPr>
            </w:pPr>
            <w:r w:rsidRPr="00800D1B">
              <w:rPr>
                <w:color w:val="000000"/>
                <w:sz w:val="20"/>
                <w:lang w:val="sv-SE"/>
              </w:rPr>
              <w:t>RSO1.3</w:t>
            </w:r>
          </w:p>
        </w:tc>
        <w:tc>
          <w:tcPr>
            <w:tcW w:w="0" w:type="auto"/>
          </w:tcPr>
          <w:p w14:paraId="2D065BEA" w14:textId="77777777" w:rsidR="00A77B3E" w:rsidRPr="00800D1B" w:rsidRDefault="00623E14" w:rsidP="00E04517">
            <w:pPr>
              <w:spacing w:before="100" w:after="100"/>
              <w:ind w:left="-72"/>
              <w:rPr>
                <w:color w:val="000000"/>
                <w:sz w:val="20"/>
                <w:lang w:val="sv-SE"/>
              </w:rPr>
            </w:pPr>
            <w:r w:rsidRPr="00800D1B">
              <w:rPr>
                <w:color w:val="000000"/>
                <w:sz w:val="20"/>
                <w:lang w:val="sv-SE"/>
              </w:rPr>
              <w:t>Eruf</w:t>
            </w:r>
          </w:p>
        </w:tc>
        <w:tc>
          <w:tcPr>
            <w:tcW w:w="0" w:type="auto"/>
          </w:tcPr>
          <w:p w14:paraId="2D065BEB" w14:textId="77777777" w:rsidR="00A77B3E" w:rsidRPr="00800D1B" w:rsidRDefault="00623E14" w:rsidP="00A67879">
            <w:pPr>
              <w:spacing w:before="100" w:after="100"/>
              <w:ind w:left="-72" w:right="-135"/>
              <w:rPr>
                <w:color w:val="000000"/>
                <w:sz w:val="20"/>
                <w:lang w:val="sv-SE"/>
              </w:rPr>
            </w:pPr>
            <w:r w:rsidRPr="00800D1B">
              <w:rPr>
                <w:color w:val="000000"/>
                <w:sz w:val="20"/>
                <w:lang w:val="sv-SE"/>
              </w:rPr>
              <w:t>De yttersta randområdena eller de nordliga glesbefolkade områdena</w:t>
            </w:r>
          </w:p>
        </w:tc>
        <w:tc>
          <w:tcPr>
            <w:tcW w:w="0" w:type="auto"/>
          </w:tcPr>
          <w:p w14:paraId="2D065BEC" w14:textId="77777777" w:rsidR="00A77B3E" w:rsidRPr="00800D1B" w:rsidRDefault="00623E14" w:rsidP="00E04517">
            <w:pPr>
              <w:spacing w:before="100" w:after="100"/>
              <w:ind w:left="-72"/>
              <w:rPr>
                <w:color w:val="000000"/>
                <w:sz w:val="20"/>
                <w:lang w:val="sv-SE"/>
              </w:rPr>
            </w:pPr>
            <w:r w:rsidRPr="00800D1B">
              <w:rPr>
                <w:color w:val="000000"/>
                <w:sz w:val="20"/>
                <w:lang w:val="sv-SE"/>
              </w:rPr>
              <w:t>RCO04</w:t>
            </w:r>
          </w:p>
        </w:tc>
        <w:tc>
          <w:tcPr>
            <w:tcW w:w="0" w:type="auto"/>
          </w:tcPr>
          <w:p w14:paraId="2D065BED" w14:textId="77777777" w:rsidR="00A77B3E" w:rsidRPr="00800D1B" w:rsidRDefault="00623E14" w:rsidP="00E04517">
            <w:pPr>
              <w:spacing w:before="100" w:after="100"/>
              <w:ind w:left="-72"/>
              <w:rPr>
                <w:color w:val="000000"/>
                <w:sz w:val="20"/>
                <w:lang w:val="sv-SE"/>
              </w:rPr>
            </w:pPr>
            <w:r w:rsidRPr="00800D1B">
              <w:rPr>
                <w:color w:val="000000"/>
                <w:sz w:val="20"/>
                <w:lang w:val="sv-SE"/>
              </w:rPr>
              <w:t>Företag som får icke-finansiellt stöd</w:t>
            </w:r>
          </w:p>
        </w:tc>
        <w:tc>
          <w:tcPr>
            <w:tcW w:w="0" w:type="auto"/>
          </w:tcPr>
          <w:p w14:paraId="2D065BEE" w14:textId="77777777" w:rsidR="00A77B3E" w:rsidRPr="00800D1B" w:rsidRDefault="00623E14" w:rsidP="00E04517">
            <w:pPr>
              <w:spacing w:before="100" w:after="100"/>
              <w:ind w:left="-72"/>
              <w:rPr>
                <w:color w:val="000000"/>
                <w:sz w:val="20"/>
                <w:lang w:val="sv-SE"/>
              </w:rPr>
            </w:pPr>
            <w:r w:rsidRPr="00800D1B">
              <w:rPr>
                <w:color w:val="000000"/>
                <w:sz w:val="20"/>
                <w:lang w:val="sv-SE"/>
              </w:rPr>
              <w:t>företag</w:t>
            </w:r>
          </w:p>
        </w:tc>
        <w:tc>
          <w:tcPr>
            <w:tcW w:w="0" w:type="auto"/>
          </w:tcPr>
          <w:p w14:paraId="2D065BEF" w14:textId="77777777" w:rsidR="00A77B3E" w:rsidRPr="00800D1B" w:rsidRDefault="00623E14" w:rsidP="00E04517">
            <w:pPr>
              <w:spacing w:before="100" w:after="100"/>
              <w:ind w:left="-72"/>
              <w:jc w:val="right"/>
              <w:rPr>
                <w:color w:val="000000"/>
                <w:sz w:val="20"/>
                <w:lang w:val="sv-SE"/>
              </w:rPr>
            </w:pPr>
            <w:r w:rsidRPr="00800D1B">
              <w:rPr>
                <w:color w:val="000000"/>
                <w:sz w:val="20"/>
                <w:lang w:val="sv-SE"/>
              </w:rPr>
              <w:t>5,00</w:t>
            </w:r>
          </w:p>
        </w:tc>
        <w:tc>
          <w:tcPr>
            <w:tcW w:w="0" w:type="auto"/>
          </w:tcPr>
          <w:p w14:paraId="2D065BF0" w14:textId="77777777" w:rsidR="00A77B3E" w:rsidRPr="00800D1B" w:rsidRDefault="00623E14" w:rsidP="00E04517">
            <w:pPr>
              <w:spacing w:before="100" w:after="100"/>
              <w:ind w:left="-72"/>
              <w:jc w:val="right"/>
              <w:rPr>
                <w:color w:val="000000"/>
                <w:sz w:val="20"/>
                <w:lang w:val="sv-SE"/>
              </w:rPr>
            </w:pPr>
            <w:r w:rsidRPr="00800D1B">
              <w:rPr>
                <w:color w:val="000000"/>
                <w:sz w:val="20"/>
                <w:lang w:val="sv-SE"/>
              </w:rPr>
              <w:t>50,00</w:t>
            </w:r>
          </w:p>
        </w:tc>
      </w:tr>
      <w:tr w:rsidR="003422DB" w:rsidRPr="00800D1B" w14:paraId="2D065BFB" w14:textId="77777777" w:rsidTr="00E04517">
        <w:tc>
          <w:tcPr>
            <w:tcW w:w="0" w:type="auto"/>
          </w:tcPr>
          <w:p w14:paraId="2D065BF2" w14:textId="77777777" w:rsidR="00A77B3E" w:rsidRPr="00800D1B" w:rsidRDefault="00623E14" w:rsidP="00E04517">
            <w:pPr>
              <w:spacing w:before="100" w:after="100"/>
              <w:ind w:left="-72"/>
              <w:rPr>
                <w:color w:val="000000"/>
                <w:sz w:val="20"/>
                <w:lang w:val="sv-SE"/>
              </w:rPr>
            </w:pPr>
            <w:r w:rsidRPr="00800D1B">
              <w:rPr>
                <w:color w:val="000000"/>
                <w:sz w:val="20"/>
                <w:lang w:val="sv-SE"/>
              </w:rPr>
              <w:t>3</w:t>
            </w:r>
          </w:p>
        </w:tc>
        <w:tc>
          <w:tcPr>
            <w:tcW w:w="0" w:type="auto"/>
          </w:tcPr>
          <w:p w14:paraId="2D065BF3" w14:textId="77777777" w:rsidR="00A77B3E" w:rsidRPr="00800D1B" w:rsidRDefault="00623E14" w:rsidP="00E04517">
            <w:pPr>
              <w:spacing w:before="100" w:after="100"/>
              <w:ind w:left="-72"/>
              <w:rPr>
                <w:color w:val="000000"/>
                <w:sz w:val="20"/>
                <w:lang w:val="sv-SE"/>
              </w:rPr>
            </w:pPr>
            <w:r w:rsidRPr="00800D1B">
              <w:rPr>
                <w:color w:val="000000"/>
                <w:sz w:val="20"/>
                <w:lang w:val="sv-SE"/>
              </w:rPr>
              <w:t>RSO1.3</w:t>
            </w:r>
          </w:p>
        </w:tc>
        <w:tc>
          <w:tcPr>
            <w:tcW w:w="0" w:type="auto"/>
          </w:tcPr>
          <w:p w14:paraId="2D065BF4" w14:textId="77777777" w:rsidR="00A77B3E" w:rsidRPr="00800D1B" w:rsidRDefault="00623E14" w:rsidP="00E04517">
            <w:pPr>
              <w:spacing w:before="100" w:after="100"/>
              <w:ind w:left="-72"/>
              <w:rPr>
                <w:color w:val="000000"/>
                <w:sz w:val="20"/>
                <w:lang w:val="sv-SE"/>
              </w:rPr>
            </w:pPr>
            <w:r w:rsidRPr="00800D1B">
              <w:rPr>
                <w:color w:val="000000"/>
                <w:sz w:val="20"/>
                <w:lang w:val="sv-SE"/>
              </w:rPr>
              <w:t>Eruf</w:t>
            </w:r>
          </w:p>
        </w:tc>
        <w:tc>
          <w:tcPr>
            <w:tcW w:w="0" w:type="auto"/>
          </w:tcPr>
          <w:p w14:paraId="2D065BF5" w14:textId="77777777" w:rsidR="00A77B3E" w:rsidRPr="00800D1B" w:rsidRDefault="00623E14" w:rsidP="00A67879">
            <w:pPr>
              <w:spacing w:before="100" w:after="100"/>
              <w:ind w:left="-72" w:right="-135"/>
              <w:rPr>
                <w:color w:val="000000"/>
                <w:sz w:val="20"/>
                <w:lang w:val="sv-SE"/>
              </w:rPr>
            </w:pPr>
            <w:r w:rsidRPr="00800D1B">
              <w:rPr>
                <w:color w:val="000000"/>
                <w:sz w:val="20"/>
                <w:lang w:val="sv-SE"/>
              </w:rPr>
              <w:t>De yttersta randområdena eller de nordliga glesbefolkade områdena</w:t>
            </w:r>
          </w:p>
        </w:tc>
        <w:tc>
          <w:tcPr>
            <w:tcW w:w="0" w:type="auto"/>
          </w:tcPr>
          <w:p w14:paraId="2D065BF6" w14:textId="77777777" w:rsidR="00A77B3E" w:rsidRPr="00800D1B" w:rsidRDefault="00623E14" w:rsidP="00E04517">
            <w:pPr>
              <w:spacing w:before="100" w:after="100"/>
              <w:ind w:left="-72"/>
              <w:rPr>
                <w:color w:val="000000"/>
                <w:sz w:val="20"/>
                <w:lang w:val="sv-SE"/>
              </w:rPr>
            </w:pPr>
            <w:r w:rsidRPr="00800D1B">
              <w:rPr>
                <w:color w:val="000000"/>
                <w:sz w:val="20"/>
                <w:lang w:val="sv-SE"/>
              </w:rPr>
              <w:t>SWO01</w:t>
            </w:r>
          </w:p>
        </w:tc>
        <w:tc>
          <w:tcPr>
            <w:tcW w:w="0" w:type="auto"/>
          </w:tcPr>
          <w:p w14:paraId="2D065BF7" w14:textId="77777777" w:rsidR="00A77B3E" w:rsidRPr="00800D1B" w:rsidRDefault="00623E14" w:rsidP="00E04517">
            <w:pPr>
              <w:spacing w:before="100" w:after="100"/>
              <w:ind w:left="-72"/>
              <w:rPr>
                <w:color w:val="000000"/>
                <w:sz w:val="20"/>
                <w:lang w:val="sv-SE"/>
              </w:rPr>
            </w:pPr>
            <w:r w:rsidRPr="00800D1B">
              <w:rPr>
                <w:color w:val="000000"/>
                <w:sz w:val="20"/>
                <w:lang w:val="sv-SE"/>
              </w:rPr>
              <w:t>Antal organisationer som får stöd</w:t>
            </w:r>
          </w:p>
        </w:tc>
        <w:tc>
          <w:tcPr>
            <w:tcW w:w="0" w:type="auto"/>
          </w:tcPr>
          <w:p w14:paraId="2D065BF8" w14:textId="77777777" w:rsidR="00A77B3E" w:rsidRPr="00800D1B" w:rsidRDefault="00623E14" w:rsidP="00E04517">
            <w:pPr>
              <w:spacing w:before="100" w:after="100"/>
              <w:ind w:left="-72"/>
              <w:rPr>
                <w:color w:val="000000"/>
                <w:sz w:val="20"/>
                <w:lang w:val="sv-SE"/>
              </w:rPr>
            </w:pPr>
            <w:r w:rsidRPr="00800D1B">
              <w:rPr>
                <w:color w:val="000000"/>
                <w:sz w:val="20"/>
                <w:lang w:val="sv-SE"/>
              </w:rPr>
              <w:t>Organisationer</w:t>
            </w:r>
          </w:p>
        </w:tc>
        <w:tc>
          <w:tcPr>
            <w:tcW w:w="0" w:type="auto"/>
          </w:tcPr>
          <w:p w14:paraId="2D065BF9" w14:textId="77777777" w:rsidR="00A77B3E" w:rsidRPr="00800D1B" w:rsidRDefault="00623E14" w:rsidP="00E04517">
            <w:pPr>
              <w:spacing w:before="100" w:after="100"/>
              <w:ind w:left="-72"/>
              <w:jc w:val="right"/>
              <w:rPr>
                <w:color w:val="000000"/>
                <w:sz w:val="20"/>
                <w:lang w:val="sv-SE"/>
              </w:rPr>
            </w:pPr>
            <w:r w:rsidRPr="00800D1B">
              <w:rPr>
                <w:color w:val="000000"/>
                <w:sz w:val="20"/>
                <w:lang w:val="sv-SE"/>
              </w:rPr>
              <w:t>0,00</w:t>
            </w:r>
          </w:p>
        </w:tc>
        <w:tc>
          <w:tcPr>
            <w:tcW w:w="0" w:type="auto"/>
          </w:tcPr>
          <w:p w14:paraId="2D065BFA" w14:textId="77777777" w:rsidR="00A77B3E" w:rsidRPr="00800D1B" w:rsidRDefault="00623E14" w:rsidP="00E04517">
            <w:pPr>
              <w:spacing w:before="100" w:after="100"/>
              <w:ind w:left="-72"/>
              <w:jc w:val="right"/>
              <w:rPr>
                <w:color w:val="000000"/>
                <w:sz w:val="20"/>
                <w:lang w:val="sv-SE"/>
              </w:rPr>
            </w:pPr>
            <w:r w:rsidRPr="00800D1B">
              <w:rPr>
                <w:color w:val="000000"/>
                <w:sz w:val="20"/>
                <w:lang w:val="sv-SE"/>
              </w:rPr>
              <w:t>2,00</w:t>
            </w:r>
          </w:p>
        </w:tc>
      </w:tr>
      <w:tr w:rsidR="003422DB" w:rsidRPr="00800D1B" w14:paraId="2D065C05" w14:textId="77777777" w:rsidTr="00E04517">
        <w:tc>
          <w:tcPr>
            <w:tcW w:w="0" w:type="auto"/>
          </w:tcPr>
          <w:p w14:paraId="2D065BFC" w14:textId="77777777" w:rsidR="00A77B3E" w:rsidRPr="00800D1B" w:rsidRDefault="00623E14" w:rsidP="00E04517">
            <w:pPr>
              <w:spacing w:before="100" w:after="100"/>
              <w:ind w:left="-72"/>
              <w:rPr>
                <w:color w:val="000000"/>
                <w:sz w:val="20"/>
                <w:lang w:val="sv-SE"/>
              </w:rPr>
            </w:pPr>
            <w:r w:rsidRPr="00800D1B">
              <w:rPr>
                <w:color w:val="000000"/>
                <w:sz w:val="20"/>
                <w:lang w:val="sv-SE"/>
              </w:rPr>
              <w:t>3</w:t>
            </w:r>
          </w:p>
        </w:tc>
        <w:tc>
          <w:tcPr>
            <w:tcW w:w="0" w:type="auto"/>
          </w:tcPr>
          <w:p w14:paraId="2D065BFD" w14:textId="77777777" w:rsidR="00A77B3E" w:rsidRPr="00800D1B" w:rsidRDefault="00623E14" w:rsidP="00E04517">
            <w:pPr>
              <w:spacing w:before="100" w:after="100"/>
              <w:ind w:left="-72"/>
              <w:rPr>
                <w:color w:val="000000"/>
                <w:sz w:val="20"/>
                <w:lang w:val="sv-SE"/>
              </w:rPr>
            </w:pPr>
            <w:r w:rsidRPr="00800D1B">
              <w:rPr>
                <w:color w:val="000000"/>
                <w:sz w:val="20"/>
                <w:lang w:val="sv-SE"/>
              </w:rPr>
              <w:t>RSO1.3</w:t>
            </w:r>
          </w:p>
        </w:tc>
        <w:tc>
          <w:tcPr>
            <w:tcW w:w="0" w:type="auto"/>
          </w:tcPr>
          <w:p w14:paraId="2D065BFE" w14:textId="77777777" w:rsidR="00A77B3E" w:rsidRPr="00800D1B" w:rsidRDefault="00623E14" w:rsidP="00E04517">
            <w:pPr>
              <w:spacing w:before="100" w:after="100"/>
              <w:ind w:left="-72"/>
              <w:rPr>
                <w:color w:val="000000"/>
                <w:sz w:val="20"/>
                <w:lang w:val="sv-SE"/>
              </w:rPr>
            </w:pPr>
            <w:r w:rsidRPr="00800D1B">
              <w:rPr>
                <w:color w:val="000000"/>
                <w:sz w:val="20"/>
                <w:lang w:val="sv-SE"/>
              </w:rPr>
              <w:t>Eruf</w:t>
            </w:r>
          </w:p>
        </w:tc>
        <w:tc>
          <w:tcPr>
            <w:tcW w:w="0" w:type="auto"/>
          </w:tcPr>
          <w:p w14:paraId="2D065BFF" w14:textId="77777777" w:rsidR="00A77B3E" w:rsidRPr="00800D1B" w:rsidRDefault="00623E14" w:rsidP="00A67879">
            <w:pPr>
              <w:spacing w:before="100" w:after="100"/>
              <w:ind w:left="-72" w:right="-135"/>
              <w:rPr>
                <w:color w:val="000000"/>
                <w:sz w:val="20"/>
                <w:lang w:val="sv-SE"/>
              </w:rPr>
            </w:pPr>
            <w:r w:rsidRPr="00800D1B">
              <w:rPr>
                <w:color w:val="000000"/>
                <w:sz w:val="20"/>
                <w:lang w:val="sv-SE"/>
              </w:rPr>
              <w:t>De yttersta randområdena eller de nordliga glesbefolkade områdena</w:t>
            </w:r>
          </w:p>
        </w:tc>
        <w:tc>
          <w:tcPr>
            <w:tcW w:w="0" w:type="auto"/>
          </w:tcPr>
          <w:p w14:paraId="2D065C00" w14:textId="77777777" w:rsidR="00A77B3E" w:rsidRPr="00800D1B" w:rsidRDefault="00623E14" w:rsidP="00E04517">
            <w:pPr>
              <w:spacing w:before="100" w:after="100"/>
              <w:ind w:left="-72"/>
              <w:rPr>
                <w:color w:val="000000"/>
                <w:sz w:val="20"/>
                <w:lang w:val="sv-SE"/>
              </w:rPr>
            </w:pPr>
            <w:r w:rsidRPr="00800D1B">
              <w:rPr>
                <w:color w:val="000000"/>
                <w:sz w:val="20"/>
                <w:lang w:val="sv-SE"/>
              </w:rPr>
              <w:t>SWO02</w:t>
            </w:r>
          </w:p>
        </w:tc>
        <w:tc>
          <w:tcPr>
            <w:tcW w:w="0" w:type="auto"/>
          </w:tcPr>
          <w:p w14:paraId="2D065C01" w14:textId="77777777" w:rsidR="00A77B3E" w:rsidRPr="00800D1B" w:rsidRDefault="00623E14" w:rsidP="00E04517">
            <w:pPr>
              <w:spacing w:before="100" w:after="100"/>
              <w:ind w:left="-72"/>
              <w:rPr>
                <w:color w:val="000000"/>
                <w:sz w:val="20"/>
                <w:lang w:val="sv-SE"/>
              </w:rPr>
            </w:pPr>
            <w:r w:rsidRPr="00800D1B">
              <w:rPr>
                <w:color w:val="000000"/>
                <w:sz w:val="20"/>
                <w:lang w:val="sv-SE"/>
              </w:rPr>
              <w:t>Investeringar i euro</w:t>
            </w:r>
          </w:p>
        </w:tc>
        <w:tc>
          <w:tcPr>
            <w:tcW w:w="0" w:type="auto"/>
          </w:tcPr>
          <w:p w14:paraId="2D065C02" w14:textId="77777777" w:rsidR="00A77B3E" w:rsidRPr="00800D1B" w:rsidRDefault="00623E14" w:rsidP="00E04517">
            <w:pPr>
              <w:spacing w:before="100" w:after="100"/>
              <w:ind w:left="-72"/>
              <w:rPr>
                <w:color w:val="000000"/>
                <w:sz w:val="20"/>
                <w:lang w:val="sv-SE"/>
              </w:rPr>
            </w:pPr>
            <w:r w:rsidRPr="00800D1B">
              <w:rPr>
                <w:color w:val="000000"/>
                <w:sz w:val="20"/>
                <w:lang w:val="sv-SE"/>
              </w:rPr>
              <w:t>euro</w:t>
            </w:r>
          </w:p>
        </w:tc>
        <w:tc>
          <w:tcPr>
            <w:tcW w:w="0" w:type="auto"/>
          </w:tcPr>
          <w:p w14:paraId="2D065C03" w14:textId="77777777" w:rsidR="00A77B3E" w:rsidRPr="00800D1B" w:rsidRDefault="00623E14" w:rsidP="00E04517">
            <w:pPr>
              <w:spacing w:before="100" w:after="100"/>
              <w:ind w:left="-72"/>
              <w:jc w:val="right"/>
              <w:rPr>
                <w:color w:val="000000"/>
                <w:sz w:val="20"/>
                <w:lang w:val="sv-SE"/>
              </w:rPr>
            </w:pPr>
            <w:r w:rsidRPr="00800D1B">
              <w:rPr>
                <w:color w:val="000000"/>
                <w:sz w:val="20"/>
                <w:lang w:val="sv-SE"/>
              </w:rPr>
              <w:t>213 484,20</w:t>
            </w:r>
          </w:p>
        </w:tc>
        <w:tc>
          <w:tcPr>
            <w:tcW w:w="0" w:type="auto"/>
          </w:tcPr>
          <w:p w14:paraId="2D065C04" w14:textId="77777777" w:rsidR="00A77B3E" w:rsidRPr="00800D1B" w:rsidRDefault="00623E14" w:rsidP="00E04517">
            <w:pPr>
              <w:spacing w:before="100" w:after="100"/>
              <w:ind w:left="-72"/>
              <w:jc w:val="right"/>
              <w:rPr>
                <w:color w:val="000000"/>
                <w:sz w:val="20"/>
                <w:lang w:val="sv-SE"/>
              </w:rPr>
            </w:pPr>
            <w:r w:rsidRPr="00800D1B">
              <w:rPr>
                <w:color w:val="000000"/>
                <w:sz w:val="20"/>
                <w:lang w:val="sv-SE"/>
              </w:rPr>
              <w:t>2 134 841,90</w:t>
            </w:r>
          </w:p>
        </w:tc>
      </w:tr>
    </w:tbl>
    <w:p w14:paraId="2D065C07" w14:textId="77777777" w:rsidR="00A77B3E" w:rsidRPr="00800D1B" w:rsidRDefault="00623E14" w:rsidP="00A67879">
      <w:pPr>
        <w:spacing w:before="300"/>
        <w:rPr>
          <w:color w:val="000000"/>
          <w:sz w:val="0"/>
          <w:lang w:val="sv-SE"/>
        </w:rPr>
      </w:pPr>
      <w:r w:rsidRPr="00800D1B">
        <w:rPr>
          <w:color w:val="000000"/>
          <w:lang w:val="sv-SE"/>
        </w:rPr>
        <w:t>Referens: Artikel 22.3 d ii i förordningen om gemensamma bestämmelser</w:t>
      </w:r>
    </w:p>
    <w:p w14:paraId="2D065C08" w14:textId="03371C56" w:rsidR="00A77B3E" w:rsidRPr="00800D1B" w:rsidRDefault="00623E14" w:rsidP="003D08B5">
      <w:pPr>
        <w:spacing w:before="100" w:after="100"/>
        <w:rPr>
          <w:lang w:val="sv-SE"/>
        </w:rPr>
      </w:pPr>
      <w:bookmarkStart w:id="68" w:name="_Toc256000309"/>
      <w:r w:rsidRPr="00800D1B">
        <w:rPr>
          <w:lang w:val="sv-SE"/>
        </w:rPr>
        <w:t>Tabell 3: Resultatindikatorer</w:t>
      </w:r>
      <w:bookmarkEnd w:id="68"/>
    </w:p>
    <w:tbl>
      <w:tblPr>
        <w:tblStyle w:val="Tabellrutnt"/>
        <w:tblW w:w="5000" w:type="pct"/>
        <w:tblLook w:val="04A0" w:firstRow="1" w:lastRow="0" w:firstColumn="1" w:lastColumn="0" w:noHBand="0" w:noVBand="1"/>
        <w:tblDescription w:val="En tabell med tolv kolumner: Prioritering; Specifikt mål; Fond; Regionkategori; ID; Indikator; Mätenhet; Utgångsvärde eller referensvärde; Referensår; Mål (2029); Datakälla; Kommentarer. Tabellen visar information om Resultatindikatorer."/>
      </w:tblPr>
      <w:tblGrid>
        <w:gridCol w:w="1073"/>
        <w:gridCol w:w="896"/>
        <w:gridCol w:w="563"/>
        <w:gridCol w:w="1665"/>
        <w:gridCol w:w="785"/>
        <w:gridCol w:w="2619"/>
        <w:gridCol w:w="1707"/>
        <w:gridCol w:w="1365"/>
        <w:gridCol w:w="1018"/>
        <w:gridCol w:w="1301"/>
        <w:gridCol w:w="918"/>
        <w:gridCol w:w="1262"/>
      </w:tblGrid>
      <w:tr w:rsidR="003422DB" w:rsidRPr="00800D1B" w14:paraId="2D065C16" w14:textId="77777777" w:rsidTr="00E04517">
        <w:tc>
          <w:tcPr>
            <w:tcW w:w="0" w:type="auto"/>
          </w:tcPr>
          <w:p w14:paraId="2D065C0A" w14:textId="77777777" w:rsidR="00A77B3E" w:rsidRPr="00800D1B" w:rsidRDefault="00623E14" w:rsidP="00E04517">
            <w:pPr>
              <w:spacing w:before="100" w:after="100"/>
              <w:ind w:left="-72"/>
              <w:jc w:val="center"/>
              <w:rPr>
                <w:color w:val="000000"/>
                <w:sz w:val="20"/>
                <w:lang w:val="sv-SE"/>
              </w:rPr>
            </w:pPr>
            <w:r w:rsidRPr="00800D1B">
              <w:rPr>
                <w:color w:val="000000"/>
                <w:sz w:val="20"/>
                <w:lang w:val="sv-SE"/>
              </w:rPr>
              <w:t>Prioritering</w:t>
            </w:r>
          </w:p>
        </w:tc>
        <w:tc>
          <w:tcPr>
            <w:tcW w:w="0" w:type="auto"/>
          </w:tcPr>
          <w:p w14:paraId="2D065C0B" w14:textId="77777777" w:rsidR="00A77B3E" w:rsidRPr="00800D1B" w:rsidRDefault="00623E14" w:rsidP="00E04517">
            <w:pPr>
              <w:spacing w:before="100" w:after="100"/>
              <w:ind w:left="-72"/>
              <w:jc w:val="center"/>
              <w:rPr>
                <w:color w:val="000000"/>
                <w:sz w:val="20"/>
                <w:lang w:val="sv-SE"/>
              </w:rPr>
            </w:pPr>
            <w:r w:rsidRPr="00800D1B">
              <w:rPr>
                <w:color w:val="000000"/>
                <w:sz w:val="20"/>
                <w:lang w:val="sv-SE"/>
              </w:rPr>
              <w:t>Specifikt mål</w:t>
            </w:r>
          </w:p>
        </w:tc>
        <w:tc>
          <w:tcPr>
            <w:tcW w:w="0" w:type="auto"/>
          </w:tcPr>
          <w:p w14:paraId="2D065C0C" w14:textId="77777777" w:rsidR="00A77B3E" w:rsidRPr="00800D1B" w:rsidRDefault="00623E14" w:rsidP="00E04517">
            <w:pPr>
              <w:spacing w:before="100" w:after="100"/>
              <w:ind w:left="-72"/>
              <w:jc w:val="center"/>
              <w:rPr>
                <w:color w:val="000000"/>
                <w:sz w:val="20"/>
                <w:lang w:val="sv-SE"/>
              </w:rPr>
            </w:pPr>
            <w:r w:rsidRPr="00800D1B">
              <w:rPr>
                <w:color w:val="000000"/>
                <w:sz w:val="20"/>
                <w:lang w:val="sv-SE"/>
              </w:rPr>
              <w:t>Fond</w:t>
            </w:r>
          </w:p>
        </w:tc>
        <w:tc>
          <w:tcPr>
            <w:tcW w:w="0" w:type="auto"/>
          </w:tcPr>
          <w:p w14:paraId="2D065C0D" w14:textId="77777777" w:rsidR="00A77B3E" w:rsidRPr="00800D1B" w:rsidRDefault="00623E14" w:rsidP="00E04517">
            <w:pPr>
              <w:spacing w:before="100" w:after="100"/>
              <w:ind w:left="-72"/>
              <w:jc w:val="center"/>
              <w:rPr>
                <w:color w:val="000000"/>
                <w:sz w:val="20"/>
                <w:lang w:val="sv-SE"/>
              </w:rPr>
            </w:pPr>
            <w:r w:rsidRPr="00800D1B">
              <w:rPr>
                <w:color w:val="000000"/>
                <w:sz w:val="20"/>
                <w:lang w:val="sv-SE"/>
              </w:rPr>
              <w:t>Regionkategori</w:t>
            </w:r>
          </w:p>
        </w:tc>
        <w:tc>
          <w:tcPr>
            <w:tcW w:w="0" w:type="auto"/>
          </w:tcPr>
          <w:p w14:paraId="2D065C0E" w14:textId="77777777" w:rsidR="00A77B3E" w:rsidRPr="00800D1B" w:rsidRDefault="00623E14" w:rsidP="00E04517">
            <w:pPr>
              <w:spacing w:before="100" w:after="100"/>
              <w:ind w:left="-72"/>
              <w:jc w:val="center"/>
              <w:rPr>
                <w:color w:val="000000"/>
                <w:sz w:val="20"/>
                <w:lang w:val="sv-SE"/>
              </w:rPr>
            </w:pPr>
            <w:r w:rsidRPr="00800D1B">
              <w:rPr>
                <w:color w:val="000000"/>
                <w:sz w:val="20"/>
                <w:lang w:val="sv-SE"/>
              </w:rPr>
              <w:t>ID</w:t>
            </w:r>
          </w:p>
        </w:tc>
        <w:tc>
          <w:tcPr>
            <w:tcW w:w="0" w:type="auto"/>
          </w:tcPr>
          <w:p w14:paraId="2D065C0F" w14:textId="77777777" w:rsidR="00A77B3E" w:rsidRPr="00800D1B" w:rsidRDefault="00623E14" w:rsidP="00E04517">
            <w:pPr>
              <w:spacing w:before="100" w:after="100"/>
              <w:ind w:left="-72"/>
              <w:jc w:val="center"/>
              <w:rPr>
                <w:color w:val="000000"/>
                <w:sz w:val="20"/>
                <w:lang w:val="sv-SE"/>
              </w:rPr>
            </w:pPr>
            <w:r w:rsidRPr="00800D1B">
              <w:rPr>
                <w:color w:val="000000"/>
                <w:sz w:val="20"/>
                <w:lang w:val="sv-SE"/>
              </w:rPr>
              <w:t>Indikator</w:t>
            </w:r>
          </w:p>
        </w:tc>
        <w:tc>
          <w:tcPr>
            <w:tcW w:w="0" w:type="auto"/>
          </w:tcPr>
          <w:p w14:paraId="2D065C10" w14:textId="77777777" w:rsidR="00A77B3E" w:rsidRPr="00800D1B" w:rsidRDefault="00623E14" w:rsidP="00E04517">
            <w:pPr>
              <w:spacing w:before="100" w:after="100"/>
              <w:ind w:left="-72"/>
              <w:jc w:val="center"/>
              <w:rPr>
                <w:color w:val="000000"/>
                <w:sz w:val="20"/>
                <w:lang w:val="sv-SE"/>
              </w:rPr>
            </w:pPr>
            <w:r w:rsidRPr="00800D1B">
              <w:rPr>
                <w:color w:val="000000"/>
                <w:sz w:val="20"/>
                <w:lang w:val="sv-SE"/>
              </w:rPr>
              <w:t>Mätenhet</w:t>
            </w:r>
          </w:p>
        </w:tc>
        <w:tc>
          <w:tcPr>
            <w:tcW w:w="0" w:type="auto"/>
          </w:tcPr>
          <w:p w14:paraId="2D065C11" w14:textId="77777777" w:rsidR="00A77B3E" w:rsidRPr="00800D1B" w:rsidRDefault="00623E14" w:rsidP="00E04517">
            <w:pPr>
              <w:spacing w:before="100" w:after="100"/>
              <w:ind w:left="-72"/>
              <w:jc w:val="center"/>
              <w:rPr>
                <w:color w:val="000000"/>
                <w:sz w:val="20"/>
                <w:lang w:val="sv-SE"/>
              </w:rPr>
            </w:pPr>
            <w:r w:rsidRPr="00800D1B">
              <w:rPr>
                <w:color w:val="000000"/>
                <w:sz w:val="20"/>
                <w:lang w:val="sv-SE"/>
              </w:rPr>
              <w:t>Utgångsvärde eller referensvärde</w:t>
            </w:r>
          </w:p>
        </w:tc>
        <w:tc>
          <w:tcPr>
            <w:tcW w:w="0" w:type="auto"/>
          </w:tcPr>
          <w:p w14:paraId="2D065C12" w14:textId="77777777" w:rsidR="00A77B3E" w:rsidRPr="00800D1B" w:rsidRDefault="00623E14" w:rsidP="00E04517">
            <w:pPr>
              <w:spacing w:before="100" w:after="100"/>
              <w:ind w:left="-72"/>
              <w:jc w:val="center"/>
              <w:rPr>
                <w:color w:val="000000"/>
                <w:sz w:val="20"/>
                <w:lang w:val="sv-SE"/>
              </w:rPr>
            </w:pPr>
            <w:r w:rsidRPr="00800D1B">
              <w:rPr>
                <w:color w:val="000000"/>
                <w:sz w:val="20"/>
                <w:lang w:val="sv-SE"/>
              </w:rPr>
              <w:t>Referensår</w:t>
            </w:r>
          </w:p>
        </w:tc>
        <w:tc>
          <w:tcPr>
            <w:tcW w:w="0" w:type="auto"/>
          </w:tcPr>
          <w:p w14:paraId="2D065C13" w14:textId="77777777" w:rsidR="00A77B3E" w:rsidRPr="00800D1B" w:rsidRDefault="00623E14" w:rsidP="00E04517">
            <w:pPr>
              <w:spacing w:before="100" w:after="100"/>
              <w:ind w:left="-72"/>
              <w:jc w:val="center"/>
              <w:rPr>
                <w:color w:val="000000"/>
                <w:sz w:val="20"/>
                <w:lang w:val="sv-SE"/>
              </w:rPr>
            </w:pPr>
            <w:r w:rsidRPr="00800D1B">
              <w:rPr>
                <w:color w:val="000000"/>
                <w:sz w:val="20"/>
                <w:lang w:val="sv-SE"/>
              </w:rPr>
              <w:t>Mål (2029)</w:t>
            </w:r>
          </w:p>
        </w:tc>
        <w:tc>
          <w:tcPr>
            <w:tcW w:w="0" w:type="auto"/>
          </w:tcPr>
          <w:p w14:paraId="2D065C14" w14:textId="77777777" w:rsidR="00A77B3E" w:rsidRPr="00800D1B" w:rsidRDefault="00623E14" w:rsidP="00E04517">
            <w:pPr>
              <w:spacing w:before="100" w:after="100"/>
              <w:ind w:left="-72"/>
              <w:jc w:val="center"/>
              <w:rPr>
                <w:color w:val="000000"/>
                <w:sz w:val="20"/>
                <w:lang w:val="sv-SE"/>
              </w:rPr>
            </w:pPr>
            <w:r w:rsidRPr="00800D1B">
              <w:rPr>
                <w:color w:val="000000"/>
                <w:sz w:val="20"/>
                <w:lang w:val="sv-SE"/>
              </w:rPr>
              <w:t>Datakälla</w:t>
            </w:r>
          </w:p>
        </w:tc>
        <w:tc>
          <w:tcPr>
            <w:tcW w:w="0" w:type="auto"/>
          </w:tcPr>
          <w:p w14:paraId="2D065C15" w14:textId="77777777" w:rsidR="00A77B3E" w:rsidRPr="00800D1B" w:rsidRDefault="00623E14" w:rsidP="00E04517">
            <w:pPr>
              <w:spacing w:before="100" w:after="100"/>
              <w:ind w:left="-72"/>
              <w:jc w:val="center"/>
              <w:rPr>
                <w:color w:val="000000"/>
                <w:sz w:val="20"/>
                <w:lang w:val="sv-SE"/>
              </w:rPr>
            </w:pPr>
            <w:r w:rsidRPr="00800D1B">
              <w:rPr>
                <w:color w:val="000000"/>
                <w:sz w:val="20"/>
                <w:lang w:val="sv-SE"/>
              </w:rPr>
              <w:t>Kommentarer</w:t>
            </w:r>
          </w:p>
        </w:tc>
      </w:tr>
      <w:tr w:rsidR="003422DB" w:rsidRPr="00800D1B" w14:paraId="2D065C23" w14:textId="77777777" w:rsidTr="00E04517">
        <w:tc>
          <w:tcPr>
            <w:tcW w:w="0" w:type="auto"/>
          </w:tcPr>
          <w:p w14:paraId="2D065C17" w14:textId="77777777" w:rsidR="00A77B3E" w:rsidRPr="00800D1B" w:rsidRDefault="00623E14" w:rsidP="00E04517">
            <w:pPr>
              <w:spacing w:before="100" w:after="100"/>
              <w:ind w:left="-72"/>
              <w:rPr>
                <w:color w:val="000000"/>
                <w:sz w:val="20"/>
                <w:lang w:val="sv-SE"/>
              </w:rPr>
            </w:pPr>
            <w:r w:rsidRPr="00800D1B">
              <w:rPr>
                <w:color w:val="000000"/>
                <w:sz w:val="20"/>
                <w:lang w:val="sv-SE"/>
              </w:rPr>
              <w:t>3</w:t>
            </w:r>
          </w:p>
        </w:tc>
        <w:tc>
          <w:tcPr>
            <w:tcW w:w="0" w:type="auto"/>
          </w:tcPr>
          <w:p w14:paraId="2D065C18" w14:textId="77777777" w:rsidR="00A77B3E" w:rsidRPr="00800D1B" w:rsidRDefault="00623E14" w:rsidP="00E04517">
            <w:pPr>
              <w:spacing w:before="100" w:after="100"/>
              <w:ind w:left="-72"/>
              <w:rPr>
                <w:color w:val="000000"/>
                <w:sz w:val="20"/>
                <w:lang w:val="sv-SE"/>
              </w:rPr>
            </w:pPr>
            <w:r w:rsidRPr="00800D1B">
              <w:rPr>
                <w:color w:val="000000"/>
                <w:sz w:val="20"/>
                <w:lang w:val="sv-SE"/>
              </w:rPr>
              <w:t>RSO1.3</w:t>
            </w:r>
          </w:p>
        </w:tc>
        <w:tc>
          <w:tcPr>
            <w:tcW w:w="0" w:type="auto"/>
          </w:tcPr>
          <w:p w14:paraId="2D065C19" w14:textId="77777777" w:rsidR="00A77B3E" w:rsidRPr="00800D1B" w:rsidRDefault="00623E14" w:rsidP="00E04517">
            <w:pPr>
              <w:spacing w:before="100" w:after="100"/>
              <w:ind w:left="-72"/>
              <w:rPr>
                <w:color w:val="000000"/>
                <w:sz w:val="20"/>
                <w:lang w:val="sv-SE"/>
              </w:rPr>
            </w:pPr>
            <w:r w:rsidRPr="00800D1B">
              <w:rPr>
                <w:color w:val="000000"/>
                <w:sz w:val="20"/>
                <w:lang w:val="sv-SE"/>
              </w:rPr>
              <w:t>Eruf</w:t>
            </w:r>
          </w:p>
        </w:tc>
        <w:tc>
          <w:tcPr>
            <w:tcW w:w="0" w:type="auto"/>
          </w:tcPr>
          <w:p w14:paraId="2D065C1A" w14:textId="77777777" w:rsidR="00A77B3E" w:rsidRPr="00800D1B" w:rsidRDefault="00623E14" w:rsidP="00E04517">
            <w:pPr>
              <w:spacing w:before="100" w:after="100"/>
              <w:ind w:left="-72"/>
              <w:rPr>
                <w:color w:val="000000"/>
                <w:sz w:val="20"/>
                <w:lang w:val="sv-SE"/>
              </w:rPr>
            </w:pPr>
            <w:r w:rsidRPr="00800D1B">
              <w:rPr>
                <w:color w:val="000000"/>
                <w:sz w:val="20"/>
                <w:lang w:val="sv-SE"/>
              </w:rPr>
              <w:t>Mer utvecklade regioner</w:t>
            </w:r>
          </w:p>
        </w:tc>
        <w:tc>
          <w:tcPr>
            <w:tcW w:w="0" w:type="auto"/>
          </w:tcPr>
          <w:p w14:paraId="2D065C1B" w14:textId="77777777" w:rsidR="00A77B3E" w:rsidRPr="00800D1B" w:rsidRDefault="00623E14" w:rsidP="00E04517">
            <w:pPr>
              <w:spacing w:before="100" w:after="100"/>
              <w:ind w:left="-72"/>
              <w:rPr>
                <w:color w:val="000000"/>
                <w:sz w:val="20"/>
                <w:lang w:val="sv-SE"/>
              </w:rPr>
            </w:pPr>
            <w:r w:rsidRPr="00800D1B">
              <w:rPr>
                <w:color w:val="000000"/>
                <w:sz w:val="20"/>
                <w:lang w:val="sv-SE"/>
              </w:rPr>
              <w:t>RCR01</w:t>
            </w:r>
          </w:p>
        </w:tc>
        <w:tc>
          <w:tcPr>
            <w:tcW w:w="0" w:type="auto"/>
          </w:tcPr>
          <w:p w14:paraId="2D065C1C" w14:textId="77777777" w:rsidR="00A77B3E" w:rsidRPr="00800D1B" w:rsidRDefault="00623E14" w:rsidP="00E04517">
            <w:pPr>
              <w:spacing w:before="100" w:after="100"/>
              <w:ind w:left="-72"/>
              <w:rPr>
                <w:color w:val="000000"/>
                <w:sz w:val="20"/>
                <w:lang w:val="sv-SE"/>
              </w:rPr>
            </w:pPr>
            <w:r w:rsidRPr="00800D1B">
              <w:rPr>
                <w:color w:val="000000"/>
                <w:sz w:val="20"/>
                <w:lang w:val="sv-SE"/>
              </w:rPr>
              <w:t>Antal skapade arbetstillfällen i enheter som får stöd</w:t>
            </w:r>
          </w:p>
        </w:tc>
        <w:tc>
          <w:tcPr>
            <w:tcW w:w="0" w:type="auto"/>
          </w:tcPr>
          <w:p w14:paraId="2D065C1D" w14:textId="77777777" w:rsidR="00A77B3E" w:rsidRPr="00800D1B" w:rsidRDefault="00623E14" w:rsidP="00E04517">
            <w:pPr>
              <w:spacing w:before="100" w:after="100"/>
              <w:ind w:left="-72"/>
              <w:rPr>
                <w:color w:val="000000"/>
                <w:sz w:val="20"/>
                <w:lang w:val="sv-SE"/>
              </w:rPr>
            </w:pPr>
            <w:r w:rsidRPr="00800D1B">
              <w:rPr>
                <w:color w:val="000000"/>
                <w:sz w:val="20"/>
                <w:lang w:val="sv-SE"/>
              </w:rPr>
              <w:t>heltidsekvivalenter per år</w:t>
            </w:r>
          </w:p>
        </w:tc>
        <w:tc>
          <w:tcPr>
            <w:tcW w:w="0" w:type="auto"/>
          </w:tcPr>
          <w:p w14:paraId="2D065C1E" w14:textId="77777777" w:rsidR="00A77B3E" w:rsidRPr="00800D1B" w:rsidRDefault="00623E14" w:rsidP="00E04517">
            <w:pPr>
              <w:spacing w:before="100" w:after="100"/>
              <w:ind w:left="-72"/>
              <w:jc w:val="right"/>
              <w:rPr>
                <w:color w:val="000000"/>
                <w:sz w:val="20"/>
                <w:lang w:val="sv-SE"/>
              </w:rPr>
            </w:pPr>
            <w:r w:rsidRPr="00800D1B">
              <w:rPr>
                <w:color w:val="000000"/>
                <w:sz w:val="20"/>
                <w:lang w:val="sv-SE"/>
              </w:rPr>
              <w:t>0,00</w:t>
            </w:r>
          </w:p>
        </w:tc>
        <w:tc>
          <w:tcPr>
            <w:tcW w:w="0" w:type="auto"/>
          </w:tcPr>
          <w:p w14:paraId="2D065C1F" w14:textId="77777777" w:rsidR="00A77B3E" w:rsidRPr="00800D1B" w:rsidRDefault="00623E14" w:rsidP="00E04517">
            <w:pPr>
              <w:spacing w:before="100" w:after="100"/>
              <w:ind w:left="-72"/>
              <w:jc w:val="center"/>
              <w:rPr>
                <w:color w:val="000000"/>
                <w:sz w:val="20"/>
                <w:lang w:val="sv-SE"/>
              </w:rPr>
            </w:pPr>
            <w:r w:rsidRPr="00800D1B">
              <w:rPr>
                <w:color w:val="000000"/>
                <w:sz w:val="20"/>
                <w:lang w:val="sv-SE"/>
              </w:rPr>
              <w:t>2021</w:t>
            </w:r>
          </w:p>
        </w:tc>
        <w:tc>
          <w:tcPr>
            <w:tcW w:w="0" w:type="auto"/>
          </w:tcPr>
          <w:p w14:paraId="2D065C20" w14:textId="77777777" w:rsidR="00A77B3E" w:rsidRPr="00800D1B" w:rsidRDefault="00623E14" w:rsidP="00E04517">
            <w:pPr>
              <w:spacing w:before="100" w:after="100"/>
              <w:ind w:left="-72"/>
              <w:jc w:val="right"/>
              <w:rPr>
                <w:color w:val="000000"/>
                <w:sz w:val="20"/>
                <w:lang w:val="sv-SE"/>
              </w:rPr>
            </w:pPr>
            <w:r w:rsidRPr="00800D1B">
              <w:rPr>
                <w:color w:val="000000"/>
                <w:sz w:val="20"/>
                <w:lang w:val="sv-SE"/>
              </w:rPr>
              <w:t>55,00</w:t>
            </w:r>
          </w:p>
        </w:tc>
        <w:tc>
          <w:tcPr>
            <w:tcW w:w="0" w:type="auto"/>
          </w:tcPr>
          <w:p w14:paraId="2D065C21" w14:textId="77777777" w:rsidR="00A77B3E" w:rsidRPr="00800D1B" w:rsidRDefault="00623E14" w:rsidP="00E04517">
            <w:pPr>
              <w:spacing w:before="100" w:after="100"/>
              <w:ind w:left="-72"/>
              <w:rPr>
                <w:color w:val="000000"/>
                <w:sz w:val="20"/>
                <w:lang w:val="sv-SE"/>
              </w:rPr>
            </w:pPr>
            <w:r w:rsidRPr="00800D1B">
              <w:rPr>
                <w:color w:val="000000"/>
                <w:sz w:val="20"/>
                <w:lang w:val="sv-SE"/>
              </w:rPr>
              <w:t>Projekt</w:t>
            </w:r>
          </w:p>
        </w:tc>
        <w:tc>
          <w:tcPr>
            <w:tcW w:w="0" w:type="auto"/>
          </w:tcPr>
          <w:p w14:paraId="2D065C22" w14:textId="77777777" w:rsidR="00A77B3E" w:rsidRPr="00800D1B" w:rsidRDefault="00A77B3E" w:rsidP="00E04517">
            <w:pPr>
              <w:spacing w:before="100" w:after="100"/>
              <w:ind w:left="-72"/>
              <w:rPr>
                <w:color w:val="000000"/>
                <w:sz w:val="20"/>
                <w:lang w:val="sv-SE"/>
              </w:rPr>
            </w:pPr>
          </w:p>
        </w:tc>
      </w:tr>
      <w:tr w:rsidR="003422DB" w:rsidRPr="00800D1B" w14:paraId="2D065C30" w14:textId="77777777" w:rsidTr="00E04517">
        <w:tc>
          <w:tcPr>
            <w:tcW w:w="0" w:type="auto"/>
          </w:tcPr>
          <w:p w14:paraId="2D065C24" w14:textId="77777777" w:rsidR="00A77B3E" w:rsidRPr="00800D1B" w:rsidRDefault="00623E14" w:rsidP="00E04517">
            <w:pPr>
              <w:spacing w:before="100" w:after="100"/>
              <w:ind w:left="-72"/>
              <w:rPr>
                <w:color w:val="000000"/>
                <w:sz w:val="20"/>
                <w:lang w:val="sv-SE"/>
              </w:rPr>
            </w:pPr>
            <w:r w:rsidRPr="00800D1B">
              <w:rPr>
                <w:color w:val="000000"/>
                <w:sz w:val="20"/>
                <w:lang w:val="sv-SE"/>
              </w:rPr>
              <w:t>3</w:t>
            </w:r>
          </w:p>
        </w:tc>
        <w:tc>
          <w:tcPr>
            <w:tcW w:w="0" w:type="auto"/>
          </w:tcPr>
          <w:p w14:paraId="2D065C25" w14:textId="77777777" w:rsidR="00A77B3E" w:rsidRPr="00800D1B" w:rsidRDefault="00623E14" w:rsidP="00E04517">
            <w:pPr>
              <w:spacing w:before="100" w:after="100"/>
              <w:ind w:left="-72"/>
              <w:rPr>
                <w:color w:val="000000"/>
                <w:sz w:val="20"/>
                <w:lang w:val="sv-SE"/>
              </w:rPr>
            </w:pPr>
            <w:r w:rsidRPr="00800D1B">
              <w:rPr>
                <w:color w:val="000000"/>
                <w:sz w:val="20"/>
                <w:lang w:val="sv-SE"/>
              </w:rPr>
              <w:t>RSO1.3</w:t>
            </w:r>
          </w:p>
        </w:tc>
        <w:tc>
          <w:tcPr>
            <w:tcW w:w="0" w:type="auto"/>
          </w:tcPr>
          <w:p w14:paraId="2D065C26" w14:textId="77777777" w:rsidR="00A77B3E" w:rsidRPr="00800D1B" w:rsidRDefault="00623E14" w:rsidP="00E04517">
            <w:pPr>
              <w:spacing w:before="100" w:after="100"/>
              <w:ind w:left="-72"/>
              <w:rPr>
                <w:color w:val="000000"/>
                <w:sz w:val="20"/>
                <w:lang w:val="sv-SE"/>
              </w:rPr>
            </w:pPr>
            <w:r w:rsidRPr="00800D1B">
              <w:rPr>
                <w:color w:val="000000"/>
                <w:sz w:val="20"/>
                <w:lang w:val="sv-SE"/>
              </w:rPr>
              <w:t>Eruf</w:t>
            </w:r>
          </w:p>
        </w:tc>
        <w:tc>
          <w:tcPr>
            <w:tcW w:w="0" w:type="auto"/>
          </w:tcPr>
          <w:p w14:paraId="2D065C27" w14:textId="77777777" w:rsidR="00A77B3E" w:rsidRPr="00800D1B" w:rsidRDefault="00623E14" w:rsidP="00E04517">
            <w:pPr>
              <w:spacing w:before="100" w:after="100"/>
              <w:ind w:left="-72"/>
              <w:rPr>
                <w:color w:val="000000"/>
                <w:sz w:val="20"/>
                <w:lang w:val="sv-SE"/>
              </w:rPr>
            </w:pPr>
            <w:r w:rsidRPr="00800D1B">
              <w:rPr>
                <w:color w:val="000000"/>
                <w:sz w:val="20"/>
                <w:lang w:val="sv-SE"/>
              </w:rPr>
              <w:t>Mer utvecklade regioner</w:t>
            </w:r>
          </w:p>
        </w:tc>
        <w:tc>
          <w:tcPr>
            <w:tcW w:w="0" w:type="auto"/>
          </w:tcPr>
          <w:p w14:paraId="2D065C28" w14:textId="77777777" w:rsidR="00A77B3E" w:rsidRPr="00800D1B" w:rsidRDefault="00623E14" w:rsidP="00E04517">
            <w:pPr>
              <w:spacing w:before="100" w:after="100"/>
              <w:ind w:left="-72"/>
              <w:rPr>
                <w:color w:val="000000"/>
                <w:sz w:val="20"/>
                <w:lang w:val="sv-SE"/>
              </w:rPr>
            </w:pPr>
            <w:r w:rsidRPr="00800D1B">
              <w:rPr>
                <w:color w:val="000000"/>
                <w:sz w:val="20"/>
                <w:lang w:val="sv-SE"/>
              </w:rPr>
              <w:t>RCR02</w:t>
            </w:r>
          </w:p>
        </w:tc>
        <w:tc>
          <w:tcPr>
            <w:tcW w:w="0" w:type="auto"/>
          </w:tcPr>
          <w:p w14:paraId="2D065C29" w14:textId="77777777" w:rsidR="00A77B3E" w:rsidRPr="00800D1B" w:rsidRDefault="00623E14" w:rsidP="00E04517">
            <w:pPr>
              <w:spacing w:before="100" w:after="100"/>
              <w:ind w:left="-72"/>
              <w:rPr>
                <w:color w:val="000000"/>
                <w:sz w:val="20"/>
                <w:lang w:val="sv-SE"/>
              </w:rPr>
            </w:pPr>
            <w:r w:rsidRPr="00800D1B">
              <w:rPr>
                <w:color w:val="000000"/>
                <w:sz w:val="20"/>
                <w:lang w:val="sv-SE"/>
              </w:rPr>
              <w:t>Privata investeringar som matchar offentligt stöd (varav bidrag respektive finansieringsinstrument)</w:t>
            </w:r>
          </w:p>
        </w:tc>
        <w:tc>
          <w:tcPr>
            <w:tcW w:w="0" w:type="auto"/>
          </w:tcPr>
          <w:p w14:paraId="2D065C2A" w14:textId="77777777" w:rsidR="00A77B3E" w:rsidRPr="00800D1B" w:rsidRDefault="00623E14" w:rsidP="00E04517">
            <w:pPr>
              <w:spacing w:before="100" w:after="100"/>
              <w:ind w:left="-72"/>
              <w:rPr>
                <w:color w:val="000000"/>
                <w:sz w:val="20"/>
                <w:lang w:val="sv-SE"/>
              </w:rPr>
            </w:pPr>
            <w:r w:rsidRPr="00800D1B">
              <w:rPr>
                <w:color w:val="000000"/>
                <w:sz w:val="20"/>
                <w:lang w:val="sv-SE"/>
              </w:rPr>
              <w:t>euro</w:t>
            </w:r>
          </w:p>
        </w:tc>
        <w:tc>
          <w:tcPr>
            <w:tcW w:w="0" w:type="auto"/>
          </w:tcPr>
          <w:p w14:paraId="2D065C2B" w14:textId="77777777" w:rsidR="00A77B3E" w:rsidRPr="00800D1B" w:rsidRDefault="00623E14" w:rsidP="00E04517">
            <w:pPr>
              <w:spacing w:before="100" w:after="100"/>
              <w:ind w:left="-72"/>
              <w:jc w:val="right"/>
              <w:rPr>
                <w:color w:val="000000"/>
                <w:sz w:val="20"/>
                <w:lang w:val="sv-SE"/>
              </w:rPr>
            </w:pPr>
            <w:r w:rsidRPr="00800D1B">
              <w:rPr>
                <w:color w:val="000000"/>
                <w:sz w:val="20"/>
                <w:lang w:val="sv-SE"/>
              </w:rPr>
              <w:t>0,00</w:t>
            </w:r>
          </w:p>
        </w:tc>
        <w:tc>
          <w:tcPr>
            <w:tcW w:w="0" w:type="auto"/>
          </w:tcPr>
          <w:p w14:paraId="2D065C2C" w14:textId="77777777" w:rsidR="00A77B3E" w:rsidRPr="00800D1B" w:rsidRDefault="00623E14" w:rsidP="00E04517">
            <w:pPr>
              <w:spacing w:before="100" w:after="100"/>
              <w:ind w:left="-72"/>
              <w:jc w:val="center"/>
              <w:rPr>
                <w:color w:val="000000"/>
                <w:sz w:val="20"/>
                <w:lang w:val="sv-SE"/>
              </w:rPr>
            </w:pPr>
            <w:r w:rsidRPr="00800D1B">
              <w:rPr>
                <w:color w:val="000000"/>
                <w:sz w:val="20"/>
                <w:lang w:val="sv-SE"/>
              </w:rPr>
              <w:t>2021</w:t>
            </w:r>
          </w:p>
        </w:tc>
        <w:tc>
          <w:tcPr>
            <w:tcW w:w="0" w:type="auto"/>
          </w:tcPr>
          <w:p w14:paraId="2D065C2D" w14:textId="77777777" w:rsidR="00A77B3E" w:rsidRPr="00800D1B" w:rsidRDefault="00623E14" w:rsidP="00E04517">
            <w:pPr>
              <w:spacing w:before="100" w:after="100"/>
              <w:ind w:left="-72"/>
              <w:jc w:val="right"/>
              <w:rPr>
                <w:color w:val="000000"/>
                <w:sz w:val="20"/>
                <w:lang w:val="sv-SE"/>
              </w:rPr>
            </w:pPr>
            <w:r w:rsidRPr="00800D1B">
              <w:rPr>
                <w:color w:val="000000"/>
                <w:sz w:val="20"/>
                <w:lang w:val="sv-SE"/>
              </w:rPr>
              <w:t>9 712 105,00</w:t>
            </w:r>
          </w:p>
        </w:tc>
        <w:tc>
          <w:tcPr>
            <w:tcW w:w="0" w:type="auto"/>
          </w:tcPr>
          <w:p w14:paraId="2D065C2E" w14:textId="77777777" w:rsidR="00A77B3E" w:rsidRPr="00800D1B" w:rsidRDefault="00623E14" w:rsidP="00E04517">
            <w:pPr>
              <w:spacing w:before="100" w:after="100"/>
              <w:ind w:left="-72"/>
              <w:rPr>
                <w:color w:val="000000"/>
                <w:sz w:val="20"/>
                <w:lang w:val="sv-SE"/>
              </w:rPr>
            </w:pPr>
            <w:r w:rsidRPr="00800D1B">
              <w:rPr>
                <w:color w:val="000000"/>
                <w:sz w:val="20"/>
                <w:lang w:val="sv-SE"/>
              </w:rPr>
              <w:t>Projekt</w:t>
            </w:r>
          </w:p>
        </w:tc>
        <w:tc>
          <w:tcPr>
            <w:tcW w:w="0" w:type="auto"/>
          </w:tcPr>
          <w:p w14:paraId="2D065C2F" w14:textId="77777777" w:rsidR="00A77B3E" w:rsidRPr="00800D1B" w:rsidRDefault="00A77B3E" w:rsidP="00E04517">
            <w:pPr>
              <w:spacing w:before="100" w:after="100"/>
              <w:ind w:left="-72"/>
              <w:rPr>
                <w:color w:val="000000"/>
                <w:sz w:val="20"/>
                <w:lang w:val="sv-SE"/>
              </w:rPr>
            </w:pPr>
          </w:p>
        </w:tc>
      </w:tr>
      <w:tr w:rsidR="003422DB" w:rsidRPr="00800D1B" w14:paraId="2D065C3D" w14:textId="77777777" w:rsidTr="00E04517">
        <w:tc>
          <w:tcPr>
            <w:tcW w:w="0" w:type="auto"/>
          </w:tcPr>
          <w:p w14:paraId="2D065C31" w14:textId="77777777" w:rsidR="00A77B3E" w:rsidRPr="00800D1B" w:rsidRDefault="00623E14" w:rsidP="00E04517">
            <w:pPr>
              <w:spacing w:before="100" w:after="100"/>
              <w:ind w:left="-72"/>
              <w:rPr>
                <w:color w:val="000000"/>
                <w:sz w:val="20"/>
                <w:lang w:val="sv-SE"/>
              </w:rPr>
            </w:pPr>
            <w:r w:rsidRPr="00800D1B">
              <w:rPr>
                <w:color w:val="000000"/>
                <w:sz w:val="20"/>
                <w:lang w:val="sv-SE"/>
              </w:rPr>
              <w:t>3</w:t>
            </w:r>
          </w:p>
        </w:tc>
        <w:tc>
          <w:tcPr>
            <w:tcW w:w="0" w:type="auto"/>
          </w:tcPr>
          <w:p w14:paraId="2D065C32" w14:textId="77777777" w:rsidR="00A77B3E" w:rsidRPr="00800D1B" w:rsidRDefault="00623E14" w:rsidP="00E04517">
            <w:pPr>
              <w:spacing w:before="100" w:after="100"/>
              <w:ind w:left="-72"/>
              <w:rPr>
                <w:color w:val="000000"/>
                <w:sz w:val="20"/>
                <w:lang w:val="sv-SE"/>
              </w:rPr>
            </w:pPr>
            <w:r w:rsidRPr="00800D1B">
              <w:rPr>
                <w:color w:val="000000"/>
                <w:sz w:val="20"/>
                <w:lang w:val="sv-SE"/>
              </w:rPr>
              <w:t>RSO1.3</w:t>
            </w:r>
          </w:p>
        </w:tc>
        <w:tc>
          <w:tcPr>
            <w:tcW w:w="0" w:type="auto"/>
          </w:tcPr>
          <w:p w14:paraId="2D065C33" w14:textId="77777777" w:rsidR="00A77B3E" w:rsidRPr="00800D1B" w:rsidRDefault="00623E14" w:rsidP="00E04517">
            <w:pPr>
              <w:spacing w:before="100" w:after="100"/>
              <w:ind w:left="-72"/>
              <w:rPr>
                <w:color w:val="000000"/>
                <w:sz w:val="20"/>
                <w:lang w:val="sv-SE"/>
              </w:rPr>
            </w:pPr>
            <w:r w:rsidRPr="00800D1B">
              <w:rPr>
                <w:color w:val="000000"/>
                <w:sz w:val="20"/>
                <w:lang w:val="sv-SE"/>
              </w:rPr>
              <w:t>Eruf</w:t>
            </w:r>
          </w:p>
        </w:tc>
        <w:tc>
          <w:tcPr>
            <w:tcW w:w="0" w:type="auto"/>
          </w:tcPr>
          <w:p w14:paraId="2D065C34" w14:textId="77777777" w:rsidR="00A77B3E" w:rsidRPr="00800D1B" w:rsidRDefault="00623E14" w:rsidP="00E04517">
            <w:pPr>
              <w:spacing w:before="100" w:after="100"/>
              <w:ind w:left="-72"/>
              <w:rPr>
                <w:color w:val="000000"/>
                <w:sz w:val="20"/>
                <w:lang w:val="sv-SE"/>
              </w:rPr>
            </w:pPr>
            <w:r w:rsidRPr="00800D1B">
              <w:rPr>
                <w:color w:val="000000"/>
                <w:sz w:val="20"/>
                <w:lang w:val="sv-SE"/>
              </w:rPr>
              <w:t>Mer utvecklade regioner</w:t>
            </w:r>
          </w:p>
        </w:tc>
        <w:tc>
          <w:tcPr>
            <w:tcW w:w="0" w:type="auto"/>
          </w:tcPr>
          <w:p w14:paraId="2D065C35" w14:textId="77777777" w:rsidR="00A77B3E" w:rsidRPr="00800D1B" w:rsidRDefault="00623E14" w:rsidP="00E04517">
            <w:pPr>
              <w:spacing w:before="100" w:after="100"/>
              <w:ind w:left="-72"/>
              <w:rPr>
                <w:color w:val="000000"/>
                <w:sz w:val="20"/>
                <w:lang w:val="sv-SE"/>
              </w:rPr>
            </w:pPr>
            <w:r w:rsidRPr="00800D1B">
              <w:rPr>
                <w:color w:val="000000"/>
                <w:sz w:val="20"/>
                <w:lang w:val="sv-SE"/>
              </w:rPr>
              <w:t>RCR03</w:t>
            </w:r>
          </w:p>
        </w:tc>
        <w:tc>
          <w:tcPr>
            <w:tcW w:w="0" w:type="auto"/>
          </w:tcPr>
          <w:p w14:paraId="2D065C36" w14:textId="77777777" w:rsidR="00A77B3E" w:rsidRPr="00800D1B" w:rsidRDefault="00623E14" w:rsidP="00E04517">
            <w:pPr>
              <w:spacing w:before="100" w:after="100"/>
              <w:ind w:left="-72"/>
              <w:rPr>
                <w:color w:val="000000"/>
                <w:sz w:val="20"/>
                <w:lang w:val="sv-SE"/>
              </w:rPr>
            </w:pPr>
            <w:r w:rsidRPr="00800D1B">
              <w:rPr>
                <w:color w:val="000000"/>
                <w:sz w:val="20"/>
                <w:lang w:val="sv-SE"/>
              </w:rPr>
              <w:t>Små och medelstora företag (SMF) som inför produkt- eller processinnovationer</w:t>
            </w:r>
          </w:p>
        </w:tc>
        <w:tc>
          <w:tcPr>
            <w:tcW w:w="0" w:type="auto"/>
          </w:tcPr>
          <w:p w14:paraId="2D065C37" w14:textId="77777777" w:rsidR="00A77B3E" w:rsidRPr="00800D1B" w:rsidRDefault="00623E14" w:rsidP="00E04517">
            <w:pPr>
              <w:spacing w:before="100" w:after="100"/>
              <w:ind w:left="-72"/>
              <w:rPr>
                <w:color w:val="000000"/>
                <w:sz w:val="20"/>
                <w:lang w:val="sv-SE"/>
              </w:rPr>
            </w:pPr>
            <w:r w:rsidRPr="00800D1B">
              <w:rPr>
                <w:color w:val="000000"/>
                <w:sz w:val="20"/>
                <w:lang w:val="sv-SE"/>
              </w:rPr>
              <w:t>företag</w:t>
            </w:r>
          </w:p>
        </w:tc>
        <w:tc>
          <w:tcPr>
            <w:tcW w:w="0" w:type="auto"/>
          </w:tcPr>
          <w:p w14:paraId="2D065C38" w14:textId="77777777" w:rsidR="00A77B3E" w:rsidRPr="00800D1B" w:rsidRDefault="00623E14" w:rsidP="00E04517">
            <w:pPr>
              <w:spacing w:before="100" w:after="100"/>
              <w:ind w:left="-72"/>
              <w:jc w:val="right"/>
              <w:rPr>
                <w:color w:val="000000"/>
                <w:sz w:val="20"/>
                <w:lang w:val="sv-SE"/>
              </w:rPr>
            </w:pPr>
            <w:r w:rsidRPr="00800D1B">
              <w:rPr>
                <w:color w:val="000000"/>
                <w:sz w:val="20"/>
                <w:lang w:val="sv-SE"/>
              </w:rPr>
              <w:t>0,00</w:t>
            </w:r>
          </w:p>
        </w:tc>
        <w:tc>
          <w:tcPr>
            <w:tcW w:w="0" w:type="auto"/>
          </w:tcPr>
          <w:p w14:paraId="2D065C39" w14:textId="77777777" w:rsidR="00A77B3E" w:rsidRPr="00800D1B" w:rsidRDefault="00623E14" w:rsidP="00E04517">
            <w:pPr>
              <w:spacing w:before="100" w:after="100"/>
              <w:ind w:left="-72"/>
              <w:jc w:val="center"/>
              <w:rPr>
                <w:color w:val="000000"/>
                <w:sz w:val="20"/>
                <w:lang w:val="sv-SE"/>
              </w:rPr>
            </w:pPr>
            <w:r w:rsidRPr="00800D1B">
              <w:rPr>
                <w:color w:val="000000"/>
                <w:sz w:val="20"/>
                <w:lang w:val="sv-SE"/>
              </w:rPr>
              <w:t>2021</w:t>
            </w:r>
          </w:p>
        </w:tc>
        <w:tc>
          <w:tcPr>
            <w:tcW w:w="0" w:type="auto"/>
          </w:tcPr>
          <w:p w14:paraId="2D065C3A" w14:textId="77777777" w:rsidR="00A77B3E" w:rsidRPr="00800D1B" w:rsidRDefault="00623E14" w:rsidP="00E04517">
            <w:pPr>
              <w:spacing w:before="100" w:after="100"/>
              <w:ind w:left="-72"/>
              <w:jc w:val="right"/>
              <w:rPr>
                <w:color w:val="000000"/>
                <w:sz w:val="20"/>
                <w:lang w:val="sv-SE"/>
              </w:rPr>
            </w:pPr>
            <w:r w:rsidRPr="00800D1B">
              <w:rPr>
                <w:color w:val="000000"/>
                <w:sz w:val="20"/>
                <w:lang w:val="sv-SE"/>
              </w:rPr>
              <w:t>16,00</w:t>
            </w:r>
          </w:p>
        </w:tc>
        <w:tc>
          <w:tcPr>
            <w:tcW w:w="0" w:type="auto"/>
          </w:tcPr>
          <w:p w14:paraId="2D065C3B" w14:textId="77777777" w:rsidR="00A77B3E" w:rsidRPr="00800D1B" w:rsidRDefault="00623E14" w:rsidP="00E04517">
            <w:pPr>
              <w:spacing w:before="100" w:after="100"/>
              <w:ind w:left="-72"/>
              <w:rPr>
                <w:color w:val="000000"/>
                <w:sz w:val="20"/>
                <w:lang w:val="sv-SE"/>
              </w:rPr>
            </w:pPr>
            <w:r w:rsidRPr="00800D1B">
              <w:rPr>
                <w:color w:val="000000"/>
                <w:sz w:val="20"/>
                <w:lang w:val="sv-SE"/>
              </w:rPr>
              <w:t>Projekt</w:t>
            </w:r>
          </w:p>
        </w:tc>
        <w:tc>
          <w:tcPr>
            <w:tcW w:w="0" w:type="auto"/>
          </w:tcPr>
          <w:p w14:paraId="2D065C3C" w14:textId="77777777" w:rsidR="00A77B3E" w:rsidRPr="00800D1B" w:rsidRDefault="00A77B3E" w:rsidP="00E04517">
            <w:pPr>
              <w:spacing w:before="100" w:after="100"/>
              <w:ind w:left="-72"/>
              <w:rPr>
                <w:color w:val="000000"/>
                <w:sz w:val="20"/>
                <w:lang w:val="sv-SE"/>
              </w:rPr>
            </w:pPr>
          </w:p>
        </w:tc>
      </w:tr>
      <w:tr w:rsidR="003422DB" w:rsidRPr="00800D1B" w14:paraId="2D065C4A" w14:textId="77777777" w:rsidTr="00E04517">
        <w:tc>
          <w:tcPr>
            <w:tcW w:w="0" w:type="auto"/>
          </w:tcPr>
          <w:p w14:paraId="2D065C3E" w14:textId="77777777" w:rsidR="00A77B3E" w:rsidRPr="00800D1B" w:rsidRDefault="00623E14" w:rsidP="00E04517">
            <w:pPr>
              <w:spacing w:before="100" w:after="100"/>
              <w:ind w:left="-72"/>
              <w:rPr>
                <w:color w:val="000000"/>
                <w:sz w:val="20"/>
                <w:lang w:val="sv-SE"/>
              </w:rPr>
            </w:pPr>
            <w:r w:rsidRPr="00800D1B">
              <w:rPr>
                <w:color w:val="000000"/>
                <w:sz w:val="20"/>
                <w:lang w:val="sv-SE"/>
              </w:rPr>
              <w:t>3</w:t>
            </w:r>
          </w:p>
        </w:tc>
        <w:tc>
          <w:tcPr>
            <w:tcW w:w="0" w:type="auto"/>
          </w:tcPr>
          <w:p w14:paraId="2D065C3F" w14:textId="77777777" w:rsidR="00A77B3E" w:rsidRPr="00800D1B" w:rsidRDefault="00623E14" w:rsidP="00E04517">
            <w:pPr>
              <w:spacing w:before="100" w:after="100"/>
              <w:ind w:left="-72"/>
              <w:rPr>
                <w:color w:val="000000"/>
                <w:sz w:val="20"/>
                <w:lang w:val="sv-SE"/>
              </w:rPr>
            </w:pPr>
            <w:r w:rsidRPr="00800D1B">
              <w:rPr>
                <w:color w:val="000000"/>
                <w:sz w:val="20"/>
                <w:lang w:val="sv-SE"/>
              </w:rPr>
              <w:t>RSO1.3</w:t>
            </w:r>
          </w:p>
        </w:tc>
        <w:tc>
          <w:tcPr>
            <w:tcW w:w="0" w:type="auto"/>
          </w:tcPr>
          <w:p w14:paraId="2D065C40" w14:textId="77777777" w:rsidR="00A77B3E" w:rsidRPr="00800D1B" w:rsidRDefault="00623E14" w:rsidP="00E04517">
            <w:pPr>
              <w:spacing w:before="100" w:after="100"/>
              <w:ind w:left="-72"/>
              <w:rPr>
                <w:color w:val="000000"/>
                <w:sz w:val="20"/>
                <w:lang w:val="sv-SE"/>
              </w:rPr>
            </w:pPr>
            <w:r w:rsidRPr="00800D1B">
              <w:rPr>
                <w:color w:val="000000"/>
                <w:sz w:val="20"/>
                <w:lang w:val="sv-SE"/>
              </w:rPr>
              <w:t>Eruf</w:t>
            </w:r>
          </w:p>
        </w:tc>
        <w:tc>
          <w:tcPr>
            <w:tcW w:w="0" w:type="auto"/>
          </w:tcPr>
          <w:p w14:paraId="2D065C41" w14:textId="77777777" w:rsidR="00A77B3E" w:rsidRPr="00800D1B" w:rsidRDefault="00623E14" w:rsidP="00E04517">
            <w:pPr>
              <w:spacing w:before="100" w:after="100"/>
              <w:ind w:left="-72"/>
              <w:rPr>
                <w:color w:val="000000"/>
                <w:sz w:val="20"/>
                <w:lang w:val="sv-SE"/>
              </w:rPr>
            </w:pPr>
            <w:r w:rsidRPr="00800D1B">
              <w:rPr>
                <w:color w:val="000000"/>
                <w:sz w:val="20"/>
                <w:lang w:val="sv-SE"/>
              </w:rPr>
              <w:t>Mer utvecklade regioner</w:t>
            </w:r>
          </w:p>
        </w:tc>
        <w:tc>
          <w:tcPr>
            <w:tcW w:w="0" w:type="auto"/>
          </w:tcPr>
          <w:p w14:paraId="2D065C42" w14:textId="77777777" w:rsidR="00A77B3E" w:rsidRPr="00800D1B" w:rsidRDefault="00623E14" w:rsidP="00E04517">
            <w:pPr>
              <w:spacing w:before="100" w:after="100"/>
              <w:ind w:left="-72"/>
              <w:rPr>
                <w:color w:val="000000"/>
                <w:sz w:val="20"/>
                <w:lang w:val="sv-SE"/>
              </w:rPr>
            </w:pPr>
            <w:r w:rsidRPr="00800D1B">
              <w:rPr>
                <w:color w:val="000000"/>
                <w:sz w:val="20"/>
                <w:lang w:val="sv-SE"/>
              </w:rPr>
              <w:t>RCR04</w:t>
            </w:r>
          </w:p>
        </w:tc>
        <w:tc>
          <w:tcPr>
            <w:tcW w:w="0" w:type="auto"/>
          </w:tcPr>
          <w:p w14:paraId="2D065C43" w14:textId="77777777" w:rsidR="00A77B3E" w:rsidRPr="00800D1B" w:rsidRDefault="00623E14" w:rsidP="00E04517">
            <w:pPr>
              <w:spacing w:before="100" w:after="100"/>
              <w:ind w:left="-72"/>
              <w:rPr>
                <w:color w:val="000000"/>
                <w:sz w:val="20"/>
                <w:lang w:val="sv-SE"/>
              </w:rPr>
            </w:pPr>
            <w:r w:rsidRPr="00800D1B">
              <w:rPr>
                <w:color w:val="000000"/>
                <w:sz w:val="20"/>
                <w:lang w:val="sv-SE"/>
              </w:rPr>
              <w:t>Små och medelstora företag som inför marknadsförings- eller organisationsinnovationer</w:t>
            </w:r>
          </w:p>
        </w:tc>
        <w:tc>
          <w:tcPr>
            <w:tcW w:w="0" w:type="auto"/>
          </w:tcPr>
          <w:p w14:paraId="2D065C44" w14:textId="77777777" w:rsidR="00A77B3E" w:rsidRPr="00800D1B" w:rsidRDefault="00623E14" w:rsidP="00E04517">
            <w:pPr>
              <w:spacing w:before="100" w:after="100"/>
              <w:ind w:left="-72"/>
              <w:rPr>
                <w:color w:val="000000"/>
                <w:sz w:val="20"/>
                <w:lang w:val="sv-SE"/>
              </w:rPr>
            </w:pPr>
            <w:r w:rsidRPr="00800D1B">
              <w:rPr>
                <w:color w:val="000000"/>
                <w:sz w:val="20"/>
                <w:lang w:val="sv-SE"/>
              </w:rPr>
              <w:t>företag</w:t>
            </w:r>
          </w:p>
        </w:tc>
        <w:tc>
          <w:tcPr>
            <w:tcW w:w="0" w:type="auto"/>
          </w:tcPr>
          <w:p w14:paraId="2D065C45" w14:textId="77777777" w:rsidR="00A77B3E" w:rsidRPr="00800D1B" w:rsidRDefault="00623E14" w:rsidP="00E04517">
            <w:pPr>
              <w:spacing w:before="100" w:after="100"/>
              <w:ind w:left="-72"/>
              <w:jc w:val="right"/>
              <w:rPr>
                <w:color w:val="000000"/>
                <w:sz w:val="20"/>
                <w:lang w:val="sv-SE"/>
              </w:rPr>
            </w:pPr>
            <w:r w:rsidRPr="00800D1B">
              <w:rPr>
                <w:color w:val="000000"/>
                <w:sz w:val="20"/>
                <w:lang w:val="sv-SE"/>
              </w:rPr>
              <w:t>0,00</w:t>
            </w:r>
          </w:p>
        </w:tc>
        <w:tc>
          <w:tcPr>
            <w:tcW w:w="0" w:type="auto"/>
          </w:tcPr>
          <w:p w14:paraId="2D065C46" w14:textId="77777777" w:rsidR="00A77B3E" w:rsidRPr="00800D1B" w:rsidRDefault="00623E14" w:rsidP="00E04517">
            <w:pPr>
              <w:spacing w:before="100" w:after="100"/>
              <w:ind w:left="-72"/>
              <w:jc w:val="center"/>
              <w:rPr>
                <w:color w:val="000000"/>
                <w:sz w:val="20"/>
                <w:lang w:val="sv-SE"/>
              </w:rPr>
            </w:pPr>
            <w:r w:rsidRPr="00800D1B">
              <w:rPr>
                <w:color w:val="000000"/>
                <w:sz w:val="20"/>
                <w:lang w:val="sv-SE"/>
              </w:rPr>
              <w:t>2021</w:t>
            </w:r>
          </w:p>
        </w:tc>
        <w:tc>
          <w:tcPr>
            <w:tcW w:w="0" w:type="auto"/>
          </w:tcPr>
          <w:p w14:paraId="2D065C47" w14:textId="77777777" w:rsidR="00A77B3E" w:rsidRPr="00800D1B" w:rsidRDefault="00623E14" w:rsidP="00E04517">
            <w:pPr>
              <w:spacing w:before="100" w:after="100"/>
              <w:ind w:left="-72"/>
              <w:jc w:val="right"/>
              <w:rPr>
                <w:color w:val="000000"/>
                <w:sz w:val="20"/>
                <w:lang w:val="sv-SE"/>
              </w:rPr>
            </w:pPr>
            <w:r w:rsidRPr="00800D1B">
              <w:rPr>
                <w:color w:val="000000"/>
                <w:sz w:val="20"/>
                <w:lang w:val="sv-SE"/>
              </w:rPr>
              <w:t>16,00</w:t>
            </w:r>
          </w:p>
        </w:tc>
        <w:tc>
          <w:tcPr>
            <w:tcW w:w="0" w:type="auto"/>
          </w:tcPr>
          <w:p w14:paraId="2D065C48" w14:textId="77777777" w:rsidR="00A77B3E" w:rsidRPr="00800D1B" w:rsidRDefault="00623E14" w:rsidP="00E04517">
            <w:pPr>
              <w:spacing w:before="100" w:after="100"/>
              <w:ind w:left="-72"/>
              <w:rPr>
                <w:color w:val="000000"/>
                <w:sz w:val="20"/>
                <w:lang w:val="sv-SE"/>
              </w:rPr>
            </w:pPr>
            <w:r w:rsidRPr="00800D1B">
              <w:rPr>
                <w:color w:val="000000"/>
                <w:sz w:val="20"/>
                <w:lang w:val="sv-SE"/>
              </w:rPr>
              <w:t>Projekt</w:t>
            </w:r>
          </w:p>
        </w:tc>
        <w:tc>
          <w:tcPr>
            <w:tcW w:w="0" w:type="auto"/>
          </w:tcPr>
          <w:p w14:paraId="2D065C49" w14:textId="77777777" w:rsidR="00A77B3E" w:rsidRPr="00800D1B" w:rsidRDefault="00A77B3E" w:rsidP="00E04517">
            <w:pPr>
              <w:spacing w:before="100" w:after="100"/>
              <w:ind w:left="-72"/>
              <w:rPr>
                <w:color w:val="000000"/>
                <w:sz w:val="20"/>
                <w:lang w:val="sv-SE"/>
              </w:rPr>
            </w:pPr>
          </w:p>
        </w:tc>
      </w:tr>
      <w:tr w:rsidR="003422DB" w:rsidRPr="00800D1B" w14:paraId="2D065C57" w14:textId="77777777" w:rsidTr="00E04517">
        <w:tc>
          <w:tcPr>
            <w:tcW w:w="0" w:type="auto"/>
          </w:tcPr>
          <w:p w14:paraId="2D065C4B" w14:textId="77777777" w:rsidR="00A77B3E" w:rsidRPr="00800D1B" w:rsidRDefault="00623E14" w:rsidP="00E04517">
            <w:pPr>
              <w:spacing w:before="100" w:after="100"/>
              <w:ind w:left="-72"/>
              <w:rPr>
                <w:color w:val="000000"/>
                <w:sz w:val="20"/>
                <w:lang w:val="sv-SE"/>
              </w:rPr>
            </w:pPr>
            <w:r w:rsidRPr="00800D1B">
              <w:rPr>
                <w:color w:val="000000"/>
                <w:sz w:val="20"/>
                <w:lang w:val="sv-SE"/>
              </w:rPr>
              <w:t>3</w:t>
            </w:r>
          </w:p>
        </w:tc>
        <w:tc>
          <w:tcPr>
            <w:tcW w:w="0" w:type="auto"/>
          </w:tcPr>
          <w:p w14:paraId="2D065C4C" w14:textId="77777777" w:rsidR="00A77B3E" w:rsidRPr="00800D1B" w:rsidRDefault="00623E14" w:rsidP="00E04517">
            <w:pPr>
              <w:spacing w:before="100" w:after="100"/>
              <w:ind w:left="-72"/>
              <w:rPr>
                <w:color w:val="000000"/>
                <w:sz w:val="20"/>
                <w:lang w:val="sv-SE"/>
              </w:rPr>
            </w:pPr>
            <w:r w:rsidRPr="00800D1B">
              <w:rPr>
                <w:color w:val="000000"/>
                <w:sz w:val="20"/>
                <w:lang w:val="sv-SE"/>
              </w:rPr>
              <w:t>RSO1.3</w:t>
            </w:r>
          </w:p>
        </w:tc>
        <w:tc>
          <w:tcPr>
            <w:tcW w:w="0" w:type="auto"/>
          </w:tcPr>
          <w:p w14:paraId="2D065C4D" w14:textId="77777777" w:rsidR="00A77B3E" w:rsidRPr="00800D1B" w:rsidRDefault="00623E14" w:rsidP="00E04517">
            <w:pPr>
              <w:spacing w:before="100" w:after="100"/>
              <w:ind w:left="-72"/>
              <w:rPr>
                <w:color w:val="000000"/>
                <w:sz w:val="20"/>
                <w:lang w:val="sv-SE"/>
              </w:rPr>
            </w:pPr>
            <w:r w:rsidRPr="00800D1B">
              <w:rPr>
                <w:color w:val="000000"/>
                <w:sz w:val="20"/>
                <w:lang w:val="sv-SE"/>
              </w:rPr>
              <w:t>Eruf</w:t>
            </w:r>
          </w:p>
        </w:tc>
        <w:tc>
          <w:tcPr>
            <w:tcW w:w="0" w:type="auto"/>
          </w:tcPr>
          <w:p w14:paraId="2D065C4E" w14:textId="77777777" w:rsidR="00A77B3E" w:rsidRPr="00800D1B" w:rsidRDefault="00623E14" w:rsidP="00E04517">
            <w:pPr>
              <w:spacing w:before="100" w:after="100"/>
              <w:ind w:left="-72"/>
              <w:rPr>
                <w:color w:val="000000"/>
                <w:sz w:val="20"/>
                <w:lang w:val="sv-SE"/>
              </w:rPr>
            </w:pPr>
            <w:r w:rsidRPr="00800D1B">
              <w:rPr>
                <w:color w:val="000000"/>
                <w:sz w:val="20"/>
                <w:lang w:val="sv-SE"/>
              </w:rPr>
              <w:t>Mer utvecklade regioner</w:t>
            </w:r>
          </w:p>
        </w:tc>
        <w:tc>
          <w:tcPr>
            <w:tcW w:w="0" w:type="auto"/>
          </w:tcPr>
          <w:p w14:paraId="2D065C4F" w14:textId="77777777" w:rsidR="00A77B3E" w:rsidRPr="00800D1B" w:rsidRDefault="00623E14" w:rsidP="00E04517">
            <w:pPr>
              <w:spacing w:before="100" w:after="100"/>
              <w:ind w:left="-72"/>
              <w:rPr>
                <w:color w:val="000000"/>
                <w:sz w:val="20"/>
                <w:lang w:val="sv-SE"/>
              </w:rPr>
            </w:pPr>
            <w:r w:rsidRPr="00800D1B">
              <w:rPr>
                <w:color w:val="000000"/>
                <w:sz w:val="20"/>
                <w:lang w:val="sv-SE"/>
              </w:rPr>
              <w:t>RCR05</w:t>
            </w:r>
          </w:p>
        </w:tc>
        <w:tc>
          <w:tcPr>
            <w:tcW w:w="0" w:type="auto"/>
          </w:tcPr>
          <w:p w14:paraId="2D065C50" w14:textId="77777777" w:rsidR="00A77B3E" w:rsidRPr="00800D1B" w:rsidRDefault="00623E14" w:rsidP="00E04517">
            <w:pPr>
              <w:spacing w:before="100" w:after="100"/>
              <w:ind w:left="-72"/>
              <w:rPr>
                <w:color w:val="000000"/>
                <w:sz w:val="20"/>
                <w:lang w:val="sv-SE"/>
              </w:rPr>
            </w:pPr>
            <w:r w:rsidRPr="00800D1B">
              <w:rPr>
                <w:color w:val="000000"/>
                <w:sz w:val="20"/>
                <w:lang w:val="sv-SE"/>
              </w:rPr>
              <w:t>Små och medelstora företag som gör innovationer inom företaget</w:t>
            </w:r>
          </w:p>
        </w:tc>
        <w:tc>
          <w:tcPr>
            <w:tcW w:w="0" w:type="auto"/>
          </w:tcPr>
          <w:p w14:paraId="2D065C51" w14:textId="77777777" w:rsidR="00A77B3E" w:rsidRPr="00800D1B" w:rsidRDefault="00623E14" w:rsidP="00E04517">
            <w:pPr>
              <w:spacing w:before="100" w:after="100"/>
              <w:ind w:left="-72"/>
              <w:rPr>
                <w:color w:val="000000"/>
                <w:sz w:val="20"/>
                <w:lang w:val="sv-SE"/>
              </w:rPr>
            </w:pPr>
            <w:r w:rsidRPr="00800D1B">
              <w:rPr>
                <w:color w:val="000000"/>
                <w:sz w:val="20"/>
                <w:lang w:val="sv-SE"/>
              </w:rPr>
              <w:t>företag</w:t>
            </w:r>
          </w:p>
        </w:tc>
        <w:tc>
          <w:tcPr>
            <w:tcW w:w="0" w:type="auto"/>
          </w:tcPr>
          <w:p w14:paraId="2D065C52" w14:textId="77777777" w:rsidR="00A77B3E" w:rsidRPr="00800D1B" w:rsidRDefault="00623E14" w:rsidP="00E04517">
            <w:pPr>
              <w:spacing w:before="100" w:after="100"/>
              <w:ind w:left="-72"/>
              <w:jc w:val="right"/>
              <w:rPr>
                <w:color w:val="000000"/>
                <w:sz w:val="20"/>
                <w:lang w:val="sv-SE"/>
              </w:rPr>
            </w:pPr>
            <w:r w:rsidRPr="00800D1B">
              <w:rPr>
                <w:color w:val="000000"/>
                <w:sz w:val="20"/>
                <w:lang w:val="sv-SE"/>
              </w:rPr>
              <w:t>0,00</w:t>
            </w:r>
          </w:p>
        </w:tc>
        <w:tc>
          <w:tcPr>
            <w:tcW w:w="0" w:type="auto"/>
          </w:tcPr>
          <w:p w14:paraId="2D065C53" w14:textId="77777777" w:rsidR="00A77B3E" w:rsidRPr="00800D1B" w:rsidRDefault="00623E14" w:rsidP="00E04517">
            <w:pPr>
              <w:spacing w:before="100" w:after="100"/>
              <w:ind w:left="-72"/>
              <w:jc w:val="center"/>
              <w:rPr>
                <w:color w:val="000000"/>
                <w:sz w:val="20"/>
                <w:lang w:val="sv-SE"/>
              </w:rPr>
            </w:pPr>
            <w:r w:rsidRPr="00800D1B">
              <w:rPr>
                <w:color w:val="000000"/>
                <w:sz w:val="20"/>
                <w:lang w:val="sv-SE"/>
              </w:rPr>
              <w:t>2021</w:t>
            </w:r>
          </w:p>
        </w:tc>
        <w:tc>
          <w:tcPr>
            <w:tcW w:w="0" w:type="auto"/>
          </w:tcPr>
          <w:p w14:paraId="2D065C54" w14:textId="77777777" w:rsidR="00A77B3E" w:rsidRPr="00800D1B" w:rsidRDefault="00623E14" w:rsidP="00E04517">
            <w:pPr>
              <w:spacing w:before="100" w:after="100"/>
              <w:ind w:left="-72"/>
              <w:jc w:val="right"/>
              <w:rPr>
                <w:color w:val="000000"/>
                <w:sz w:val="20"/>
                <w:lang w:val="sv-SE"/>
              </w:rPr>
            </w:pPr>
            <w:r w:rsidRPr="00800D1B">
              <w:rPr>
                <w:color w:val="000000"/>
                <w:sz w:val="20"/>
                <w:lang w:val="sv-SE"/>
              </w:rPr>
              <w:t>16,00</w:t>
            </w:r>
          </w:p>
        </w:tc>
        <w:tc>
          <w:tcPr>
            <w:tcW w:w="0" w:type="auto"/>
          </w:tcPr>
          <w:p w14:paraId="2D065C55" w14:textId="77777777" w:rsidR="00A77B3E" w:rsidRPr="00800D1B" w:rsidRDefault="00623E14" w:rsidP="00E04517">
            <w:pPr>
              <w:spacing w:before="100" w:after="100"/>
              <w:ind w:left="-72"/>
              <w:rPr>
                <w:color w:val="000000"/>
                <w:sz w:val="20"/>
                <w:lang w:val="sv-SE"/>
              </w:rPr>
            </w:pPr>
            <w:r w:rsidRPr="00800D1B">
              <w:rPr>
                <w:color w:val="000000"/>
                <w:sz w:val="20"/>
                <w:lang w:val="sv-SE"/>
              </w:rPr>
              <w:t>Projekt</w:t>
            </w:r>
          </w:p>
        </w:tc>
        <w:tc>
          <w:tcPr>
            <w:tcW w:w="0" w:type="auto"/>
          </w:tcPr>
          <w:p w14:paraId="2D065C56" w14:textId="77777777" w:rsidR="00A77B3E" w:rsidRPr="00800D1B" w:rsidRDefault="00A77B3E" w:rsidP="00E04517">
            <w:pPr>
              <w:spacing w:before="100" w:after="100"/>
              <w:ind w:left="-72"/>
              <w:rPr>
                <w:color w:val="000000"/>
                <w:sz w:val="20"/>
                <w:lang w:val="sv-SE"/>
              </w:rPr>
            </w:pPr>
          </w:p>
        </w:tc>
      </w:tr>
      <w:tr w:rsidR="003422DB" w:rsidRPr="00800D1B" w14:paraId="2D065C64" w14:textId="77777777" w:rsidTr="00E04517">
        <w:tc>
          <w:tcPr>
            <w:tcW w:w="0" w:type="auto"/>
          </w:tcPr>
          <w:p w14:paraId="2D065C58" w14:textId="77777777" w:rsidR="00A77B3E" w:rsidRPr="00800D1B" w:rsidRDefault="00623E14" w:rsidP="00E04517">
            <w:pPr>
              <w:spacing w:before="100" w:after="100"/>
              <w:ind w:left="-72"/>
              <w:rPr>
                <w:color w:val="000000"/>
                <w:sz w:val="20"/>
                <w:lang w:val="sv-SE"/>
              </w:rPr>
            </w:pPr>
            <w:r w:rsidRPr="00800D1B">
              <w:rPr>
                <w:color w:val="000000"/>
                <w:sz w:val="20"/>
                <w:lang w:val="sv-SE"/>
              </w:rPr>
              <w:t>3</w:t>
            </w:r>
          </w:p>
        </w:tc>
        <w:tc>
          <w:tcPr>
            <w:tcW w:w="0" w:type="auto"/>
          </w:tcPr>
          <w:p w14:paraId="2D065C59" w14:textId="77777777" w:rsidR="00A77B3E" w:rsidRPr="00800D1B" w:rsidRDefault="00623E14" w:rsidP="00E04517">
            <w:pPr>
              <w:spacing w:before="100" w:after="100"/>
              <w:ind w:left="-72"/>
              <w:rPr>
                <w:color w:val="000000"/>
                <w:sz w:val="20"/>
                <w:lang w:val="sv-SE"/>
              </w:rPr>
            </w:pPr>
            <w:r w:rsidRPr="00800D1B">
              <w:rPr>
                <w:color w:val="000000"/>
                <w:sz w:val="20"/>
                <w:lang w:val="sv-SE"/>
              </w:rPr>
              <w:t>RSO1.3</w:t>
            </w:r>
          </w:p>
        </w:tc>
        <w:tc>
          <w:tcPr>
            <w:tcW w:w="0" w:type="auto"/>
          </w:tcPr>
          <w:p w14:paraId="2D065C5A" w14:textId="77777777" w:rsidR="00A77B3E" w:rsidRPr="00800D1B" w:rsidRDefault="00623E14" w:rsidP="00E04517">
            <w:pPr>
              <w:spacing w:before="100" w:after="100"/>
              <w:ind w:left="-72"/>
              <w:rPr>
                <w:color w:val="000000"/>
                <w:sz w:val="20"/>
                <w:lang w:val="sv-SE"/>
              </w:rPr>
            </w:pPr>
            <w:r w:rsidRPr="00800D1B">
              <w:rPr>
                <w:color w:val="000000"/>
                <w:sz w:val="20"/>
                <w:lang w:val="sv-SE"/>
              </w:rPr>
              <w:t>Eruf</w:t>
            </w:r>
          </w:p>
        </w:tc>
        <w:tc>
          <w:tcPr>
            <w:tcW w:w="0" w:type="auto"/>
          </w:tcPr>
          <w:p w14:paraId="2D065C5B" w14:textId="77777777" w:rsidR="00A77B3E" w:rsidRPr="00800D1B" w:rsidRDefault="00623E14" w:rsidP="00E04517">
            <w:pPr>
              <w:spacing w:before="100" w:after="100"/>
              <w:ind w:left="-72"/>
              <w:rPr>
                <w:color w:val="000000"/>
                <w:sz w:val="20"/>
                <w:lang w:val="sv-SE"/>
              </w:rPr>
            </w:pPr>
            <w:r w:rsidRPr="00800D1B">
              <w:rPr>
                <w:color w:val="000000"/>
                <w:sz w:val="20"/>
                <w:lang w:val="sv-SE"/>
              </w:rPr>
              <w:t>Mer utvecklade regioner</w:t>
            </w:r>
          </w:p>
        </w:tc>
        <w:tc>
          <w:tcPr>
            <w:tcW w:w="0" w:type="auto"/>
          </w:tcPr>
          <w:p w14:paraId="2D065C5C" w14:textId="77777777" w:rsidR="00A77B3E" w:rsidRPr="00800D1B" w:rsidRDefault="00623E14" w:rsidP="00E04517">
            <w:pPr>
              <w:spacing w:before="100" w:after="100"/>
              <w:ind w:left="-72"/>
              <w:rPr>
                <w:color w:val="000000"/>
                <w:sz w:val="20"/>
                <w:lang w:val="sv-SE"/>
              </w:rPr>
            </w:pPr>
            <w:r w:rsidRPr="00800D1B">
              <w:rPr>
                <w:color w:val="000000"/>
                <w:sz w:val="20"/>
                <w:lang w:val="sv-SE"/>
              </w:rPr>
              <w:t>SWR03</w:t>
            </w:r>
          </w:p>
        </w:tc>
        <w:tc>
          <w:tcPr>
            <w:tcW w:w="0" w:type="auto"/>
          </w:tcPr>
          <w:p w14:paraId="2D065C5D" w14:textId="77777777" w:rsidR="00A77B3E" w:rsidRPr="00800D1B" w:rsidRDefault="00623E14" w:rsidP="00E04517">
            <w:pPr>
              <w:spacing w:before="100" w:after="100"/>
              <w:ind w:left="-72"/>
              <w:rPr>
                <w:color w:val="000000"/>
                <w:sz w:val="20"/>
                <w:lang w:val="sv-SE"/>
              </w:rPr>
            </w:pPr>
            <w:r w:rsidRPr="00800D1B">
              <w:rPr>
                <w:color w:val="000000"/>
                <w:sz w:val="20"/>
                <w:lang w:val="sv-SE"/>
              </w:rPr>
              <w:t xml:space="preserve"> Antal användare av implementerade stödstrukturer</w:t>
            </w:r>
          </w:p>
        </w:tc>
        <w:tc>
          <w:tcPr>
            <w:tcW w:w="0" w:type="auto"/>
          </w:tcPr>
          <w:p w14:paraId="2D065C5E" w14:textId="77777777" w:rsidR="00A77B3E" w:rsidRPr="00800D1B" w:rsidRDefault="00623E14" w:rsidP="00E04517">
            <w:pPr>
              <w:spacing w:before="100" w:after="100"/>
              <w:ind w:left="-72"/>
              <w:rPr>
                <w:color w:val="000000"/>
                <w:sz w:val="20"/>
                <w:lang w:val="sv-SE"/>
              </w:rPr>
            </w:pPr>
            <w:r w:rsidRPr="00800D1B">
              <w:rPr>
                <w:color w:val="000000"/>
                <w:sz w:val="20"/>
                <w:lang w:val="sv-SE"/>
              </w:rPr>
              <w:t>Användare</w:t>
            </w:r>
          </w:p>
        </w:tc>
        <w:tc>
          <w:tcPr>
            <w:tcW w:w="0" w:type="auto"/>
          </w:tcPr>
          <w:p w14:paraId="2D065C5F" w14:textId="77777777" w:rsidR="00A77B3E" w:rsidRPr="00800D1B" w:rsidRDefault="00623E14" w:rsidP="00E04517">
            <w:pPr>
              <w:spacing w:before="100" w:after="100"/>
              <w:ind w:left="-72"/>
              <w:jc w:val="right"/>
              <w:rPr>
                <w:color w:val="000000"/>
                <w:sz w:val="20"/>
                <w:lang w:val="sv-SE"/>
              </w:rPr>
            </w:pPr>
            <w:r w:rsidRPr="00800D1B">
              <w:rPr>
                <w:color w:val="000000"/>
                <w:sz w:val="20"/>
                <w:lang w:val="sv-SE"/>
              </w:rPr>
              <w:t>0,00</w:t>
            </w:r>
          </w:p>
        </w:tc>
        <w:tc>
          <w:tcPr>
            <w:tcW w:w="0" w:type="auto"/>
          </w:tcPr>
          <w:p w14:paraId="2D065C60" w14:textId="77777777" w:rsidR="00A77B3E" w:rsidRPr="00800D1B" w:rsidRDefault="00623E14" w:rsidP="00E04517">
            <w:pPr>
              <w:spacing w:before="100" w:after="100"/>
              <w:ind w:left="-72"/>
              <w:jc w:val="center"/>
              <w:rPr>
                <w:color w:val="000000"/>
                <w:sz w:val="20"/>
                <w:lang w:val="sv-SE"/>
              </w:rPr>
            </w:pPr>
            <w:r w:rsidRPr="00800D1B">
              <w:rPr>
                <w:color w:val="000000"/>
                <w:sz w:val="20"/>
                <w:lang w:val="sv-SE"/>
              </w:rPr>
              <w:t>2021</w:t>
            </w:r>
          </w:p>
        </w:tc>
        <w:tc>
          <w:tcPr>
            <w:tcW w:w="0" w:type="auto"/>
          </w:tcPr>
          <w:p w14:paraId="2D065C61" w14:textId="77777777" w:rsidR="00A77B3E" w:rsidRPr="00800D1B" w:rsidRDefault="00623E14" w:rsidP="00E04517">
            <w:pPr>
              <w:spacing w:before="100" w:after="100"/>
              <w:ind w:left="-72"/>
              <w:jc w:val="right"/>
              <w:rPr>
                <w:color w:val="000000"/>
                <w:sz w:val="20"/>
                <w:lang w:val="sv-SE"/>
              </w:rPr>
            </w:pPr>
            <w:r w:rsidRPr="00800D1B">
              <w:rPr>
                <w:color w:val="000000"/>
                <w:sz w:val="20"/>
                <w:lang w:val="sv-SE"/>
              </w:rPr>
              <w:t>51,00</w:t>
            </w:r>
          </w:p>
        </w:tc>
        <w:tc>
          <w:tcPr>
            <w:tcW w:w="0" w:type="auto"/>
          </w:tcPr>
          <w:p w14:paraId="2D065C62" w14:textId="77777777" w:rsidR="00A77B3E" w:rsidRPr="00800D1B" w:rsidRDefault="00623E14" w:rsidP="00E04517">
            <w:pPr>
              <w:spacing w:before="100" w:after="100"/>
              <w:ind w:left="-72"/>
              <w:rPr>
                <w:color w:val="000000"/>
                <w:sz w:val="20"/>
                <w:lang w:val="sv-SE"/>
              </w:rPr>
            </w:pPr>
            <w:r w:rsidRPr="00800D1B">
              <w:rPr>
                <w:color w:val="000000"/>
                <w:sz w:val="20"/>
                <w:lang w:val="sv-SE"/>
              </w:rPr>
              <w:t>Projekt</w:t>
            </w:r>
          </w:p>
        </w:tc>
        <w:tc>
          <w:tcPr>
            <w:tcW w:w="0" w:type="auto"/>
          </w:tcPr>
          <w:p w14:paraId="2D065C63" w14:textId="77777777" w:rsidR="00A77B3E" w:rsidRPr="00800D1B" w:rsidRDefault="00A77B3E" w:rsidP="00E04517">
            <w:pPr>
              <w:spacing w:before="100" w:after="100"/>
              <w:ind w:left="-72"/>
              <w:rPr>
                <w:color w:val="000000"/>
                <w:sz w:val="20"/>
                <w:lang w:val="sv-SE"/>
              </w:rPr>
            </w:pPr>
          </w:p>
        </w:tc>
      </w:tr>
      <w:tr w:rsidR="003422DB" w:rsidRPr="00800D1B" w14:paraId="2D065C71" w14:textId="77777777" w:rsidTr="00E04517">
        <w:tc>
          <w:tcPr>
            <w:tcW w:w="0" w:type="auto"/>
          </w:tcPr>
          <w:p w14:paraId="2D065C65" w14:textId="77777777" w:rsidR="00A77B3E" w:rsidRPr="00800D1B" w:rsidRDefault="00623E14" w:rsidP="00E04517">
            <w:pPr>
              <w:spacing w:before="100" w:after="100"/>
              <w:ind w:left="-72"/>
              <w:rPr>
                <w:color w:val="000000"/>
                <w:sz w:val="20"/>
                <w:lang w:val="sv-SE"/>
              </w:rPr>
            </w:pPr>
            <w:r w:rsidRPr="00800D1B">
              <w:rPr>
                <w:color w:val="000000"/>
                <w:sz w:val="20"/>
                <w:lang w:val="sv-SE"/>
              </w:rPr>
              <w:t>3</w:t>
            </w:r>
          </w:p>
        </w:tc>
        <w:tc>
          <w:tcPr>
            <w:tcW w:w="0" w:type="auto"/>
          </w:tcPr>
          <w:p w14:paraId="2D065C66" w14:textId="77777777" w:rsidR="00A77B3E" w:rsidRPr="00800D1B" w:rsidRDefault="00623E14" w:rsidP="00E04517">
            <w:pPr>
              <w:spacing w:before="100" w:after="100"/>
              <w:ind w:left="-72"/>
              <w:rPr>
                <w:color w:val="000000"/>
                <w:sz w:val="20"/>
                <w:lang w:val="sv-SE"/>
              </w:rPr>
            </w:pPr>
            <w:r w:rsidRPr="00800D1B">
              <w:rPr>
                <w:color w:val="000000"/>
                <w:sz w:val="20"/>
                <w:lang w:val="sv-SE"/>
              </w:rPr>
              <w:t>RSO1.3</w:t>
            </w:r>
          </w:p>
        </w:tc>
        <w:tc>
          <w:tcPr>
            <w:tcW w:w="0" w:type="auto"/>
          </w:tcPr>
          <w:p w14:paraId="2D065C67" w14:textId="77777777" w:rsidR="00A77B3E" w:rsidRPr="00800D1B" w:rsidRDefault="00623E14" w:rsidP="00E04517">
            <w:pPr>
              <w:spacing w:before="100" w:after="100"/>
              <w:ind w:left="-72"/>
              <w:rPr>
                <w:color w:val="000000"/>
                <w:sz w:val="20"/>
                <w:lang w:val="sv-SE"/>
              </w:rPr>
            </w:pPr>
            <w:r w:rsidRPr="00800D1B">
              <w:rPr>
                <w:color w:val="000000"/>
                <w:sz w:val="20"/>
                <w:lang w:val="sv-SE"/>
              </w:rPr>
              <w:t>Eruf</w:t>
            </w:r>
          </w:p>
        </w:tc>
        <w:tc>
          <w:tcPr>
            <w:tcW w:w="0" w:type="auto"/>
          </w:tcPr>
          <w:p w14:paraId="2D065C68" w14:textId="77777777" w:rsidR="00A77B3E" w:rsidRPr="00800D1B" w:rsidRDefault="00623E14" w:rsidP="00E04517">
            <w:pPr>
              <w:spacing w:before="100" w:after="100"/>
              <w:ind w:left="-72"/>
              <w:rPr>
                <w:color w:val="000000"/>
                <w:sz w:val="20"/>
                <w:lang w:val="sv-SE"/>
              </w:rPr>
            </w:pPr>
            <w:r w:rsidRPr="00800D1B">
              <w:rPr>
                <w:color w:val="000000"/>
                <w:sz w:val="20"/>
                <w:lang w:val="sv-SE"/>
              </w:rPr>
              <w:t>Mer utvecklade regioner</w:t>
            </w:r>
          </w:p>
        </w:tc>
        <w:tc>
          <w:tcPr>
            <w:tcW w:w="0" w:type="auto"/>
          </w:tcPr>
          <w:p w14:paraId="2D065C69" w14:textId="77777777" w:rsidR="00A77B3E" w:rsidRPr="00800D1B" w:rsidRDefault="00623E14" w:rsidP="00E04517">
            <w:pPr>
              <w:spacing w:before="100" w:after="100"/>
              <w:ind w:left="-72"/>
              <w:rPr>
                <w:color w:val="000000"/>
                <w:sz w:val="20"/>
                <w:lang w:val="sv-SE"/>
              </w:rPr>
            </w:pPr>
            <w:r w:rsidRPr="00800D1B">
              <w:rPr>
                <w:color w:val="000000"/>
                <w:sz w:val="20"/>
                <w:lang w:val="sv-SE"/>
              </w:rPr>
              <w:t>SWR05</w:t>
            </w:r>
          </w:p>
        </w:tc>
        <w:tc>
          <w:tcPr>
            <w:tcW w:w="0" w:type="auto"/>
          </w:tcPr>
          <w:p w14:paraId="2D065C6A" w14:textId="77777777" w:rsidR="00A77B3E" w:rsidRPr="00800D1B" w:rsidRDefault="00623E14" w:rsidP="00E04517">
            <w:pPr>
              <w:spacing w:before="100" w:after="100"/>
              <w:ind w:left="-72"/>
              <w:rPr>
                <w:color w:val="000000"/>
                <w:sz w:val="20"/>
                <w:lang w:val="sv-SE"/>
              </w:rPr>
            </w:pPr>
            <w:r w:rsidRPr="00800D1B">
              <w:rPr>
                <w:color w:val="000000"/>
                <w:sz w:val="20"/>
                <w:lang w:val="sv-SE"/>
              </w:rPr>
              <w:t>Användare av färdigställd miljö/infrastruktur</w:t>
            </w:r>
          </w:p>
        </w:tc>
        <w:tc>
          <w:tcPr>
            <w:tcW w:w="0" w:type="auto"/>
          </w:tcPr>
          <w:p w14:paraId="2D065C6B" w14:textId="77777777" w:rsidR="00A77B3E" w:rsidRPr="00800D1B" w:rsidRDefault="00623E14" w:rsidP="00E04517">
            <w:pPr>
              <w:spacing w:before="100" w:after="100"/>
              <w:ind w:left="-72"/>
              <w:rPr>
                <w:color w:val="000000"/>
                <w:sz w:val="20"/>
                <w:lang w:val="sv-SE"/>
              </w:rPr>
            </w:pPr>
            <w:r w:rsidRPr="00800D1B">
              <w:rPr>
                <w:color w:val="000000"/>
                <w:sz w:val="20"/>
                <w:lang w:val="sv-SE"/>
              </w:rPr>
              <w:t>Användare</w:t>
            </w:r>
          </w:p>
        </w:tc>
        <w:tc>
          <w:tcPr>
            <w:tcW w:w="0" w:type="auto"/>
          </w:tcPr>
          <w:p w14:paraId="2D065C6C" w14:textId="77777777" w:rsidR="00A77B3E" w:rsidRPr="00800D1B" w:rsidRDefault="00623E14" w:rsidP="00E04517">
            <w:pPr>
              <w:spacing w:before="100" w:after="100"/>
              <w:ind w:left="-72"/>
              <w:jc w:val="right"/>
              <w:rPr>
                <w:color w:val="000000"/>
                <w:sz w:val="20"/>
                <w:lang w:val="sv-SE"/>
              </w:rPr>
            </w:pPr>
            <w:r w:rsidRPr="00800D1B">
              <w:rPr>
                <w:color w:val="000000"/>
                <w:sz w:val="20"/>
                <w:lang w:val="sv-SE"/>
              </w:rPr>
              <w:t>0,00</w:t>
            </w:r>
          </w:p>
        </w:tc>
        <w:tc>
          <w:tcPr>
            <w:tcW w:w="0" w:type="auto"/>
          </w:tcPr>
          <w:p w14:paraId="2D065C6D" w14:textId="77777777" w:rsidR="00A77B3E" w:rsidRPr="00800D1B" w:rsidRDefault="00623E14" w:rsidP="00E04517">
            <w:pPr>
              <w:spacing w:before="100" w:after="100"/>
              <w:ind w:left="-72"/>
              <w:jc w:val="center"/>
              <w:rPr>
                <w:color w:val="000000"/>
                <w:sz w:val="20"/>
                <w:lang w:val="sv-SE"/>
              </w:rPr>
            </w:pPr>
            <w:r w:rsidRPr="00800D1B">
              <w:rPr>
                <w:color w:val="000000"/>
                <w:sz w:val="20"/>
                <w:lang w:val="sv-SE"/>
              </w:rPr>
              <w:t>2021</w:t>
            </w:r>
          </w:p>
        </w:tc>
        <w:tc>
          <w:tcPr>
            <w:tcW w:w="0" w:type="auto"/>
          </w:tcPr>
          <w:p w14:paraId="2D065C6E" w14:textId="77777777" w:rsidR="00A77B3E" w:rsidRPr="00800D1B" w:rsidRDefault="00623E14" w:rsidP="00E04517">
            <w:pPr>
              <w:spacing w:before="100" w:after="100"/>
              <w:ind w:left="-72"/>
              <w:jc w:val="right"/>
              <w:rPr>
                <w:color w:val="000000"/>
                <w:sz w:val="20"/>
                <w:lang w:val="sv-SE"/>
              </w:rPr>
            </w:pPr>
            <w:r w:rsidRPr="00800D1B">
              <w:rPr>
                <w:color w:val="000000"/>
                <w:sz w:val="20"/>
                <w:lang w:val="sv-SE"/>
              </w:rPr>
              <w:t>2,00</w:t>
            </w:r>
          </w:p>
        </w:tc>
        <w:tc>
          <w:tcPr>
            <w:tcW w:w="0" w:type="auto"/>
          </w:tcPr>
          <w:p w14:paraId="2D065C6F" w14:textId="77777777" w:rsidR="00A77B3E" w:rsidRPr="00800D1B" w:rsidRDefault="00623E14" w:rsidP="00E04517">
            <w:pPr>
              <w:spacing w:before="100" w:after="100"/>
              <w:ind w:left="-72"/>
              <w:rPr>
                <w:color w:val="000000"/>
                <w:sz w:val="20"/>
                <w:lang w:val="sv-SE"/>
              </w:rPr>
            </w:pPr>
            <w:r w:rsidRPr="00800D1B">
              <w:rPr>
                <w:color w:val="000000"/>
                <w:sz w:val="20"/>
                <w:lang w:val="sv-SE"/>
              </w:rPr>
              <w:t>Projekt</w:t>
            </w:r>
          </w:p>
        </w:tc>
        <w:tc>
          <w:tcPr>
            <w:tcW w:w="0" w:type="auto"/>
          </w:tcPr>
          <w:p w14:paraId="2D065C70" w14:textId="77777777" w:rsidR="00A77B3E" w:rsidRPr="00800D1B" w:rsidRDefault="00A77B3E" w:rsidP="00E04517">
            <w:pPr>
              <w:spacing w:before="100" w:after="100"/>
              <w:ind w:left="-72"/>
              <w:rPr>
                <w:color w:val="000000"/>
                <w:sz w:val="20"/>
                <w:lang w:val="sv-SE"/>
              </w:rPr>
            </w:pPr>
          </w:p>
        </w:tc>
      </w:tr>
      <w:tr w:rsidR="003422DB" w:rsidRPr="00800D1B" w14:paraId="2D065C7E" w14:textId="77777777" w:rsidTr="00E04517">
        <w:tc>
          <w:tcPr>
            <w:tcW w:w="0" w:type="auto"/>
          </w:tcPr>
          <w:p w14:paraId="2D065C72" w14:textId="77777777" w:rsidR="00A77B3E" w:rsidRPr="00800D1B" w:rsidRDefault="00623E14" w:rsidP="00E04517">
            <w:pPr>
              <w:spacing w:before="100" w:after="100"/>
              <w:ind w:left="-72"/>
              <w:rPr>
                <w:color w:val="000000"/>
                <w:sz w:val="20"/>
                <w:lang w:val="sv-SE"/>
              </w:rPr>
            </w:pPr>
            <w:r w:rsidRPr="00800D1B">
              <w:rPr>
                <w:color w:val="000000"/>
                <w:sz w:val="20"/>
                <w:lang w:val="sv-SE"/>
              </w:rPr>
              <w:t>3</w:t>
            </w:r>
          </w:p>
        </w:tc>
        <w:tc>
          <w:tcPr>
            <w:tcW w:w="0" w:type="auto"/>
          </w:tcPr>
          <w:p w14:paraId="2D065C73" w14:textId="77777777" w:rsidR="00A77B3E" w:rsidRPr="00800D1B" w:rsidRDefault="00623E14" w:rsidP="00E04517">
            <w:pPr>
              <w:spacing w:before="100" w:after="100"/>
              <w:ind w:left="-72"/>
              <w:rPr>
                <w:color w:val="000000"/>
                <w:sz w:val="20"/>
                <w:lang w:val="sv-SE"/>
              </w:rPr>
            </w:pPr>
            <w:r w:rsidRPr="00800D1B">
              <w:rPr>
                <w:color w:val="000000"/>
                <w:sz w:val="20"/>
                <w:lang w:val="sv-SE"/>
              </w:rPr>
              <w:t>RSO1.3</w:t>
            </w:r>
          </w:p>
        </w:tc>
        <w:tc>
          <w:tcPr>
            <w:tcW w:w="0" w:type="auto"/>
          </w:tcPr>
          <w:p w14:paraId="2D065C74" w14:textId="77777777" w:rsidR="00A77B3E" w:rsidRPr="00800D1B" w:rsidRDefault="00623E14" w:rsidP="00E04517">
            <w:pPr>
              <w:spacing w:before="100" w:after="100"/>
              <w:ind w:left="-72"/>
              <w:rPr>
                <w:color w:val="000000"/>
                <w:sz w:val="20"/>
                <w:lang w:val="sv-SE"/>
              </w:rPr>
            </w:pPr>
            <w:r w:rsidRPr="00800D1B">
              <w:rPr>
                <w:color w:val="000000"/>
                <w:sz w:val="20"/>
                <w:lang w:val="sv-SE"/>
              </w:rPr>
              <w:t>Eruf</w:t>
            </w:r>
          </w:p>
        </w:tc>
        <w:tc>
          <w:tcPr>
            <w:tcW w:w="0" w:type="auto"/>
          </w:tcPr>
          <w:p w14:paraId="2D065C75" w14:textId="77777777" w:rsidR="00A77B3E" w:rsidRPr="00800D1B" w:rsidRDefault="00623E14" w:rsidP="00E04517">
            <w:pPr>
              <w:spacing w:before="100" w:after="100"/>
              <w:ind w:left="-72"/>
              <w:rPr>
                <w:color w:val="000000"/>
                <w:sz w:val="20"/>
                <w:lang w:val="sv-SE"/>
              </w:rPr>
            </w:pPr>
            <w:r w:rsidRPr="00800D1B">
              <w:rPr>
                <w:color w:val="000000"/>
                <w:sz w:val="20"/>
                <w:lang w:val="sv-SE"/>
              </w:rPr>
              <w:t>Mer utvecklade regioner</w:t>
            </w:r>
          </w:p>
        </w:tc>
        <w:tc>
          <w:tcPr>
            <w:tcW w:w="0" w:type="auto"/>
          </w:tcPr>
          <w:p w14:paraId="2D065C76" w14:textId="77777777" w:rsidR="00A77B3E" w:rsidRPr="00800D1B" w:rsidRDefault="00623E14" w:rsidP="00E04517">
            <w:pPr>
              <w:spacing w:before="100" w:after="100"/>
              <w:ind w:left="-72"/>
              <w:rPr>
                <w:color w:val="000000"/>
                <w:sz w:val="20"/>
                <w:lang w:val="sv-SE"/>
              </w:rPr>
            </w:pPr>
            <w:r w:rsidRPr="00800D1B">
              <w:rPr>
                <w:color w:val="000000"/>
                <w:sz w:val="20"/>
                <w:lang w:val="sv-SE"/>
              </w:rPr>
              <w:t>SWR01</w:t>
            </w:r>
          </w:p>
        </w:tc>
        <w:tc>
          <w:tcPr>
            <w:tcW w:w="0" w:type="auto"/>
          </w:tcPr>
          <w:p w14:paraId="2D065C77" w14:textId="0AEBCB12" w:rsidR="00A77B3E" w:rsidRPr="00800D1B" w:rsidRDefault="00623E14" w:rsidP="00E04517">
            <w:pPr>
              <w:spacing w:before="100" w:after="100"/>
              <w:ind w:left="-72"/>
              <w:rPr>
                <w:color w:val="000000"/>
                <w:sz w:val="20"/>
                <w:lang w:val="sv-SE"/>
              </w:rPr>
            </w:pPr>
            <w:r w:rsidRPr="00800D1B">
              <w:rPr>
                <w:color w:val="000000"/>
                <w:sz w:val="20"/>
                <w:lang w:val="sv-SE"/>
              </w:rPr>
              <w:t>Antal företag som utvecklar produkter, processer och affärsmodeller</w:t>
            </w:r>
            <w:r w:rsidR="00CF74CB" w:rsidRPr="00800D1B">
              <w:rPr>
                <w:color w:val="000000"/>
                <w:sz w:val="20"/>
                <w:lang w:val="sv-SE"/>
              </w:rPr>
              <w:t xml:space="preserve"> </w:t>
            </w:r>
          </w:p>
        </w:tc>
        <w:tc>
          <w:tcPr>
            <w:tcW w:w="0" w:type="auto"/>
          </w:tcPr>
          <w:p w14:paraId="2D065C78" w14:textId="77777777" w:rsidR="00A77B3E" w:rsidRPr="00800D1B" w:rsidRDefault="00623E14" w:rsidP="00E04517">
            <w:pPr>
              <w:spacing w:before="100" w:after="100"/>
              <w:ind w:left="-72"/>
              <w:rPr>
                <w:color w:val="000000"/>
                <w:sz w:val="20"/>
                <w:lang w:val="sv-SE"/>
              </w:rPr>
            </w:pPr>
            <w:r w:rsidRPr="00800D1B">
              <w:rPr>
                <w:color w:val="000000"/>
                <w:sz w:val="20"/>
                <w:lang w:val="sv-SE"/>
              </w:rPr>
              <w:t>Företag</w:t>
            </w:r>
          </w:p>
        </w:tc>
        <w:tc>
          <w:tcPr>
            <w:tcW w:w="0" w:type="auto"/>
          </w:tcPr>
          <w:p w14:paraId="2D065C79" w14:textId="77777777" w:rsidR="00A77B3E" w:rsidRPr="00800D1B" w:rsidRDefault="00623E14" w:rsidP="00E04517">
            <w:pPr>
              <w:spacing w:before="100" w:after="100"/>
              <w:ind w:left="-72"/>
              <w:jc w:val="right"/>
              <w:rPr>
                <w:color w:val="000000"/>
                <w:sz w:val="20"/>
                <w:lang w:val="sv-SE"/>
              </w:rPr>
            </w:pPr>
            <w:r w:rsidRPr="00800D1B">
              <w:rPr>
                <w:color w:val="000000"/>
                <w:sz w:val="20"/>
                <w:lang w:val="sv-SE"/>
              </w:rPr>
              <w:t>0,00</w:t>
            </w:r>
          </w:p>
        </w:tc>
        <w:tc>
          <w:tcPr>
            <w:tcW w:w="0" w:type="auto"/>
          </w:tcPr>
          <w:p w14:paraId="2D065C7A" w14:textId="77777777" w:rsidR="00A77B3E" w:rsidRPr="00800D1B" w:rsidRDefault="00623E14" w:rsidP="00E04517">
            <w:pPr>
              <w:spacing w:before="100" w:after="100"/>
              <w:ind w:left="-72"/>
              <w:jc w:val="center"/>
              <w:rPr>
                <w:color w:val="000000"/>
                <w:sz w:val="20"/>
                <w:lang w:val="sv-SE"/>
              </w:rPr>
            </w:pPr>
            <w:r w:rsidRPr="00800D1B">
              <w:rPr>
                <w:color w:val="000000"/>
                <w:sz w:val="20"/>
                <w:lang w:val="sv-SE"/>
              </w:rPr>
              <w:t>2021</w:t>
            </w:r>
          </w:p>
        </w:tc>
        <w:tc>
          <w:tcPr>
            <w:tcW w:w="0" w:type="auto"/>
          </w:tcPr>
          <w:p w14:paraId="2D065C7B" w14:textId="77777777" w:rsidR="00A77B3E" w:rsidRPr="00800D1B" w:rsidRDefault="00623E14" w:rsidP="00E04517">
            <w:pPr>
              <w:spacing w:before="100" w:after="100"/>
              <w:ind w:left="-72"/>
              <w:jc w:val="right"/>
              <w:rPr>
                <w:color w:val="000000"/>
                <w:sz w:val="20"/>
                <w:lang w:val="sv-SE"/>
              </w:rPr>
            </w:pPr>
            <w:r w:rsidRPr="00800D1B">
              <w:rPr>
                <w:color w:val="000000"/>
                <w:sz w:val="20"/>
                <w:lang w:val="sv-SE"/>
              </w:rPr>
              <w:t>155,00</w:t>
            </w:r>
          </w:p>
        </w:tc>
        <w:tc>
          <w:tcPr>
            <w:tcW w:w="0" w:type="auto"/>
          </w:tcPr>
          <w:p w14:paraId="2D065C7C" w14:textId="77777777" w:rsidR="00A77B3E" w:rsidRPr="00800D1B" w:rsidRDefault="00623E14" w:rsidP="00E04517">
            <w:pPr>
              <w:spacing w:before="100" w:after="100"/>
              <w:ind w:left="-72"/>
              <w:rPr>
                <w:color w:val="000000"/>
                <w:sz w:val="20"/>
                <w:lang w:val="sv-SE"/>
              </w:rPr>
            </w:pPr>
            <w:r w:rsidRPr="00800D1B">
              <w:rPr>
                <w:color w:val="000000"/>
                <w:sz w:val="20"/>
                <w:lang w:val="sv-SE"/>
              </w:rPr>
              <w:t>Projekt</w:t>
            </w:r>
          </w:p>
        </w:tc>
        <w:tc>
          <w:tcPr>
            <w:tcW w:w="0" w:type="auto"/>
          </w:tcPr>
          <w:p w14:paraId="2D065C7D" w14:textId="77777777" w:rsidR="00A77B3E" w:rsidRPr="00800D1B" w:rsidRDefault="00A77B3E" w:rsidP="00E04517">
            <w:pPr>
              <w:spacing w:before="100" w:after="100"/>
              <w:ind w:left="-72"/>
              <w:rPr>
                <w:color w:val="000000"/>
                <w:sz w:val="20"/>
                <w:lang w:val="sv-SE"/>
              </w:rPr>
            </w:pPr>
          </w:p>
        </w:tc>
      </w:tr>
      <w:tr w:rsidR="003422DB" w:rsidRPr="00800D1B" w14:paraId="2D065C8B" w14:textId="77777777" w:rsidTr="00E04517">
        <w:tc>
          <w:tcPr>
            <w:tcW w:w="0" w:type="auto"/>
          </w:tcPr>
          <w:p w14:paraId="2D065C7F" w14:textId="77777777" w:rsidR="00A77B3E" w:rsidRPr="00800D1B" w:rsidRDefault="00623E14" w:rsidP="00E04517">
            <w:pPr>
              <w:spacing w:before="100" w:after="100"/>
              <w:ind w:left="-72"/>
              <w:rPr>
                <w:color w:val="000000"/>
                <w:sz w:val="20"/>
                <w:lang w:val="sv-SE"/>
              </w:rPr>
            </w:pPr>
            <w:r w:rsidRPr="00800D1B">
              <w:rPr>
                <w:color w:val="000000"/>
                <w:sz w:val="20"/>
                <w:lang w:val="sv-SE"/>
              </w:rPr>
              <w:t>3</w:t>
            </w:r>
          </w:p>
        </w:tc>
        <w:tc>
          <w:tcPr>
            <w:tcW w:w="0" w:type="auto"/>
          </w:tcPr>
          <w:p w14:paraId="2D065C80" w14:textId="77777777" w:rsidR="00A77B3E" w:rsidRPr="00800D1B" w:rsidRDefault="00623E14" w:rsidP="00E04517">
            <w:pPr>
              <w:spacing w:before="100" w:after="100"/>
              <w:ind w:left="-72"/>
              <w:rPr>
                <w:color w:val="000000"/>
                <w:sz w:val="20"/>
                <w:lang w:val="sv-SE"/>
              </w:rPr>
            </w:pPr>
            <w:r w:rsidRPr="00800D1B">
              <w:rPr>
                <w:color w:val="000000"/>
                <w:sz w:val="20"/>
                <w:lang w:val="sv-SE"/>
              </w:rPr>
              <w:t>RSO1.3</w:t>
            </w:r>
          </w:p>
        </w:tc>
        <w:tc>
          <w:tcPr>
            <w:tcW w:w="0" w:type="auto"/>
          </w:tcPr>
          <w:p w14:paraId="2D065C81" w14:textId="77777777" w:rsidR="00A77B3E" w:rsidRPr="00800D1B" w:rsidRDefault="00623E14" w:rsidP="00E04517">
            <w:pPr>
              <w:spacing w:before="100" w:after="100"/>
              <w:ind w:left="-72"/>
              <w:rPr>
                <w:color w:val="000000"/>
                <w:sz w:val="20"/>
                <w:lang w:val="sv-SE"/>
              </w:rPr>
            </w:pPr>
            <w:r w:rsidRPr="00800D1B">
              <w:rPr>
                <w:color w:val="000000"/>
                <w:sz w:val="20"/>
                <w:lang w:val="sv-SE"/>
              </w:rPr>
              <w:t>Eruf</w:t>
            </w:r>
          </w:p>
        </w:tc>
        <w:tc>
          <w:tcPr>
            <w:tcW w:w="0" w:type="auto"/>
          </w:tcPr>
          <w:p w14:paraId="2D065C82" w14:textId="77777777" w:rsidR="00A77B3E" w:rsidRPr="00800D1B" w:rsidRDefault="00623E14" w:rsidP="00E04517">
            <w:pPr>
              <w:spacing w:before="100" w:after="100"/>
              <w:ind w:left="-72"/>
              <w:rPr>
                <w:color w:val="000000"/>
                <w:sz w:val="20"/>
                <w:lang w:val="sv-SE"/>
              </w:rPr>
            </w:pPr>
            <w:r w:rsidRPr="00800D1B">
              <w:rPr>
                <w:color w:val="000000"/>
                <w:sz w:val="20"/>
                <w:lang w:val="sv-SE"/>
              </w:rPr>
              <w:t>Mer utvecklade regioner</w:t>
            </w:r>
          </w:p>
        </w:tc>
        <w:tc>
          <w:tcPr>
            <w:tcW w:w="0" w:type="auto"/>
          </w:tcPr>
          <w:p w14:paraId="2D065C83" w14:textId="77777777" w:rsidR="00A77B3E" w:rsidRPr="00800D1B" w:rsidRDefault="00623E14" w:rsidP="00E04517">
            <w:pPr>
              <w:spacing w:before="100" w:after="100"/>
              <w:ind w:left="-72"/>
              <w:rPr>
                <w:color w:val="000000"/>
                <w:sz w:val="20"/>
                <w:lang w:val="sv-SE"/>
              </w:rPr>
            </w:pPr>
            <w:r w:rsidRPr="00800D1B">
              <w:rPr>
                <w:color w:val="000000"/>
                <w:sz w:val="20"/>
                <w:lang w:val="sv-SE"/>
              </w:rPr>
              <w:t>SWR02</w:t>
            </w:r>
          </w:p>
        </w:tc>
        <w:tc>
          <w:tcPr>
            <w:tcW w:w="0" w:type="auto"/>
          </w:tcPr>
          <w:p w14:paraId="2D065C84" w14:textId="77777777" w:rsidR="00A77B3E" w:rsidRPr="00800D1B" w:rsidRDefault="00623E14" w:rsidP="00E04517">
            <w:pPr>
              <w:spacing w:before="100" w:after="100"/>
              <w:ind w:left="-72"/>
              <w:rPr>
                <w:color w:val="000000"/>
                <w:sz w:val="20"/>
                <w:lang w:val="sv-SE"/>
              </w:rPr>
            </w:pPr>
            <w:r w:rsidRPr="00800D1B">
              <w:rPr>
                <w:color w:val="000000"/>
                <w:sz w:val="20"/>
                <w:lang w:val="sv-SE"/>
              </w:rPr>
              <w:t xml:space="preserve">Antal organisationer som utvecklar produkter, processer och tjänster </w:t>
            </w:r>
          </w:p>
        </w:tc>
        <w:tc>
          <w:tcPr>
            <w:tcW w:w="0" w:type="auto"/>
          </w:tcPr>
          <w:p w14:paraId="2D065C85" w14:textId="77777777" w:rsidR="00A77B3E" w:rsidRPr="00800D1B" w:rsidRDefault="00623E14" w:rsidP="00E04517">
            <w:pPr>
              <w:spacing w:before="100" w:after="100"/>
              <w:ind w:left="-72"/>
              <w:rPr>
                <w:color w:val="000000"/>
                <w:sz w:val="20"/>
                <w:lang w:val="sv-SE"/>
              </w:rPr>
            </w:pPr>
            <w:r w:rsidRPr="00800D1B">
              <w:rPr>
                <w:color w:val="000000"/>
                <w:sz w:val="20"/>
                <w:lang w:val="sv-SE"/>
              </w:rPr>
              <w:t>Organisationer</w:t>
            </w:r>
          </w:p>
        </w:tc>
        <w:tc>
          <w:tcPr>
            <w:tcW w:w="0" w:type="auto"/>
          </w:tcPr>
          <w:p w14:paraId="2D065C86" w14:textId="77777777" w:rsidR="00A77B3E" w:rsidRPr="00800D1B" w:rsidRDefault="00623E14" w:rsidP="00E04517">
            <w:pPr>
              <w:spacing w:before="100" w:after="100"/>
              <w:ind w:left="-72"/>
              <w:jc w:val="right"/>
              <w:rPr>
                <w:color w:val="000000"/>
                <w:sz w:val="20"/>
                <w:lang w:val="sv-SE"/>
              </w:rPr>
            </w:pPr>
            <w:r w:rsidRPr="00800D1B">
              <w:rPr>
                <w:color w:val="000000"/>
                <w:sz w:val="20"/>
                <w:lang w:val="sv-SE"/>
              </w:rPr>
              <w:t>0,00</w:t>
            </w:r>
          </w:p>
        </w:tc>
        <w:tc>
          <w:tcPr>
            <w:tcW w:w="0" w:type="auto"/>
          </w:tcPr>
          <w:p w14:paraId="2D065C87" w14:textId="77777777" w:rsidR="00A77B3E" w:rsidRPr="00800D1B" w:rsidRDefault="00623E14" w:rsidP="00E04517">
            <w:pPr>
              <w:spacing w:before="100" w:after="100"/>
              <w:ind w:left="-72"/>
              <w:jc w:val="center"/>
              <w:rPr>
                <w:color w:val="000000"/>
                <w:sz w:val="20"/>
                <w:lang w:val="sv-SE"/>
              </w:rPr>
            </w:pPr>
            <w:r w:rsidRPr="00800D1B">
              <w:rPr>
                <w:color w:val="000000"/>
                <w:sz w:val="20"/>
                <w:lang w:val="sv-SE"/>
              </w:rPr>
              <w:t>2021</w:t>
            </w:r>
          </w:p>
        </w:tc>
        <w:tc>
          <w:tcPr>
            <w:tcW w:w="0" w:type="auto"/>
          </w:tcPr>
          <w:p w14:paraId="2D065C88" w14:textId="77777777" w:rsidR="00A77B3E" w:rsidRPr="00800D1B" w:rsidRDefault="00623E14" w:rsidP="00E04517">
            <w:pPr>
              <w:spacing w:before="100" w:after="100"/>
              <w:ind w:left="-72"/>
              <w:jc w:val="right"/>
              <w:rPr>
                <w:color w:val="000000"/>
                <w:sz w:val="20"/>
                <w:lang w:val="sv-SE"/>
              </w:rPr>
            </w:pPr>
            <w:r w:rsidRPr="00800D1B">
              <w:rPr>
                <w:color w:val="000000"/>
                <w:sz w:val="20"/>
                <w:lang w:val="sv-SE"/>
              </w:rPr>
              <w:t>5,00</w:t>
            </w:r>
          </w:p>
        </w:tc>
        <w:tc>
          <w:tcPr>
            <w:tcW w:w="0" w:type="auto"/>
          </w:tcPr>
          <w:p w14:paraId="2D065C89" w14:textId="77777777" w:rsidR="00A77B3E" w:rsidRPr="00800D1B" w:rsidRDefault="00623E14" w:rsidP="00E04517">
            <w:pPr>
              <w:spacing w:before="100" w:after="100"/>
              <w:ind w:left="-72"/>
              <w:rPr>
                <w:color w:val="000000"/>
                <w:sz w:val="20"/>
                <w:lang w:val="sv-SE"/>
              </w:rPr>
            </w:pPr>
            <w:r w:rsidRPr="00800D1B">
              <w:rPr>
                <w:color w:val="000000"/>
                <w:sz w:val="20"/>
                <w:lang w:val="sv-SE"/>
              </w:rPr>
              <w:t>Projekt</w:t>
            </w:r>
          </w:p>
        </w:tc>
        <w:tc>
          <w:tcPr>
            <w:tcW w:w="0" w:type="auto"/>
          </w:tcPr>
          <w:p w14:paraId="2D065C8A" w14:textId="77777777" w:rsidR="00A77B3E" w:rsidRPr="00800D1B" w:rsidRDefault="00A77B3E" w:rsidP="00E04517">
            <w:pPr>
              <w:spacing w:before="100" w:after="100"/>
              <w:ind w:left="-72"/>
              <w:rPr>
                <w:color w:val="000000"/>
                <w:sz w:val="20"/>
                <w:lang w:val="sv-SE"/>
              </w:rPr>
            </w:pPr>
          </w:p>
        </w:tc>
      </w:tr>
      <w:tr w:rsidR="003422DB" w:rsidRPr="00800D1B" w14:paraId="2D065C98" w14:textId="77777777" w:rsidTr="00E04517">
        <w:tc>
          <w:tcPr>
            <w:tcW w:w="0" w:type="auto"/>
          </w:tcPr>
          <w:p w14:paraId="2D065C8C" w14:textId="77777777" w:rsidR="00A77B3E" w:rsidRPr="00800D1B" w:rsidRDefault="00623E14" w:rsidP="00E04517">
            <w:pPr>
              <w:spacing w:before="100" w:after="100"/>
              <w:ind w:left="-72"/>
              <w:rPr>
                <w:color w:val="000000"/>
                <w:sz w:val="20"/>
                <w:lang w:val="sv-SE"/>
              </w:rPr>
            </w:pPr>
            <w:r w:rsidRPr="00800D1B">
              <w:rPr>
                <w:color w:val="000000"/>
                <w:sz w:val="20"/>
                <w:lang w:val="sv-SE"/>
              </w:rPr>
              <w:t>3</w:t>
            </w:r>
          </w:p>
        </w:tc>
        <w:tc>
          <w:tcPr>
            <w:tcW w:w="0" w:type="auto"/>
          </w:tcPr>
          <w:p w14:paraId="2D065C8D" w14:textId="77777777" w:rsidR="00A77B3E" w:rsidRPr="00800D1B" w:rsidRDefault="00623E14" w:rsidP="00E04517">
            <w:pPr>
              <w:spacing w:before="100" w:after="100"/>
              <w:ind w:left="-72"/>
              <w:rPr>
                <w:color w:val="000000"/>
                <w:sz w:val="20"/>
                <w:lang w:val="sv-SE"/>
              </w:rPr>
            </w:pPr>
            <w:r w:rsidRPr="00800D1B">
              <w:rPr>
                <w:color w:val="000000"/>
                <w:sz w:val="20"/>
                <w:lang w:val="sv-SE"/>
              </w:rPr>
              <w:t>RSO1.3</w:t>
            </w:r>
          </w:p>
        </w:tc>
        <w:tc>
          <w:tcPr>
            <w:tcW w:w="0" w:type="auto"/>
          </w:tcPr>
          <w:p w14:paraId="2D065C8E" w14:textId="77777777" w:rsidR="00A77B3E" w:rsidRPr="00800D1B" w:rsidRDefault="00623E14" w:rsidP="00E04517">
            <w:pPr>
              <w:spacing w:before="100" w:after="100"/>
              <w:ind w:left="-72"/>
              <w:rPr>
                <w:color w:val="000000"/>
                <w:sz w:val="20"/>
                <w:lang w:val="sv-SE"/>
              </w:rPr>
            </w:pPr>
            <w:r w:rsidRPr="00800D1B">
              <w:rPr>
                <w:color w:val="000000"/>
                <w:sz w:val="20"/>
                <w:lang w:val="sv-SE"/>
              </w:rPr>
              <w:t>Eruf</w:t>
            </w:r>
          </w:p>
        </w:tc>
        <w:tc>
          <w:tcPr>
            <w:tcW w:w="0" w:type="auto"/>
          </w:tcPr>
          <w:p w14:paraId="2D065C8F" w14:textId="77777777" w:rsidR="00A77B3E" w:rsidRPr="00800D1B" w:rsidRDefault="00623E14" w:rsidP="00A67879">
            <w:pPr>
              <w:spacing w:before="100" w:after="100"/>
              <w:ind w:left="-72" w:right="-135"/>
              <w:rPr>
                <w:color w:val="000000"/>
                <w:sz w:val="20"/>
                <w:lang w:val="sv-SE"/>
              </w:rPr>
            </w:pPr>
            <w:r w:rsidRPr="00800D1B">
              <w:rPr>
                <w:color w:val="000000"/>
                <w:sz w:val="20"/>
                <w:lang w:val="sv-SE"/>
              </w:rPr>
              <w:t>De yttersta randområdena eller de nordliga glesbefolkade områdena</w:t>
            </w:r>
          </w:p>
        </w:tc>
        <w:tc>
          <w:tcPr>
            <w:tcW w:w="0" w:type="auto"/>
          </w:tcPr>
          <w:p w14:paraId="2D065C90" w14:textId="77777777" w:rsidR="00A77B3E" w:rsidRPr="00800D1B" w:rsidRDefault="00623E14" w:rsidP="00E04517">
            <w:pPr>
              <w:spacing w:before="100" w:after="100"/>
              <w:ind w:left="-72"/>
              <w:rPr>
                <w:color w:val="000000"/>
                <w:sz w:val="20"/>
                <w:lang w:val="sv-SE"/>
              </w:rPr>
            </w:pPr>
            <w:r w:rsidRPr="00800D1B">
              <w:rPr>
                <w:color w:val="000000"/>
                <w:sz w:val="20"/>
                <w:lang w:val="sv-SE"/>
              </w:rPr>
              <w:t>RCR01</w:t>
            </w:r>
          </w:p>
        </w:tc>
        <w:tc>
          <w:tcPr>
            <w:tcW w:w="0" w:type="auto"/>
          </w:tcPr>
          <w:p w14:paraId="2D065C91" w14:textId="77777777" w:rsidR="00A77B3E" w:rsidRPr="00800D1B" w:rsidRDefault="00623E14" w:rsidP="00E04517">
            <w:pPr>
              <w:spacing w:before="100" w:after="100"/>
              <w:ind w:left="-72"/>
              <w:rPr>
                <w:color w:val="000000"/>
                <w:sz w:val="20"/>
                <w:lang w:val="sv-SE"/>
              </w:rPr>
            </w:pPr>
            <w:r w:rsidRPr="00800D1B">
              <w:rPr>
                <w:color w:val="000000"/>
                <w:sz w:val="20"/>
                <w:lang w:val="sv-SE"/>
              </w:rPr>
              <w:t>Antal skapade arbetstillfällen i enheter som får stöd</w:t>
            </w:r>
          </w:p>
        </w:tc>
        <w:tc>
          <w:tcPr>
            <w:tcW w:w="0" w:type="auto"/>
          </w:tcPr>
          <w:p w14:paraId="2D065C92" w14:textId="77777777" w:rsidR="00A77B3E" w:rsidRPr="00800D1B" w:rsidRDefault="00623E14" w:rsidP="00E04517">
            <w:pPr>
              <w:spacing w:before="100" w:after="100"/>
              <w:ind w:left="-72"/>
              <w:rPr>
                <w:color w:val="000000"/>
                <w:sz w:val="20"/>
                <w:lang w:val="sv-SE"/>
              </w:rPr>
            </w:pPr>
            <w:r w:rsidRPr="00800D1B">
              <w:rPr>
                <w:color w:val="000000"/>
                <w:sz w:val="20"/>
                <w:lang w:val="sv-SE"/>
              </w:rPr>
              <w:t>heltidsekvivalenter per år</w:t>
            </w:r>
          </w:p>
        </w:tc>
        <w:tc>
          <w:tcPr>
            <w:tcW w:w="0" w:type="auto"/>
          </w:tcPr>
          <w:p w14:paraId="2D065C93" w14:textId="77777777" w:rsidR="00A77B3E" w:rsidRPr="00800D1B" w:rsidRDefault="00623E14" w:rsidP="00E04517">
            <w:pPr>
              <w:spacing w:before="100" w:after="100"/>
              <w:ind w:left="-72"/>
              <w:jc w:val="right"/>
              <w:rPr>
                <w:color w:val="000000"/>
                <w:sz w:val="20"/>
                <w:lang w:val="sv-SE"/>
              </w:rPr>
            </w:pPr>
            <w:r w:rsidRPr="00800D1B">
              <w:rPr>
                <w:color w:val="000000"/>
                <w:sz w:val="20"/>
                <w:lang w:val="sv-SE"/>
              </w:rPr>
              <w:t>0,00</w:t>
            </w:r>
          </w:p>
        </w:tc>
        <w:tc>
          <w:tcPr>
            <w:tcW w:w="0" w:type="auto"/>
          </w:tcPr>
          <w:p w14:paraId="2D065C94" w14:textId="77777777" w:rsidR="00A77B3E" w:rsidRPr="00800D1B" w:rsidRDefault="00623E14" w:rsidP="00E04517">
            <w:pPr>
              <w:spacing w:before="100" w:after="100"/>
              <w:ind w:left="-72"/>
              <w:jc w:val="center"/>
              <w:rPr>
                <w:color w:val="000000"/>
                <w:sz w:val="20"/>
                <w:lang w:val="sv-SE"/>
              </w:rPr>
            </w:pPr>
            <w:r w:rsidRPr="00800D1B">
              <w:rPr>
                <w:color w:val="000000"/>
                <w:sz w:val="20"/>
                <w:lang w:val="sv-SE"/>
              </w:rPr>
              <w:t>2021</w:t>
            </w:r>
          </w:p>
        </w:tc>
        <w:tc>
          <w:tcPr>
            <w:tcW w:w="0" w:type="auto"/>
          </w:tcPr>
          <w:p w14:paraId="2D065C95" w14:textId="77777777" w:rsidR="00A77B3E" w:rsidRPr="00800D1B" w:rsidRDefault="00623E14" w:rsidP="00E04517">
            <w:pPr>
              <w:spacing w:before="100" w:after="100"/>
              <w:ind w:left="-72"/>
              <w:jc w:val="right"/>
              <w:rPr>
                <w:color w:val="000000"/>
                <w:sz w:val="20"/>
                <w:lang w:val="sv-SE"/>
              </w:rPr>
            </w:pPr>
            <w:r w:rsidRPr="00800D1B">
              <w:rPr>
                <w:color w:val="000000"/>
                <w:sz w:val="20"/>
                <w:lang w:val="sv-SE"/>
              </w:rPr>
              <w:t>279,00</w:t>
            </w:r>
          </w:p>
        </w:tc>
        <w:tc>
          <w:tcPr>
            <w:tcW w:w="0" w:type="auto"/>
          </w:tcPr>
          <w:p w14:paraId="2D065C96" w14:textId="77777777" w:rsidR="00A77B3E" w:rsidRPr="00800D1B" w:rsidRDefault="00623E14" w:rsidP="00E04517">
            <w:pPr>
              <w:spacing w:before="100" w:after="100"/>
              <w:ind w:left="-72"/>
              <w:rPr>
                <w:color w:val="000000"/>
                <w:sz w:val="20"/>
                <w:lang w:val="sv-SE"/>
              </w:rPr>
            </w:pPr>
            <w:r w:rsidRPr="00800D1B">
              <w:rPr>
                <w:color w:val="000000"/>
                <w:sz w:val="20"/>
                <w:lang w:val="sv-SE"/>
              </w:rPr>
              <w:t>Projekt</w:t>
            </w:r>
          </w:p>
        </w:tc>
        <w:tc>
          <w:tcPr>
            <w:tcW w:w="0" w:type="auto"/>
          </w:tcPr>
          <w:p w14:paraId="2D065C97" w14:textId="77777777" w:rsidR="00A77B3E" w:rsidRPr="00800D1B" w:rsidRDefault="00A77B3E" w:rsidP="00E04517">
            <w:pPr>
              <w:spacing w:before="100" w:after="100"/>
              <w:ind w:left="-72"/>
              <w:rPr>
                <w:color w:val="000000"/>
                <w:sz w:val="20"/>
                <w:lang w:val="sv-SE"/>
              </w:rPr>
            </w:pPr>
          </w:p>
        </w:tc>
      </w:tr>
      <w:tr w:rsidR="003422DB" w:rsidRPr="00800D1B" w14:paraId="2D065CA5" w14:textId="77777777" w:rsidTr="00E04517">
        <w:tc>
          <w:tcPr>
            <w:tcW w:w="0" w:type="auto"/>
          </w:tcPr>
          <w:p w14:paraId="2D065C99" w14:textId="77777777" w:rsidR="00A77B3E" w:rsidRPr="00800D1B" w:rsidRDefault="00623E14" w:rsidP="00E04517">
            <w:pPr>
              <w:spacing w:before="100" w:after="100"/>
              <w:ind w:left="-72"/>
              <w:rPr>
                <w:color w:val="000000"/>
                <w:sz w:val="20"/>
                <w:lang w:val="sv-SE"/>
              </w:rPr>
            </w:pPr>
            <w:r w:rsidRPr="00800D1B">
              <w:rPr>
                <w:color w:val="000000"/>
                <w:sz w:val="20"/>
                <w:lang w:val="sv-SE"/>
              </w:rPr>
              <w:t>3</w:t>
            </w:r>
          </w:p>
        </w:tc>
        <w:tc>
          <w:tcPr>
            <w:tcW w:w="0" w:type="auto"/>
          </w:tcPr>
          <w:p w14:paraId="2D065C9A" w14:textId="77777777" w:rsidR="00A77B3E" w:rsidRPr="00800D1B" w:rsidRDefault="00623E14" w:rsidP="00E04517">
            <w:pPr>
              <w:spacing w:before="100" w:after="100"/>
              <w:ind w:left="-72"/>
              <w:rPr>
                <w:color w:val="000000"/>
                <w:sz w:val="20"/>
                <w:lang w:val="sv-SE"/>
              </w:rPr>
            </w:pPr>
            <w:r w:rsidRPr="00800D1B">
              <w:rPr>
                <w:color w:val="000000"/>
                <w:sz w:val="20"/>
                <w:lang w:val="sv-SE"/>
              </w:rPr>
              <w:t>RSO1.3</w:t>
            </w:r>
          </w:p>
        </w:tc>
        <w:tc>
          <w:tcPr>
            <w:tcW w:w="0" w:type="auto"/>
          </w:tcPr>
          <w:p w14:paraId="2D065C9B" w14:textId="77777777" w:rsidR="00A77B3E" w:rsidRPr="00800D1B" w:rsidRDefault="00623E14" w:rsidP="00E04517">
            <w:pPr>
              <w:spacing w:before="100" w:after="100"/>
              <w:ind w:left="-72"/>
              <w:rPr>
                <w:color w:val="000000"/>
                <w:sz w:val="20"/>
                <w:lang w:val="sv-SE"/>
              </w:rPr>
            </w:pPr>
            <w:r w:rsidRPr="00800D1B">
              <w:rPr>
                <w:color w:val="000000"/>
                <w:sz w:val="20"/>
                <w:lang w:val="sv-SE"/>
              </w:rPr>
              <w:t>Eruf</w:t>
            </w:r>
          </w:p>
        </w:tc>
        <w:tc>
          <w:tcPr>
            <w:tcW w:w="0" w:type="auto"/>
          </w:tcPr>
          <w:p w14:paraId="2D065C9C" w14:textId="77777777" w:rsidR="00A77B3E" w:rsidRPr="00800D1B" w:rsidRDefault="00623E14" w:rsidP="00A67879">
            <w:pPr>
              <w:spacing w:before="100" w:after="100"/>
              <w:ind w:left="-72" w:right="-135"/>
              <w:rPr>
                <w:color w:val="000000"/>
                <w:sz w:val="20"/>
                <w:lang w:val="sv-SE"/>
              </w:rPr>
            </w:pPr>
            <w:r w:rsidRPr="00800D1B">
              <w:rPr>
                <w:color w:val="000000"/>
                <w:sz w:val="20"/>
                <w:lang w:val="sv-SE"/>
              </w:rPr>
              <w:t>De yttersta randområdena eller de nordliga glesbefolkade områdena</w:t>
            </w:r>
          </w:p>
        </w:tc>
        <w:tc>
          <w:tcPr>
            <w:tcW w:w="0" w:type="auto"/>
          </w:tcPr>
          <w:p w14:paraId="2D065C9D" w14:textId="77777777" w:rsidR="00A77B3E" w:rsidRPr="00800D1B" w:rsidRDefault="00623E14" w:rsidP="00E04517">
            <w:pPr>
              <w:spacing w:before="100" w:after="100"/>
              <w:ind w:left="-72"/>
              <w:rPr>
                <w:color w:val="000000"/>
                <w:sz w:val="20"/>
                <w:lang w:val="sv-SE"/>
              </w:rPr>
            </w:pPr>
            <w:r w:rsidRPr="00800D1B">
              <w:rPr>
                <w:color w:val="000000"/>
                <w:sz w:val="20"/>
                <w:lang w:val="sv-SE"/>
              </w:rPr>
              <w:t>RCR02</w:t>
            </w:r>
          </w:p>
        </w:tc>
        <w:tc>
          <w:tcPr>
            <w:tcW w:w="0" w:type="auto"/>
          </w:tcPr>
          <w:p w14:paraId="2D065C9E" w14:textId="77777777" w:rsidR="00A77B3E" w:rsidRPr="00800D1B" w:rsidRDefault="00623E14" w:rsidP="00E04517">
            <w:pPr>
              <w:spacing w:before="100" w:after="100"/>
              <w:ind w:left="-72"/>
              <w:rPr>
                <w:color w:val="000000"/>
                <w:sz w:val="20"/>
                <w:lang w:val="sv-SE"/>
              </w:rPr>
            </w:pPr>
            <w:r w:rsidRPr="00800D1B">
              <w:rPr>
                <w:color w:val="000000"/>
                <w:sz w:val="20"/>
                <w:lang w:val="sv-SE"/>
              </w:rPr>
              <w:t>Privata investeringar som matchar offentligt stöd (varav bidrag respektive finansieringsinstrument)</w:t>
            </w:r>
          </w:p>
        </w:tc>
        <w:tc>
          <w:tcPr>
            <w:tcW w:w="0" w:type="auto"/>
          </w:tcPr>
          <w:p w14:paraId="2D065C9F" w14:textId="77777777" w:rsidR="00A77B3E" w:rsidRPr="00800D1B" w:rsidRDefault="00623E14" w:rsidP="00E04517">
            <w:pPr>
              <w:spacing w:before="100" w:after="100"/>
              <w:ind w:left="-72"/>
              <w:rPr>
                <w:color w:val="000000"/>
                <w:sz w:val="20"/>
                <w:lang w:val="sv-SE"/>
              </w:rPr>
            </w:pPr>
            <w:r w:rsidRPr="00800D1B">
              <w:rPr>
                <w:color w:val="000000"/>
                <w:sz w:val="20"/>
                <w:lang w:val="sv-SE"/>
              </w:rPr>
              <w:t>euro</w:t>
            </w:r>
          </w:p>
        </w:tc>
        <w:tc>
          <w:tcPr>
            <w:tcW w:w="0" w:type="auto"/>
          </w:tcPr>
          <w:p w14:paraId="2D065CA0" w14:textId="77777777" w:rsidR="00A77B3E" w:rsidRPr="00800D1B" w:rsidRDefault="00623E14" w:rsidP="00E04517">
            <w:pPr>
              <w:spacing w:before="100" w:after="100"/>
              <w:ind w:left="-72"/>
              <w:jc w:val="right"/>
              <w:rPr>
                <w:color w:val="000000"/>
                <w:sz w:val="20"/>
                <w:lang w:val="sv-SE"/>
              </w:rPr>
            </w:pPr>
            <w:r w:rsidRPr="00800D1B">
              <w:rPr>
                <w:color w:val="000000"/>
                <w:sz w:val="20"/>
                <w:lang w:val="sv-SE"/>
              </w:rPr>
              <w:t>0,00</w:t>
            </w:r>
          </w:p>
        </w:tc>
        <w:tc>
          <w:tcPr>
            <w:tcW w:w="0" w:type="auto"/>
          </w:tcPr>
          <w:p w14:paraId="2D065CA1" w14:textId="77777777" w:rsidR="00A77B3E" w:rsidRPr="00800D1B" w:rsidRDefault="00623E14" w:rsidP="00E04517">
            <w:pPr>
              <w:spacing w:before="100" w:after="100"/>
              <w:ind w:left="-72"/>
              <w:jc w:val="center"/>
              <w:rPr>
                <w:color w:val="000000"/>
                <w:sz w:val="20"/>
                <w:lang w:val="sv-SE"/>
              </w:rPr>
            </w:pPr>
            <w:r w:rsidRPr="00800D1B">
              <w:rPr>
                <w:color w:val="000000"/>
                <w:sz w:val="20"/>
                <w:lang w:val="sv-SE"/>
              </w:rPr>
              <w:t>2021</w:t>
            </w:r>
          </w:p>
        </w:tc>
        <w:tc>
          <w:tcPr>
            <w:tcW w:w="0" w:type="auto"/>
          </w:tcPr>
          <w:p w14:paraId="2D065CA2" w14:textId="77777777" w:rsidR="00A77B3E" w:rsidRPr="00800D1B" w:rsidRDefault="00623E14" w:rsidP="00E04517">
            <w:pPr>
              <w:spacing w:before="100" w:after="100"/>
              <w:ind w:left="-72"/>
              <w:jc w:val="right"/>
              <w:rPr>
                <w:color w:val="000000"/>
                <w:sz w:val="20"/>
                <w:lang w:val="sv-SE"/>
              </w:rPr>
            </w:pPr>
            <w:r w:rsidRPr="00800D1B">
              <w:rPr>
                <w:color w:val="000000"/>
                <w:sz w:val="20"/>
                <w:lang w:val="sv-SE"/>
              </w:rPr>
              <w:t>57 550 006,00</w:t>
            </w:r>
          </w:p>
        </w:tc>
        <w:tc>
          <w:tcPr>
            <w:tcW w:w="0" w:type="auto"/>
          </w:tcPr>
          <w:p w14:paraId="2D065CA3" w14:textId="77777777" w:rsidR="00A77B3E" w:rsidRPr="00800D1B" w:rsidRDefault="00623E14" w:rsidP="00E04517">
            <w:pPr>
              <w:spacing w:before="100" w:after="100"/>
              <w:ind w:left="-72"/>
              <w:rPr>
                <w:color w:val="000000"/>
                <w:sz w:val="20"/>
                <w:lang w:val="sv-SE"/>
              </w:rPr>
            </w:pPr>
            <w:r w:rsidRPr="00800D1B">
              <w:rPr>
                <w:color w:val="000000"/>
                <w:sz w:val="20"/>
                <w:lang w:val="sv-SE"/>
              </w:rPr>
              <w:t>Projekt</w:t>
            </w:r>
          </w:p>
        </w:tc>
        <w:tc>
          <w:tcPr>
            <w:tcW w:w="0" w:type="auto"/>
          </w:tcPr>
          <w:p w14:paraId="2D065CA4" w14:textId="77777777" w:rsidR="00A77B3E" w:rsidRPr="00800D1B" w:rsidRDefault="00A77B3E" w:rsidP="00E04517">
            <w:pPr>
              <w:spacing w:before="100" w:after="100"/>
              <w:ind w:left="-72"/>
              <w:rPr>
                <w:color w:val="000000"/>
                <w:sz w:val="20"/>
                <w:lang w:val="sv-SE"/>
              </w:rPr>
            </w:pPr>
          </w:p>
        </w:tc>
      </w:tr>
      <w:tr w:rsidR="003422DB" w:rsidRPr="00800D1B" w14:paraId="2D065CB2" w14:textId="77777777" w:rsidTr="00E04517">
        <w:tc>
          <w:tcPr>
            <w:tcW w:w="0" w:type="auto"/>
          </w:tcPr>
          <w:p w14:paraId="2D065CA6" w14:textId="77777777" w:rsidR="00A77B3E" w:rsidRPr="00800D1B" w:rsidRDefault="00623E14" w:rsidP="00E04517">
            <w:pPr>
              <w:spacing w:before="100" w:after="100"/>
              <w:ind w:left="-72"/>
              <w:rPr>
                <w:color w:val="000000"/>
                <w:sz w:val="20"/>
                <w:lang w:val="sv-SE"/>
              </w:rPr>
            </w:pPr>
            <w:r w:rsidRPr="00800D1B">
              <w:rPr>
                <w:color w:val="000000"/>
                <w:sz w:val="20"/>
                <w:lang w:val="sv-SE"/>
              </w:rPr>
              <w:t>3</w:t>
            </w:r>
          </w:p>
        </w:tc>
        <w:tc>
          <w:tcPr>
            <w:tcW w:w="0" w:type="auto"/>
          </w:tcPr>
          <w:p w14:paraId="2D065CA7" w14:textId="77777777" w:rsidR="00A77B3E" w:rsidRPr="00800D1B" w:rsidRDefault="00623E14" w:rsidP="00E04517">
            <w:pPr>
              <w:spacing w:before="100" w:after="100"/>
              <w:ind w:left="-72"/>
              <w:rPr>
                <w:color w:val="000000"/>
                <w:sz w:val="20"/>
                <w:lang w:val="sv-SE"/>
              </w:rPr>
            </w:pPr>
            <w:r w:rsidRPr="00800D1B">
              <w:rPr>
                <w:color w:val="000000"/>
                <w:sz w:val="20"/>
                <w:lang w:val="sv-SE"/>
              </w:rPr>
              <w:t>RSO1.3</w:t>
            </w:r>
          </w:p>
        </w:tc>
        <w:tc>
          <w:tcPr>
            <w:tcW w:w="0" w:type="auto"/>
          </w:tcPr>
          <w:p w14:paraId="2D065CA8" w14:textId="77777777" w:rsidR="00A77B3E" w:rsidRPr="00800D1B" w:rsidRDefault="00623E14" w:rsidP="00E04517">
            <w:pPr>
              <w:spacing w:before="100" w:after="100"/>
              <w:ind w:left="-72"/>
              <w:rPr>
                <w:color w:val="000000"/>
                <w:sz w:val="20"/>
                <w:lang w:val="sv-SE"/>
              </w:rPr>
            </w:pPr>
            <w:r w:rsidRPr="00800D1B">
              <w:rPr>
                <w:color w:val="000000"/>
                <w:sz w:val="20"/>
                <w:lang w:val="sv-SE"/>
              </w:rPr>
              <w:t>Eruf</w:t>
            </w:r>
          </w:p>
        </w:tc>
        <w:tc>
          <w:tcPr>
            <w:tcW w:w="0" w:type="auto"/>
          </w:tcPr>
          <w:p w14:paraId="2D065CA9" w14:textId="77777777" w:rsidR="00A77B3E" w:rsidRPr="00800D1B" w:rsidRDefault="00623E14" w:rsidP="00A67879">
            <w:pPr>
              <w:spacing w:before="100" w:after="100"/>
              <w:ind w:left="-72" w:right="-135"/>
              <w:rPr>
                <w:color w:val="000000"/>
                <w:sz w:val="20"/>
                <w:lang w:val="sv-SE"/>
              </w:rPr>
            </w:pPr>
            <w:r w:rsidRPr="00800D1B">
              <w:rPr>
                <w:color w:val="000000"/>
                <w:sz w:val="20"/>
                <w:lang w:val="sv-SE"/>
              </w:rPr>
              <w:t>De yttersta randområdena eller de nordliga glesbefolkade områdena</w:t>
            </w:r>
          </w:p>
        </w:tc>
        <w:tc>
          <w:tcPr>
            <w:tcW w:w="0" w:type="auto"/>
          </w:tcPr>
          <w:p w14:paraId="2D065CAA" w14:textId="77777777" w:rsidR="00A77B3E" w:rsidRPr="00800D1B" w:rsidRDefault="00623E14" w:rsidP="00E04517">
            <w:pPr>
              <w:spacing w:before="100" w:after="100"/>
              <w:ind w:left="-72"/>
              <w:rPr>
                <w:color w:val="000000"/>
                <w:sz w:val="20"/>
                <w:lang w:val="sv-SE"/>
              </w:rPr>
            </w:pPr>
            <w:r w:rsidRPr="00800D1B">
              <w:rPr>
                <w:color w:val="000000"/>
                <w:sz w:val="20"/>
                <w:lang w:val="sv-SE"/>
              </w:rPr>
              <w:t>RCR03</w:t>
            </w:r>
          </w:p>
        </w:tc>
        <w:tc>
          <w:tcPr>
            <w:tcW w:w="0" w:type="auto"/>
          </w:tcPr>
          <w:p w14:paraId="2D065CAB" w14:textId="77777777" w:rsidR="00A77B3E" w:rsidRPr="00800D1B" w:rsidRDefault="00623E14" w:rsidP="00E04517">
            <w:pPr>
              <w:spacing w:before="100" w:after="100"/>
              <w:ind w:left="-72"/>
              <w:rPr>
                <w:color w:val="000000"/>
                <w:sz w:val="20"/>
                <w:lang w:val="sv-SE"/>
              </w:rPr>
            </w:pPr>
            <w:r w:rsidRPr="00800D1B">
              <w:rPr>
                <w:color w:val="000000"/>
                <w:sz w:val="20"/>
                <w:lang w:val="sv-SE"/>
              </w:rPr>
              <w:t>Små och medelstora företag (SMF) som inför produkt- eller processinnovationer</w:t>
            </w:r>
          </w:p>
        </w:tc>
        <w:tc>
          <w:tcPr>
            <w:tcW w:w="0" w:type="auto"/>
          </w:tcPr>
          <w:p w14:paraId="2D065CAC" w14:textId="77777777" w:rsidR="00A77B3E" w:rsidRPr="00800D1B" w:rsidRDefault="00623E14" w:rsidP="00E04517">
            <w:pPr>
              <w:spacing w:before="100" w:after="100"/>
              <w:ind w:left="-72"/>
              <w:rPr>
                <w:color w:val="000000"/>
                <w:sz w:val="20"/>
                <w:lang w:val="sv-SE"/>
              </w:rPr>
            </w:pPr>
            <w:r w:rsidRPr="00800D1B">
              <w:rPr>
                <w:color w:val="000000"/>
                <w:sz w:val="20"/>
                <w:lang w:val="sv-SE"/>
              </w:rPr>
              <w:t>företag</w:t>
            </w:r>
          </w:p>
        </w:tc>
        <w:tc>
          <w:tcPr>
            <w:tcW w:w="0" w:type="auto"/>
          </w:tcPr>
          <w:p w14:paraId="2D065CAD" w14:textId="77777777" w:rsidR="00A77B3E" w:rsidRPr="00800D1B" w:rsidRDefault="00623E14" w:rsidP="00E04517">
            <w:pPr>
              <w:spacing w:before="100" w:after="100"/>
              <w:ind w:left="-72"/>
              <w:jc w:val="right"/>
              <w:rPr>
                <w:color w:val="000000"/>
                <w:sz w:val="20"/>
                <w:lang w:val="sv-SE"/>
              </w:rPr>
            </w:pPr>
            <w:r w:rsidRPr="00800D1B">
              <w:rPr>
                <w:color w:val="000000"/>
                <w:sz w:val="20"/>
                <w:lang w:val="sv-SE"/>
              </w:rPr>
              <w:t>0,00</w:t>
            </w:r>
          </w:p>
        </w:tc>
        <w:tc>
          <w:tcPr>
            <w:tcW w:w="0" w:type="auto"/>
          </w:tcPr>
          <w:p w14:paraId="2D065CAE" w14:textId="77777777" w:rsidR="00A77B3E" w:rsidRPr="00800D1B" w:rsidRDefault="00623E14" w:rsidP="00E04517">
            <w:pPr>
              <w:spacing w:before="100" w:after="100"/>
              <w:ind w:left="-72"/>
              <w:jc w:val="center"/>
              <w:rPr>
                <w:color w:val="000000"/>
                <w:sz w:val="20"/>
                <w:lang w:val="sv-SE"/>
              </w:rPr>
            </w:pPr>
            <w:r w:rsidRPr="00800D1B">
              <w:rPr>
                <w:color w:val="000000"/>
                <w:sz w:val="20"/>
                <w:lang w:val="sv-SE"/>
              </w:rPr>
              <w:t>2021</w:t>
            </w:r>
          </w:p>
        </w:tc>
        <w:tc>
          <w:tcPr>
            <w:tcW w:w="0" w:type="auto"/>
          </w:tcPr>
          <w:p w14:paraId="2D065CAF" w14:textId="77777777" w:rsidR="00A77B3E" w:rsidRPr="00800D1B" w:rsidRDefault="00623E14" w:rsidP="00E04517">
            <w:pPr>
              <w:spacing w:before="100" w:after="100"/>
              <w:ind w:left="-72"/>
              <w:jc w:val="right"/>
              <w:rPr>
                <w:color w:val="000000"/>
                <w:sz w:val="20"/>
                <w:lang w:val="sv-SE"/>
              </w:rPr>
            </w:pPr>
            <w:r w:rsidRPr="00800D1B">
              <w:rPr>
                <w:color w:val="000000"/>
                <w:sz w:val="20"/>
                <w:lang w:val="sv-SE"/>
              </w:rPr>
              <w:t>29,00</w:t>
            </w:r>
          </w:p>
        </w:tc>
        <w:tc>
          <w:tcPr>
            <w:tcW w:w="0" w:type="auto"/>
          </w:tcPr>
          <w:p w14:paraId="2D065CB0" w14:textId="77777777" w:rsidR="00A77B3E" w:rsidRPr="00800D1B" w:rsidRDefault="00623E14" w:rsidP="00E04517">
            <w:pPr>
              <w:spacing w:before="100" w:after="100"/>
              <w:ind w:left="-72"/>
              <w:rPr>
                <w:color w:val="000000"/>
                <w:sz w:val="20"/>
                <w:lang w:val="sv-SE"/>
              </w:rPr>
            </w:pPr>
            <w:r w:rsidRPr="00800D1B">
              <w:rPr>
                <w:color w:val="000000"/>
                <w:sz w:val="20"/>
                <w:lang w:val="sv-SE"/>
              </w:rPr>
              <w:t>Projekt</w:t>
            </w:r>
          </w:p>
        </w:tc>
        <w:tc>
          <w:tcPr>
            <w:tcW w:w="0" w:type="auto"/>
          </w:tcPr>
          <w:p w14:paraId="2D065CB1" w14:textId="77777777" w:rsidR="00A77B3E" w:rsidRPr="00800D1B" w:rsidRDefault="00A77B3E" w:rsidP="00E04517">
            <w:pPr>
              <w:spacing w:before="100" w:after="100"/>
              <w:ind w:left="-72"/>
              <w:rPr>
                <w:color w:val="000000"/>
                <w:sz w:val="20"/>
                <w:lang w:val="sv-SE"/>
              </w:rPr>
            </w:pPr>
          </w:p>
        </w:tc>
      </w:tr>
      <w:tr w:rsidR="003422DB" w:rsidRPr="00800D1B" w14:paraId="2D065CBF" w14:textId="77777777" w:rsidTr="00E04517">
        <w:tc>
          <w:tcPr>
            <w:tcW w:w="0" w:type="auto"/>
          </w:tcPr>
          <w:p w14:paraId="2D065CB3" w14:textId="77777777" w:rsidR="00A77B3E" w:rsidRPr="00800D1B" w:rsidRDefault="00623E14" w:rsidP="00E04517">
            <w:pPr>
              <w:spacing w:before="100" w:after="100"/>
              <w:ind w:left="-72"/>
              <w:rPr>
                <w:color w:val="000000"/>
                <w:sz w:val="20"/>
                <w:lang w:val="sv-SE"/>
              </w:rPr>
            </w:pPr>
            <w:r w:rsidRPr="00800D1B">
              <w:rPr>
                <w:color w:val="000000"/>
                <w:sz w:val="20"/>
                <w:lang w:val="sv-SE"/>
              </w:rPr>
              <w:t>3</w:t>
            </w:r>
          </w:p>
        </w:tc>
        <w:tc>
          <w:tcPr>
            <w:tcW w:w="0" w:type="auto"/>
          </w:tcPr>
          <w:p w14:paraId="2D065CB4" w14:textId="77777777" w:rsidR="00A77B3E" w:rsidRPr="00800D1B" w:rsidRDefault="00623E14" w:rsidP="00E04517">
            <w:pPr>
              <w:spacing w:before="100" w:after="100"/>
              <w:ind w:left="-72"/>
              <w:rPr>
                <w:color w:val="000000"/>
                <w:sz w:val="20"/>
                <w:lang w:val="sv-SE"/>
              </w:rPr>
            </w:pPr>
            <w:r w:rsidRPr="00800D1B">
              <w:rPr>
                <w:color w:val="000000"/>
                <w:sz w:val="20"/>
                <w:lang w:val="sv-SE"/>
              </w:rPr>
              <w:t>RSO1.3</w:t>
            </w:r>
          </w:p>
        </w:tc>
        <w:tc>
          <w:tcPr>
            <w:tcW w:w="0" w:type="auto"/>
          </w:tcPr>
          <w:p w14:paraId="2D065CB5" w14:textId="77777777" w:rsidR="00A77B3E" w:rsidRPr="00800D1B" w:rsidRDefault="00623E14" w:rsidP="00E04517">
            <w:pPr>
              <w:spacing w:before="100" w:after="100"/>
              <w:ind w:left="-72"/>
              <w:rPr>
                <w:color w:val="000000"/>
                <w:sz w:val="20"/>
                <w:lang w:val="sv-SE"/>
              </w:rPr>
            </w:pPr>
            <w:r w:rsidRPr="00800D1B">
              <w:rPr>
                <w:color w:val="000000"/>
                <w:sz w:val="20"/>
                <w:lang w:val="sv-SE"/>
              </w:rPr>
              <w:t>Eruf</w:t>
            </w:r>
          </w:p>
        </w:tc>
        <w:tc>
          <w:tcPr>
            <w:tcW w:w="0" w:type="auto"/>
          </w:tcPr>
          <w:p w14:paraId="2D065CB6" w14:textId="77777777" w:rsidR="00A77B3E" w:rsidRPr="00800D1B" w:rsidRDefault="00623E14" w:rsidP="00A67879">
            <w:pPr>
              <w:spacing w:before="100" w:after="100"/>
              <w:ind w:left="-72" w:right="-135"/>
              <w:rPr>
                <w:color w:val="000000"/>
                <w:sz w:val="20"/>
                <w:lang w:val="sv-SE"/>
              </w:rPr>
            </w:pPr>
            <w:r w:rsidRPr="00800D1B">
              <w:rPr>
                <w:color w:val="000000"/>
                <w:sz w:val="20"/>
                <w:lang w:val="sv-SE"/>
              </w:rPr>
              <w:t>De yttersta randområdena eller de nordliga glesbefolkade områdena</w:t>
            </w:r>
          </w:p>
        </w:tc>
        <w:tc>
          <w:tcPr>
            <w:tcW w:w="0" w:type="auto"/>
          </w:tcPr>
          <w:p w14:paraId="2D065CB7" w14:textId="77777777" w:rsidR="00A77B3E" w:rsidRPr="00800D1B" w:rsidRDefault="00623E14" w:rsidP="00E04517">
            <w:pPr>
              <w:spacing w:before="100" w:after="100"/>
              <w:ind w:left="-72"/>
              <w:rPr>
                <w:color w:val="000000"/>
                <w:sz w:val="20"/>
                <w:lang w:val="sv-SE"/>
              </w:rPr>
            </w:pPr>
            <w:r w:rsidRPr="00800D1B">
              <w:rPr>
                <w:color w:val="000000"/>
                <w:sz w:val="20"/>
                <w:lang w:val="sv-SE"/>
              </w:rPr>
              <w:t>RCR04</w:t>
            </w:r>
          </w:p>
        </w:tc>
        <w:tc>
          <w:tcPr>
            <w:tcW w:w="0" w:type="auto"/>
          </w:tcPr>
          <w:p w14:paraId="2D065CB8" w14:textId="77777777" w:rsidR="00A77B3E" w:rsidRPr="00800D1B" w:rsidRDefault="00623E14" w:rsidP="00E04517">
            <w:pPr>
              <w:spacing w:before="100" w:after="100"/>
              <w:ind w:left="-72"/>
              <w:rPr>
                <w:color w:val="000000"/>
                <w:sz w:val="20"/>
                <w:lang w:val="sv-SE"/>
              </w:rPr>
            </w:pPr>
            <w:r w:rsidRPr="00800D1B">
              <w:rPr>
                <w:color w:val="000000"/>
                <w:sz w:val="20"/>
                <w:lang w:val="sv-SE"/>
              </w:rPr>
              <w:t>Små och medelstora företag som inför marknadsförings- eller organisationsinnovationer</w:t>
            </w:r>
          </w:p>
        </w:tc>
        <w:tc>
          <w:tcPr>
            <w:tcW w:w="0" w:type="auto"/>
          </w:tcPr>
          <w:p w14:paraId="2D065CB9" w14:textId="77777777" w:rsidR="00A77B3E" w:rsidRPr="00800D1B" w:rsidRDefault="00623E14" w:rsidP="00E04517">
            <w:pPr>
              <w:spacing w:before="100" w:after="100"/>
              <w:ind w:left="-72"/>
              <w:rPr>
                <w:color w:val="000000"/>
                <w:sz w:val="20"/>
                <w:lang w:val="sv-SE"/>
              </w:rPr>
            </w:pPr>
            <w:r w:rsidRPr="00800D1B">
              <w:rPr>
                <w:color w:val="000000"/>
                <w:sz w:val="20"/>
                <w:lang w:val="sv-SE"/>
              </w:rPr>
              <w:t>företag</w:t>
            </w:r>
          </w:p>
        </w:tc>
        <w:tc>
          <w:tcPr>
            <w:tcW w:w="0" w:type="auto"/>
          </w:tcPr>
          <w:p w14:paraId="2D065CBA" w14:textId="77777777" w:rsidR="00A77B3E" w:rsidRPr="00800D1B" w:rsidRDefault="00623E14" w:rsidP="00E04517">
            <w:pPr>
              <w:spacing w:before="100" w:after="100"/>
              <w:ind w:left="-72"/>
              <w:jc w:val="right"/>
              <w:rPr>
                <w:color w:val="000000"/>
                <w:sz w:val="20"/>
                <w:lang w:val="sv-SE"/>
              </w:rPr>
            </w:pPr>
            <w:r w:rsidRPr="00800D1B">
              <w:rPr>
                <w:color w:val="000000"/>
                <w:sz w:val="20"/>
                <w:lang w:val="sv-SE"/>
              </w:rPr>
              <w:t>0,00</w:t>
            </w:r>
          </w:p>
        </w:tc>
        <w:tc>
          <w:tcPr>
            <w:tcW w:w="0" w:type="auto"/>
          </w:tcPr>
          <w:p w14:paraId="2D065CBB" w14:textId="77777777" w:rsidR="00A77B3E" w:rsidRPr="00800D1B" w:rsidRDefault="00623E14" w:rsidP="00E04517">
            <w:pPr>
              <w:spacing w:before="100" w:after="100"/>
              <w:ind w:left="-72"/>
              <w:jc w:val="center"/>
              <w:rPr>
                <w:color w:val="000000"/>
                <w:sz w:val="20"/>
                <w:lang w:val="sv-SE"/>
              </w:rPr>
            </w:pPr>
            <w:r w:rsidRPr="00800D1B">
              <w:rPr>
                <w:color w:val="000000"/>
                <w:sz w:val="20"/>
                <w:lang w:val="sv-SE"/>
              </w:rPr>
              <w:t>2021</w:t>
            </w:r>
          </w:p>
        </w:tc>
        <w:tc>
          <w:tcPr>
            <w:tcW w:w="0" w:type="auto"/>
          </w:tcPr>
          <w:p w14:paraId="2D065CBC" w14:textId="77777777" w:rsidR="00A77B3E" w:rsidRPr="00800D1B" w:rsidRDefault="00623E14" w:rsidP="00E04517">
            <w:pPr>
              <w:spacing w:before="100" w:after="100"/>
              <w:ind w:left="-72"/>
              <w:jc w:val="right"/>
              <w:rPr>
                <w:color w:val="000000"/>
                <w:sz w:val="20"/>
                <w:lang w:val="sv-SE"/>
              </w:rPr>
            </w:pPr>
            <w:r w:rsidRPr="00800D1B">
              <w:rPr>
                <w:color w:val="000000"/>
                <w:sz w:val="20"/>
                <w:lang w:val="sv-SE"/>
              </w:rPr>
              <w:t>29,00</w:t>
            </w:r>
          </w:p>
        </w:tc>
        <w:tc>
          <w:tcPr>
            <w:tcW w:w="0" w:type="auto"/>
          </w:tcPr>
          <w:p w14:paraId="2D065CBD" w14:textId="77777777" w:rsidR="00A77B3E" w:rsidRPr="00800D1B" w:rsidRDefault="00623E14" w:rsidP="00E04517">
            <w:pPr>
              <w:spacing w:before="100" w:after="100"/>
              <w:ind w:left="-72"/>
              <w:rPr>
                <w:color w:val="000000"/>
                <w:sz w:val="20"/>
                <w:lang w:val="sv-SE"/>
              </w:rPr>
            </w:pPr>
            <w:r w:rsidRPr="00800D1B">
              <w:rPr>
                <w:color w:val="000000"/>
                <w:sz w:val="20"/>
                <w:lang w:val="sv-SE"/>
              </w:rPr>
              <w:t>Projekt</w:t>
            </w:r>
          </w:p>
        </w:tc>
        <w:tc>
          <w:tcPr>
            <w:tcW w:w="0" w:type="auto"/>
          </w:tcPr>
          <w:p w14:paraId="2D065CBE" w14:textId="77777777" w:rsidR="00A77B3E" w:rsidRPr="00800D1B" w:rsidRDefault="00A77B3E" w:rsidP="00E04517">
            <w:pPr>
              <w:spacing w:before="100" w:after="100"/>
              <w:ind w:left="-72"/>
              <w:rPr>
                <w:color w:val="000000"/>
                <w:sz w:val="20"/>
                <w:lang w:val="sv-SE"/>
              </w:rPr>
            </w:pPr>
          </w:p>
        </w:tc>
      </w:tr>
      <w:tr w:rsidR="003422DB" w:rsidRPr="00800D1B" w14:paraId="2D065CCC" w14:textId="77777777" w:rsidTr="00E04517">
        <w:tc>
          <w:tcPr>
            <w:tcW w:w="0" w:type="auto"/>
          </w:tcPr>
          <w:p w14:paraId="2D065CC0" w14:textId="77777777" w:rsidR="00A77B3E" w:rsidRPr="00800D1B" w:rsidRDefault="00623E14" w:rsidP="00E04517">
            <w:pPr>
              <w:spacing w:before="100" w:after="100"/>
              <w:ind w:left="-72"/>
              <w:rPr>
                <w:color w:val="000000"/>
                <w:sz w:val="20"/>
                <w:lang w:val="sv-SE"/>
              </w:rPr>
            </w:pPr>
            <w:r w:rsidRPr="00800D1B">
              <w:rPr>
                <w:color w:val="000000"/>
                <w:sz w:val="20"/>
                <w:lang w:val="sv-SE"/>
              </w:rPr>
              <w:t>3</w:t>
            </w:r>
          </w:p>
        </w:tc>
        <w:tc>
          <w:tcPr>
            <w:tcW w:w="0" w:type="auto"/>
          </w:tcPr>
          <w:p w14:paraId="2D065CC1" w14:textId="77777777" w:rsidR="00A77B3E" w:rsidRPr="00800D1B" w:rsidRDefault="00623E14" w:rsidP="00E04517">
            <w:pPr>
              <w:spacing w:before="100" w:after="100"/>
              <w:ind w:left="-72"/>
              <w:rPr>
                <w:color w:val="000000"/>
                <w:sz w:val="20"/>
                <w:lang w:val="sv-SE"/>
              </w:rPr>
            </w:pPr>
            <w:r w:rsidRPr="00800D1B">
              <w:rPr>
                <w:color w:val="000000"/>
                <w:sz w:val="20"/>
                <w:lang w:val="sv-SE"/>
              </w:rPr>
              <w:t>RSO1.3</w:t>
            </w:r>
          </w:p>
        </w:tc>
        <w:tc>
          <w:tcPr>
            <w:tcW w:w="0" w:type="auto"/>
          </w:tcPr>
          <w:p w14:paraId="2D065CC2" w14:textId="77777777" w:rsidR="00A77B3E" w:rsidRPr="00800D1B" w:rsidRDefault="00623E14" w:rsidP="00E04517">
            <w:pPr>
              <w:spacing w:before="100" w:after="100"/>
              <w:ind w:left="-72"/>
              <w:rPr>
                <w:color w:val="000000"/>
                <w:sz w:val="20"/>
                <w:lang w:val="sv-SE"/>
              </w:rPr>
            </w:pPr>
            <w:r w:rsidRPr="00800D1B">
              <w:rPr>
                <w:color w:val="000000"/>
                <w:sz w:val="20"/>
                <w:lang w:val="sv-SE"/>
              </w:rPr>
              <w:t>Eruf</w:t>
            </w:r>
          </w:p>
        </w:tc>
        <w:tc>
          <w:tcPr>
            <w:tcW w:w="0" w:type="auto"/>
          </w:tcPr>
          <w:p w14:paraId="2D065CC3" w14:textId="77777777" w:rsidR="00A77B3E" w:rsidRPr="00800D1B" w:rsidRDefault="00623E14" w:rsidP="00A67879">
            <w:pPr>
              <w:spacing w:before="100" w:after="100"/>
              <w:ind w:left="-72" w:right="-135"/>
              <w:rPr>
                <w:color w:val="000000"/>
                <w:sz w:val="20"/>
                <w:lang w:val="sv-SE"/>
              </w:rPr>
            </w:pPr>
            <w:r w:rsidRPr="00800D1B">
              <w:rPr>
                <w:color w:val="000000"/>
                <w:sz w:val="20"/>
                <w:lang w:val="sv-SE"/>
              </w:rPr>
              <w:t>De yttersta randområdena eller de nordliga glesbefolkade områdena</w:t>
            </w:r>
          </w:p>
        </w:tc>
        <w:tc>
          <w:tcPr>
            <w:tcW w:w="0" w:type="auto"/>
          </w:tcPr>
          <w:p w14:paraId="2D065CC4" w14:textId="77777777" w:rsidR="00A77B3E" w:rsidRPr="00800D1B" w:rsidRDefault="00623E14" w:rsidP="00E04517">
            <w:pPr>
              <w:spacing w:before="100" w:after="100"/>
              <w:ind w:left="-72"/>
              <w:rPr>
                <w:color w:val="000000"/>
                <w:sz w:val="20"/>
                <w:lang w:val="sv-SE"/>
              </w:rPr>
            </w:pPr>
            <w:r w:rsidRPr="00800D1B">
              <w:rPr>
                <w:color w:val="000000"/>
                <w:sz w:val="20"/>
                <w:lang w:val="sv-SE"/>
              </w:rPr>
              <w:t>RCR05</w:t>
            </w:r>
          </w:p>
        </w:tc>
        <w:tc>
          <w:tcPr>
            <w:tcW w:w="0" w:type="auto"/>
          </w:tcPr>
          <w:p w14:paraId="2D065CC5" w14:textId="77777777" w:rsidR="00A77B3E" w:rsidRPr="00800D1B" w:rsidRDefault="00623E14" w:rsidP="00E04517">
            <w:pPr>
              <w:spacing w:before="100" w:after="100"/>
              <w:ind w:left="-72"/>
              <w:rPr>
                <w:color w:val="000000"/>
                <w:sz w:val="20"/>
                <w:lang w:val="sv-SE"/>
              </w:rPr>
            </w:pPr>
            <w:r w:rsidRPr="00800D1B">
              <w:rPr>
                <w:color w:val="000000"/>
                <w:sz w:val="20"/>
                <w:lang w:val="sv-SE"/>
              </w:rPr>
              <w:t>Små och medelstora företag som gör innovationer inom företaget</w:t>
            </w:r>
          </w:p>
        </w:tc>
        <w:tc>
          <w:tcPr>
            <w:tcW w:w="0" w:type="auto"/>
          </w:tcPr>
          <w:p w14:paraId="2D065CC6" w14:textId="77777777" w:rsidR="00A77B3E" w:rsidRPr="00800D1B" w:rsidRDefault="00623E14" w:rsidP="00E04517">
            <w:pPr>
              <w:spacing w:before="100" w:after="100"/>
              <w:ind w:left="-72"/>
              <w:rPr>
                <w:color w:val="000000"/>
                <w:sz w:val="20"/>
                <w:lang w:val="sv-SE"/>
              </w:rPr>
            </w:pPr>
            <w:r w:rsidRPr="00800D1B">
              <w:rPr>
                <w:color w:val="000000"/>
                <w:sz w:val="20"/>
                <w:lang w:val="sv-SE"/>
              </w:rPr>
              <w:t>företag</w:t>
            </w:r>
          </w:p>
        </w:tc>
        <w:tc>
          <w:tcPr>
            <w:tcW w:w="0" w:type="auto"/>
          </w:tcPr>
          <w:p w14:paraId="2D065CC7" w14:textId="77777777" w:rsidR="00A77B3E" w:rsidRPr="00800D1B" w:rsidRDefault="00623E14" w:rsidP="00E04517">
            <w:pPr>
              <w:spacing w:before="100" w:after="100"/>
              <w:ind w:left="-72"/>
              <w:jc w:val="right"/>
              <w:rPr>
                <w:color w:val="000000"/>
                <w:sz w:val="20"/>
                <w:lang w:val="sv-SE"/>
              </w:rPr>
            </w:pPr>
            <w:r w:rsidRPr="00800D1B">
              <w:rPr>
                <w:color w:val="000000"/>
                <w:sz w:val="20"/>
                <w:lang w:val="sv-SE"/>
              </w:rPr>
              <w:t>0,00</w:t>
            </w:r>
          </w:p>
        </w:tc>
        <w:tc>
          <w:tcPr>
            <w:tcW w:w="0" w:type="auto"/>
          </w:tcPr>
          <w:p w14:paraId="2D065CC8" w14:textId="77777777" w:rsidR="00A77B3E" w:rsidRPr="00800D1B" w:rsidRDefault="00623E14" w:rsidP="00E04517">
            <w:pPr>
              <w:spacing w:before="100" w:after="100"/>
              <w:ind w:left="-72"/>
              <w:jc w:val="center"/>
              <w:rPr>
                <w:color w:val="000000"/>
                <w:sz w:val="20"/>
                <w:lang w:val="sv-SE"/>
              </w:rPr>
            </w:pPr>
            <w:r w:rsidRPr="00800D1B">
              <w:rPr>
                <w:color w:val="000000"/>
                <w:sz w:val="20"/>
                <w:lang w:val="sv-SE"/>
              </w:rPr>
              <w:t>2021</w:t>
            </w:r>
          </w:p>
        </w:tc>
        <w:tc>
          <w:tcPr>
            <w:tcW w:w="0" w:type="auto"/>
          </w:tcPr>
          <w:p w14:paraId="2D065CC9" w14:textId="77777777" w:rsidR="00A77B3E" w:rsidRPr="00800D1B" w:rsidRDefault="00623E14" w:rsidP="00E04517">
            <w:pPr>
              <w:spacing w:before="100" w:after="100"/>
              <w:ind w:left="-72"/>
              <w:jc w:val="right"/>
              <w:rPr>
                <w:color w:val="000000"/>
                <w:sz w:val="20"/>
                <w:lang w:val="sv-SE"/>
              </w:rPr>
            </w:pPr>
            <w:r w:rsidRPr="00800D1B">
              <w:rPr>
                <w:color w:val="000000"/>
                <w:sz w:val="20"/>
                <w:lang w:val="sv-SE"/>
              </w:rPr>
              <w:t>29,00</w:t>
            </w:r>
          </w:p>
        </w:tc>
        <w:tc>
          <w:tcPr>
            <w:tcW w:w="0" w:type="auto"/>
          </w:tcPr>
          <w:p w14:paraId="2D065CCA" w14:textId="77777777" w:rsidR="00A77B3E" w:rsidRPr="00800D1B" w:rsidRDefault="00623E14" w:rsidP="00E04517">
            <w:pPr>
              <w:spacing w:before="100" w:after="100"/>
              <w:ind w:left="-72"/>
              <w:rPr>
                <w:color w:val="000000"/>
                <w:sz w:val="20"/>
                <w:lang w:val="sv-SE"/>
              </w:rPr>
            </w:pPr>
            <w:r w:rsidRPr="00800D1B">
              <w:rPr>
                <w:color w:val="000000"/>
                <w:sz w:val="20"/>
                <w:lang w:val="sv-SE"/>
              </w:rPr>
              <w:t>Projekt</w:t>
            </w:r>
          </w:p>
        </w:tc>
        <w:tc>
          <w:tcPr>
            <w:tcW w:w="0" w:type="auto"/>
          </w:tcPr>
          <w:p w14:paraId="2D065CCB" w14:textId="77777777" w:rsidR="00A77B3E" w:rsidRPr="00800D1B" w:rsidRDefault="00A77B3E" w:rsidP="00E04517">
            <w:pPr>
              <w:spacing w:before="100" w:after="100"/>
              <w:ind w:left="-72"/>
              <w:rPr>
                <w:color w:val="000000"/>
                <w:sz w:val="20"/>
                <w:lang w:val="sv-SE"/>
              </w:rPr>
            </w:pPr>
          </w:p>
        </w:tc>
      </w:tr>
      <w:tr w:rsidR="003422DB" w:rsidRPr="00800D1B" w14:paraId="2D065CD9" w14:textId="77777777" w:rsidTr="00E04517">
        <w:tc>
          <w:tcPr>
            <w:tcW w:w="0" w:type="auto"/>
          </w:tcPr>
          <w:p w14:paraId="2D065CCD" w14:textId="77777777" w:rsidR="00A77B3E" w:rsidRPr="00800D1B" w:rsidRDefault="00623E14" w:rsidP="00E04517">
            <w:pPr>
              <w:spacing w:before="100" w:after="100"/>
              <w:ind w:left="-72"/>
              <w:rPr>
                <w:color w:val="000000"/>
                <w:sz w:val="20"/>
                <w:lang w:val="sv-SE"/>
              </w:rPr>
            </w:pPr>
            <w:r w:rsidRPr="00800D1B">
              <w:rPr>
                <w:color w:val="000000"/>
                <w:sz w:val="20"/>
                <w:lang w:val="sv-SE"/>
              </w:rPr>
              <w:t>3</w:t>
            </w:r>
          </w:p>
        </w:tc>
        <w:tc>
          <w:tcPr>
            <w:tcW w:w="0" w:type="auto"/>
          </w:tcPr>
          <w:p w14:paraId="2D065CCE" w14:textId="77777777" w:rsidR="00A77B3E" w:rsidRPr="00800D1B" w:rsidRDefault="00623E14" w:rsidP="00E04517">
            <w:pPr>
              <w:spacing w:before="100" w:after="100"/>
              <w:ind w:left="-72"/>
              <w:rPr>
                <w:color w:val="000000"/>
                <w:sz w:val="20"/>
                <w:lang w:val="sv-SE"/>
              </w:rPr>
            </w:pPr>
            <w:r w:rsidRPr="00800D1B">
              <w:rPr>
                <w:color w:val="000000"/>
                <w:sz w:val="20"/>
                <w:lang w:val="sv-SE"/>
              </w:rPr>
              <w:t>RSO1.3</w:t>
            </w:r>
          </w:p>
        </w:tc>
        <w:tc>
          <w:tcPr>
            <w:tcW w:w="0" w:type="auto"/>
          </w:tcPr>
          <w:p w14:paraId="2D065CCF" w14:textId="77777777" w:rsidR="00A77B3E" w:rsidRPr="00800D1B" w:rsidRDefault="00623E14" w:rsidP="00E04517">
            <w:pPr>
              <w:spacing w:before="100" w:after="100"/>
              <w:ind w:left="-72"/>
              <w:rPr>
                <w:color w:val="000000"/>
                <w:sz w:val="20"/>
                <w:lang w:val="sv-SE"/>
              </w:rPr>
            </w:pPr>
            <w:r w:rsidRPr="00800D1B">
              <w:rPr>
                <w:color w:val="000000"/>
                <w:sz w:val="20"/>
                <w:lang w:val="sv-SE"/>
              </w:rPr>
              <w:t>Eruf</w:t>
            </w:r>
          </w:p>
        </w:tc>
        <w:tc>
          <w:tcPr>
            <w:tcW w:w="0" w:type="auto"/>
          </w:tcPr>
          <w:p w14:paraId="2D065CD0" w14:textId="77777777" w:rsidR="00A77B3E" w:rsidRPr="00800D1B" w:rsidRDefault="00623E14" w:rsidP="00A67879">
            <w:pPr>
              <w:spacing w:before="100" w:after="100"/>
              <w:ind w:left="-72" w:right="-135"/>
              <w:rPr>
                <w:color w:val="000000"/>
                <w:sz w:val="20"/>
                <w:lang w:val="sv-SE"/>
              </w:rPr>
            </w:pPr>
            <w:r w:rsidRPr="00800D1B">
              <w:rPr>
                <w:color w:val="000000"/>
                <w:sz w:val="20"/>
                <w:lang w:val="sv-SE"/>
              </w:rPr>
              <w:t>De yttersta randområdena eller de nordliga glesbefolkade områdena</w:t>
            </w:r>
          </w:p>
        </w:tc>
        <w:tc>
          <w:tcPr>
            <w:tcW w:w="0" w:type="auto"/>
          </w:tcPr>
          <w:p w14:paraId="2D065CD1" w14:textId="77777777" w:rsidR="00A77B3E" w:rsidRPr="00800D1B" w:rsidRDefault="00623E14" w:rsidP="00E04517">
            <w:pPr>
              <w:spacing w:before="100" w:after="100"/>
              <w:ind w:left="-72"/>
              <w:rPr>
                <w:color w:val="000000"/>
                <w:sz w:val="20"/>
                <w:lang w:val="sv-SE"/>
              </w:rPr>
            </w:pPr>
            <w:r w:rsidRPr="00800D1B">
              <w:rPr>
                <w:color w:val="000000"/>
                <w:sz w:val="20"/>
                <w:lang w:val="sv-SE"/>
              </w:rPr>
              <w:t>SWR03</w:t>
            </w:r>
          </w:p>
        </w:tc>
        <w:tc>
          <w:tcPr>
            <w:tcW w:w="0" w:type="auto"/>
          </w:tcPr>
          <w:p w14:paraId="2D065CD2" w14:textId="77777777" w:rsidR="00A77B3E" w:rsidRPr="00800D1B" w:rsidRDefault="00623E14" w:rsidP="00E04517">
            <w:pPr>
              <w:spacing w:before="100" w:after="100"/>
              <w:ind w:left="-72"/>
              <w:rPr>
                <w:color w:val="000000"/>
                <w:sz w:val="20"/>
                <w:lang w:val="sv-SE"/>
              </w:rPr>
            </w:pPr>
            <w:r w:rsidRPr="00800D1B">
              <w:rPr>
                <w:color w:val="000000"/>
                <w:sz w:val="20"/>
                <w:lang w:val="sv-SE"/>
              </w:rPr>
              <w:t xml:space="preserve"> Antal användare av implementerade stödstrukturer</w:t>
            </w:r>
          </w:p>
        </w:tc>
        <w:tc>
          <w:tcPr>
            <w:tcW w:w="0" w:type="auto"/>
          </w:tcPr>
          <w:p w14:paraId="2D065CD3" w14:textId="77777777" w:rsidR="00A77B3E" w:rsidRPr="00800D1B" w:rsidRDefault="00623E14" w:rsidP="00E04517">
            <w:pPr>
              <w:spacing w:before="100" w:after="100"/>
              <w:ind w:left="-72"/>
              <w:rPr>
                <w:color w:val="000000"/>
                <w:sz w:val="20"/>
                <w:lang w:val="sv-SE"/>
              </w:rPr>
            </w:pPr>
            <w:r w:rsidRPr="00800D1B">
              <w:rPr>
                <w:color w:val="000000"/>
                <w:sz w:val="20"/>
                <w:lang w:val="sv-SE"/>
              </w:rPr>
              <w:t>Användare</w:t>
            </w:r>
          </w:p>
        </w:tc>
        <w:tc>
          <w:tcPr>
            <w:tcW w:w="0" w:type="auto"/>
          </w:tcPr>
          <w:p w14:paraId="2D065CD4" w14:textId="77777777" w:rsidR="00A77B3E" w:rsidRPr="00800D1B" w:rsidRDefault="00623E14" w:rsidP="00E04517">
            <w:pPr>
              <w:spacing w:before="100" w:after="100"/>
              <w:ind w:left="-72"/>
              <w:jc w:val="right"/>
              <w:rPr>
                <w:color w:val="000000"/>
                <w:sz w:val="20"/>
                <w:lang w:val="sv-SE"/>
              </w:rPr>
            </w:pPr>
            <w:r w:rsidRPr="00800D1B">
              <w:rPr>
                <w:color w:val="000000"/>
                <w:sz w:val="20"/>
                <w:lang w:val="sv-SE"/>
              </w:rPr>
              <w:t>0,00</w:t>
            </w:r>
          </w:p>
        </w:tc>
        <w:tc>
          <w:tcPr>
            <w:tcW w:w="0" w:type="auto"/>
          </w:tcPr>
          <w:p w14:paraId="2D065CD5" w14:textId="77777777" w:rsidR="00A77B3E" w:rsidRPr="00800D1B" w:rsidRDefault="00623E14" w:rsidP="00E04517">
            <w:pPr>
              <w:spacing w:before="100" w:after="100"/>
              <w:ind w:left="-72"/>
              <w:jc w:val="center"/>
              <w:rPr>
                <w:color w:val="000000"/>
                <w:sz w:val="20"/>
                <w:lang w:val="sv-SE"/>
              </w:rPr>
            </w:pPr>
            <w:r w:rsidRPr="00800D1B">
              <w:rPr>
                <w:color w:val="000000"/>
                <w:sz w:val="20"/>
                <w:lang w:val="sv-SE"/>
              </w:rPr>
              <w:t>2021</w:t>
            </w:r>
          </w:p>
        </w:tc>
        <w:tc>
          <w:tcPr>
            <w:tcW w:w="0" w:type="auto"/>
          </w:tcPr>
          <w:p w14:paraId="2D065CD6" w14:textId="77777777" w:rsidR="00A77B3E" w:rsidRPr="00800D1B" w:rsidRDefault="00623E14" w:rsidP="00E04517">
            <w:pPr>
              <w:spacing w:before="100" w:after="100"/>
              <w:ind w:left="-72"/>
              <w:jc w:val="right"/>
              <w:rPr>
                <w:color w:val="000000"/>
                <w:sz w:val="20"/>
                <w:lang w:val="sv-SE"/>
              </w:rPr>
            </w:pPr>
            <w:r w:rsidRPr="00800D1B">
              <w:rPr>
                <w:color w:val="000000"/>
                <w:sz w:val="20"/>
                <w:lang w:val="sv-SE"/>
              </w:rPr>
              <w:t>23,00</w:t>
            </w:r>
          </w:p>
        </w:tc>
        <w:tc>
          <w:tcPr>
            <w:tcW w:w="0" w:type="auto"/>
          </w:tcPr>
          <w:p w14:paraId="2D065CD7" w14:textId="77777777" w:rsidR="00A77B3E" w:rsidRPr="00800D1B" w:rsidRDefault="00623E14" w:rsidP="00E04517">
            <w:pPr>
              <w:spacing w:before="100" w:after="100"/>
              <w:ind w:left="-72"/>
              <w:rPr>
                <w:color w:val="000000"/>
                <w:sz w:val="20"/>
                <w:lang w:val="sv-SE"/>
              </w:rPr>
            </w:pPr>
            <w:r w:rsidRPr="00800D1B">
              <w:rPr>
                <w:color w:val="000000"/>
                <w:sz w:val="20"/>
                <w:lang w:val="sv-SE"/>
              </w:rPr>
              <w:t>Projekt</w:t>
            </w:r>
          </w:p>
        </w:tc>
        <w:tc>
          <w:tcPr>
            <w:tcW w:w="0" w:type="auto"/>
          </w:tcPr>
          <w:p w14:paraId="2D065CD8" w14:textId="77777777" w:rsidR="00A77B3E" w:rsidRPr="00800D1B" w:rsidRDefault="00A77B3E" w:rsidP="00E04517">
            <w:pPr>
              <w:spacing w:before="100" w:after="100"/>
              <w:ind w:left="-72"/>
              <w:rPr>
                <w:color w:val="000000"/>
                <w:sz w:val="20"/>
                <w:lang w:val="sv-SE"/>
              </w:rPr>
            </w:pPr>
          </w:p>
        </w:tc>
      </w:tr>
      <w:tr w:rsidR="003422DB" w:rsidRPr="00800D1B" w14:paraId="2D065CE6" w14:textId="77777777" w:rsidTr="00E04517">
        <w:tc>
          <w:tcPr>
            <w:tcW w:w="0" w:type="auto"/>
          </w:tcPr>
          <w:p w14:paraId="2D065CDA" w14:textId="77777777" w:rsidR="00A77B3E" w:rsidRPr="00800D1B" w:rsidRDefault="00623E14" w:rsidP="00E04517">
            <w:pPr>
              <w:spacing w:before="100" w:after="100"/>
              <w:ind w:left="-72"/>
              <w:rPr>
                <w:color w:val="000000"/>
                <w:sz w:val="20"/>
                <w:lang w:val="sv-SE"/>
              </w:rPr>
            </w:pPr>
            <w:r w:rsidRPr="00800D1B">
              <w:rPr>
                <w:color w:val="000000"/>
                <w:sz w:val="20"/>
                <w:lang w:val="sv-SE"/>
              </w:rPr>
              <w:t>3</w:t>
            </w:r>
          </w:p>
        </w:tc>
        <w:tc>
          <w:tcPr>
            <w:tcW w:w="0" w:type="auto"/>
          </w:tcPr>
          <w:p w14:paraId="2D065CDB" w14:textId="77777777" w:rsidR="00A77B3E" w:rsidRPr="00800D1B" w:rsidRDefault="00623E14" w:rsidP="00E04517">
            <w:pPr>
              <w:spacing w:before="100" w:after="100"/>
              <w:ind w:left="-72"/>
              <w:rPr>
                <w:color w:val="000000"/>
                <w:sz w:val="20"/>
                <w:lang w:val="sv-SE"/>
              </w:rPr>
            </w:pPr>
            <w:r w:rsidRPr="00800D1B">
              <w:rPr>
                <w:color w:val="000000"/>
                <w:sz w:val="20"/>
                <w:lang w:val="sv-SE"/>
              </w:rPr>
              <w:t>RSO1.3</w:t>
            </w:r>
          </w:p>
        </w:tc>
        <w:tc>
          <w:tcPr>
            <w:tcW w:w="0" w:type="auto"/>
          </w:tcPr>
          <w:p w14:paraId="2D065CDC" w14:textId="77777777" w:rsidR="00A77B3E" w:rsidRPr="00800D1B" w:rsidRDefault="00623E14" w:rsidP="00E04517">
            <w:pPr>
              <w:spacing w:before="100" w:after="100"/>
              <w:ind w:left="-72"/>
              <w:rPr>
                <w:color w:val="000000"/>
                <w:sz w:val="20"/>
                <w:lang w:val="sv-SE"/>
              </w:rPr>
            </w:pPr>
            <w:r w:rsidRPr="00800D1B">
              <w:rPr>
                <w:color w:val="000000"/>
                <w:sz w:val="20"/>
                <w:lang w:val="sv-SE"/>
              </w:rPr>
              <w:t>Eruf</w:t>
            </w:r>
          </w:p>
        </w:tc>
        <w:tc>
          <w:tcPr>
            <w:tcW w:w="0" w:type="auto"/>
          </w:tcPr>
          <w:p w14:paraId="2D065CDD" w14:textId="77777777" w:rsidR="00A77B3E" w:rsidRPr="00800D1B" w:rsidRDefault="00623E14" w:rsidP="00A67879">
            <w:pPr>
              <w:spacing w:before="100" w:after="100"/>
              <w:ind w:left="-72" w:right="-135"/>
              <w:rPr>
                <w:color w:val="000000"/>
                <w:sz w:val="20"/>
                <w:lang w:val="sv-SE"/>
              </w:rPr>
            </w:pPr>
            <w:r w:rsidRPr="00800D1B">
              <w:rPr>
                <w:color w:val="000000"/>
                <w:sz w:val="20"/>
                <w:lang w:val="sv-SE"/>
              </w:rPr>
              <w:t>De yttersta randområdena eller de nordliga glesbefolkade områdena</w:t>
            </w:r>
          </w:p>
        </w:tc>
        <w:tc>
          <w:tcPr>
            <w:tcW w:w="0" w:type="auto"/>
          </w:tcPr>
          <w:p w14:paraId="2D065CDE" w14:textId="77777777" w:rsidR="00A77B3E" w:rsidRPr="00800D1B" w:rsidRDefault="00623E14" w:rsidP="00E04517">
            <w:pPr>
              <w:spacing w:before="100" w:after="100"/>
              <w:ind w:left="-72"/>
              <w:rPr>
                <w:color w:val="000000"/>
                <w:sz w:val="20"/>
                <w:lang w:val="sv-SE"/>
              </w:rPr>
            </w:pPr>
            <w:r w:rsidRPr="00800D1B">
              <w:rPr>
                <w:color w:val="000000"/>
                <w:sz w:val="20"/>
                <w:lang w:val="sv-SE"/>
              </w:rPr>
              <w:t>SWR05</w:t>
            </w:r>
          </w:p>
        </w:tc>
        <w:tc>
          <w:tcPr>
            <w:tcW w:w="0" w:type="auto"/>
          </w:tcPr>
          <w:p w14:paraId="2D065CDF" w14:textId="77777777" w:rsidR="00A77B3E" w:rsidRPr="00800D1B" w:rsidRDefault="00623E14" w:rsidP="00E04517">
            <w:pPr>
              <w:spacing w:before="100" w:after="100"/>
              <w:ind w:left="-72"/>
              <w:rPr>
                <w:color w:val="000000"/>
                <w:sz w:val="20"/>
                <w:lang w:val="sv-SE"/>
              </w:rPr>
            </w:pPr>
            <w:r w:rsidRPr="00800D1B">
              <w:rPr>
                <w:color w:val="000000"/>
                <w:sz w:val="20"/>
                <w:lang w:val="sv-SE"/>
              </w:rPr>
              <w:t>Användare av färdigställd miljö/infrastruktur</w:t>
            </w:r>
          </w:p>
        </w:tc>
        <w:tc>
          <w:tcPr>
            <w:tcW w:w="0" w:type="auto"/>
          </w:tcPr>
          <w:p w14:paraId="2D065CE0" w14:textId="77777777" w:rsidR="00A77B3E" w:rsidRPr="00800D1B" w:rsidRDefault="00623E14" w:rsidP="00E04517">
            <w:pPr>
              <w:spacing w:before="100" w:after="100"/>
              <w:ind w:left="-72"/>
              <w:rPr>
                <w:color w:val="000000"/>
                <w:sz w:val="20"/>
                <w:lang w:val="sv-SE"/>
              </w:rPr>
            </w:pPr>
            <w:r w:rsidRPr="00800D1B">
              <w:rPr>
                <w:color w:val="000000"/>
                <w:sz w:val="20"/>
                <w:lang w:val="sv-SE"/>
              </w:rPr>
              <w:t>Användare</w:t>
            </w:r>
          </w:p>
        </w:tc>
        <w:tc>
          <w:tcPr>
            <w:tcW w:w="0" w:type="auto"/>
          </w:tcPr>
          <w:p w14:paraId="2D065CE1" w14:textId="77777777" w:rsidR="00A77B3E" w:rsidRPr="00800D1B" w:rsidRDefault="00623E14" w:rsidP="00E04517">
            <w:pPr>
              <w:spacing w:before="100" w:after="100"/>
              <w:ind w:left="-72"/>
              <w:jc w:val="right"/>
              <w:rPr>
                <w:color w:val="000000"/>
                <w:sz w:val="20"/>
                <w:lang w:val="sv-SE"/>
              </w:rPr>
            </w:pPr>
            <w:r w:rsidRPr="00800D1B">
              <w:rPr>
                <w:color w:val="000000"/>
                <w:sz w:val="20"/>
                <w:lang w:val="sv-SE"/>
              </w:rPr>
              <w:t>0,00</w:t>
            </w:r>
          </w:p>
        </w:tc>
        <w:tc>
          <w:tcPr>
            <w:tcW w:w="0" w:type="auto"/>
          </w:tcPr>
          <w:p w14:paraId="2D065CE2" w14:textId="77777777" w:rsidR="00A77B3E" w:rsidRPr="00800D1B" w:rsidRDefault="00623E14" w:rsidP="00E04517">
            <w:pPr>
              <w:spacing w:before="100" w:after="100"/>
              <w:ind w:left="-72"/>
              <w:jc w:val="center"/>
              <w:rPr>
                <w:color w:val="000000"/>
                <w:sz w:val="20"/>
                <w:lang w:val="sv-SE"/>
              </w:rPr>
            </w:pPr>
            <w:r w:rsidRPr="00800D1B">
              <w:rPr>
                <w:color w:val="000000"/>
                <w:sz w:val="20"/>
                <w:lang w:val="sv-SE"/>
              </w:rPr>
              <w:t>2021</w:t>
            </w:r>
          </w:p>
        </w:tc>
        <w:tc>
          <w:tcPr>
            <w:tcW w:w="0" w:type="auto"/>
          </w:tcPr>
          <w:p w14:paraId="2D065CE3" w14:textId="77777777" w:rsidR="00A77B3E" w:rsidRPr="00800D1B" w:rsidRDefault="00623E14" w:rsidP="00E04517">
            <w:pPr>
              <w:spacing w:before="100" w:after="100"/>
              <w:ind w:left="-72"/>
              <w:jc w:val="right"/>
              <w:rPr>
                <w:color w:val="000000"/>
                <w:sz w:val="20"/>
                <w:lang w:val="sv-SE"/>
              </w:rPr>
            </w:pPr>
            <w:r w:rsidRPr="00800D1B">
              <w:rPr>
                <w:color w:val="000000"/>
                <w:sz w:val="20"/>
                <w:lang w:val="sv-SE"/>
              </w:rPr>
              <w:t>1,00</w:t>
            </w:r>
          </w:p>
        </w:tc>
        <w:tc>
          <w:tcPr>
            <w:tcW w:w="0" w:type="auto"/>
          </w:tcPr>
          <w:p w14:paraId="2D065CE4" w14:textId="77777777" w:rsidR="00A77B3E" w:rsidRPr="00800D1B" w:rsidRDefault="00623E14" w:rsidP="00E04517">
            <w:pPr>
              <w:spacing w:before="100" w:after="100"/>
              <w:ind w:left="-72"/>
              <w:rPr>
                <w:color w:val="000000"/>
                <w:sz w:val="20"/>
                <w:lang w:val="sv-SE"/>
              </w:rPr>
            </w:pPr>
            <w:r w:rsidRPr="00800D1B">
              <w:rPr>
                <w:color w:val="000000"/>
                <w:sz w:val="20"/>
                <w:lang w:val="sv-SE"/>
              </w:rPr>
              <w:t>Projekt</w:t>
            </w:r>
          </w:p>
        </w:tc>
        <w:tc>
          <w:tcPr>
            <w:tcW w:w="0" w:type="auto"/>
          </w:tcPr>
          <w:p w14:paraId="2D065CE5" w14:textId="77777777" w:rsidR="00A77B3E" w:rsidRPr="00800D1B" w:rsidRDefault="00A77B3E" w:rsidP="00E04517">
            <w:pPr>
              <w:spacing w:before="100" w:after="100"/>
              <w:ind w:left="-72"/>
              <w:rPr>
                <w:color w:val="000000"/>
                <w:sz w:val="20"/>
                <w:lang w:val="sv-SE"/>
              </w:rPr>
            </w:pPr>
          </w:p>
        </w:tc>
      </w:tr>
      <w:tr w:rsidR="003422DB" w:rsidRPr="00800D1B" w14:paraId="2D065CF3" w14:textId="77777777" w:rsidTr="00E04517">
        <w:tc>
          <w:tcPr>
            <w:tcW w:w="0" w:type="auto"/>
          </w:tcPr>
          <w:p w14:paraId="2D065CE7" w14:textId="77777777" w:rsidR="00A77B3E" w:rsidRPr="00800D1B" w:rsidRDefault="00623E14" w:rsidP="00E04517">
            <w:pPr>
              <w:spacing w:before="100" w:after="100"/>
              <w:ind w:left="-72"/>
              <w:rPr>
                <w:color w:val="000000"/>
                <w:sz w:val="20"/>
                <w:lang w:val="sv-SE"/>
              </w:rPr>
            </w:pPr>
            <w:r w:rsidRPr="00800D1B">
              <w:rPr>
                <w:color w:val="000000"/>
                <w:sz w:val="20"/>
                <w:lang w:val="sv-SE"/>
              </w:rPr>
              <w:t>3</w:t>
            </w:r>
          </w:p>
        </w:tc>
        <w:tc>
          <w:tcPr>
            <w:tcW w:w="0" w:type="auto"/>
          </w:tcPr>
          <w:p w14:paraId="2D065CE8" w14:textId="77777777" w:rsidR="00A77B3E" w:rsidRPr="00800D1B" w:rsidRDefault="00623E14" w:rsidP="00E04517">
            <w:pPr>
              <w:spacing w:before="100" w:after="100"/>
              <w:ind w:left="-72"/>
              <w:rPr>
                <w:color w:val="000000"/>
                <w:sz w:val="20"/>
                <w:lang w:val="sv-SE"/>
              </w:rPr>
            </w:pPr>
            <w:r w:rsidRPr="00800D1B">
              <w:rPr>
                <w:color w:val="000000"/>
                <w:sz w:val="20"/>
                <w:lang w:val="sv-SE"/>
              </w:rPr>
              <w:t>RSO1.3</w:t>
            </w:r>
          </w:p>
        </w:tc>
        <w:tc>
          <w:tcPr>
            <w:tcW w:w="0" w:type="auto"/>
          </w:tcPr>
          <w:p w14:paraId="2D065CE9" w14:textId="77777777" w:rsidR="00A77B3E" w:rsidRPr="00800D1B" w:rsidRDefault="00623E14" w:rsidP="00E04517">
            <w:pPr>
              <w:spacing w:before="100" w:after="100"/>
              <w:ind w:left="-72"/>
              <w:rPr>
                <w:color w:val="000000"/>
                <w:sz w:val="20"/>
                <w:lang w:val="sv-SE"/>
              </w:rPr>
            </w:pPr>
            <w:r w:rsidRPr="00800D1B">
              <w:rPr>
                <w:color w:val="000000"/>
                <w:sz w:val="20"/>
                <w:lang w:val="sv-SE"/>
              </w:rPr>
              <w:t>Eruf</w:t>
            </w:r>
          </w:p>
        </w:tc>
        <w:tc>
          <w:tcPr>
            <w:tcW w:w="0" w:type="auto"/>
          </w:tcPr>
          <w:p w14:paraId="2D065CEA" w14:textId="77777777" w:rsidR="00A77B3E" w:rsidRPr="00800D1B" w:rsidRDefault="00623E14" w:rsidP="00A67879">
            <w:pPr>
              <w:spacing w:before="100" w:after="100"/>
              <w:ind w:left="-72" w:right="-135"/>
              <w:rPr>
                <w:color w:val="000000"/>
                <w:sz w:val="20"/>
                <w:lang w:val="sv-SE"/>
              </w:rPr>
            </w:pPr>
            <w:r w:rsidRPr="00800D1B">
              <w:rPr>
                <w:color w:val="000000"/>
                <w:sz w:val="20"/>
                <w:lang w:val="sv-SE"/>
              </w:rPr>
              <w:t>De yttersta randområdena eller de nordliga glesbefolkade områdena</w:t>
            </w:r>
          </w:p>
        </w:tc>
        <w:tc>
          <w:tcPr>
            <w:tcW w:w="0" w:type="auto"/>
          </w:tcPr>
          <w:p w14:paraId="2D065CEB" w14:textId="77777777" w:rsidR="00A77B3E" w:rsidRPr="00800D1B" w:rsidRDefault="00623E14" w:rsidP="00E04517">
            <w:pPr>
              <w:spacing w:before="100" w:after="100"/>
              <w:ind w:left="-72"/>
              <w:rPr>
                <w:color w:val="000000"/>
                <w:sz w:val="20"/>
                <w:lang w:val="sv-SE"/>
              </w:rPr>
            </w:pPr>
            <w:r w:rsidRPr="00800D1B">
              <w:rPr>
                <w:color w:val="000000"/>
                <w:sz w:val="20"/>
                <w:lang w:val="sv-SE"/>
              </w:rPr>
              <w:t>SWR01</w:t>
            </w:r>
          </w:p>
        </w:tc>
        <w:tc>
          <w:tcPr>
            <w:tcW w:w="0" w:type="auto"/>
          </w:tcPr>
          <w:p w14:paraId="2D065CEC" w14:textId="578B47F3" w:rsidR="00A77B3E" w:rsidRPr="00800D1B" w:rsidRDefault="00623E14" w:rsidP="00E04517">
            <w:pPr>
              <w:spacing w:before="100" w:after="100"/>
              <w:ind w:left="-72"/>
              <w:rPr>
                <w:color w:val="000000"/>
                <w:sz w:val="20"/>
                <w:lang w:val="sv-SE"/>
              </w:rPr>
            </w:pPr>
            <w:r w:rsidRPr="00800D1B">
              <w:rPr>
                <w:color w:val="000000"/>
                <w:sz w:val="20"/>
                <w:lang w:val="sv-SE"/>
              </w:rPr>
              <w:t>Antal företag som utvecklar produkter, processer och affärsmodeller</w:t>
            </w:r>
            <w:r w:rsidR="00CF74CB" w:rsidRPr="00800D1B">
              <w:rPr>
                <w:color w:val="000000"/>
                <w:sz w:val="20"/>
                <w:lang w:val="sv-SE"/>
              </w:rPr>
              <w:t xml:space="preserve"> </w:t>
            </w:r>
          </w:p>
        </w:tc>
        <w:tc>
          <w:tcPr>
            <w:tcW w:w="0" w:type="auto"/>
          </w:tcPr>
          <w:p w14:paraId="2D065CED" w14:textId="77777777" w:rsidR="00A77B3E" w:rsidRPr="00800D1B" w:rsidRDefault="00623E14" w:rsidP="00E04517">
            <w:pPr>
              <w:spacing w:before="100" w:after="100"/>
              <w:ind w:left="-72"/>
              <w:rPr>
                <w:color w:val="000000"/>
                <w:sz w:val="20"/>
                <w:lang w:val="sv-SE"/>
              </w:rPr>
            </w:pPr>
            <w:r w:rsidRPr="00800D1B">
              <w:rPr>
                <w:color w:val="000000"/>
                <w:sz w:val="20"/>
                <w:lang w:val="sv-SE"/>
              </w:rPr>
              <w:t>Företag</w:t>
            </w:r>
          </w:p>
        </w:tc>
        <w:tc>
          <w:tcPr>
            <w:tcW w:w="0" w:type="auto"/>
          </w:tcPr>
          <w:p w14:paraId="2D065CEE" w14:textId="77777777" w:rsidR="00A77B3E" w:rsidRPr="00800D1B" w:rsidRDefault="00623E14" w:rsidP="00E04517">
            <w:pPr>
              <w:spacing w:before="100" w:after="100"/>
              <w:ind w:left="-72"/>
              <w:jc w:val="right"/>
              <w:rPr>
                <w:color w:val="000000"/>
                <w:sz w:val="20"/>
                <w:lang w:val="sv-SE"/>
              </w:rPr>
            </w:pPr>
            <w:r w:rsidRPr="00800D1B">
              <w:rPr>
                <w:color w:val="000000"/>
                <w:sz w:val="20"/>
                <w:lang w:val="sv-SE"/>
              </w:rPr>
              <w:t>0,00</w:t>
            </w:r>
          </w:p>
        </w:tc>
        <w:tc>
          <w:tcPr>
            <w:tcW w:w="0" w:type="auto"/>
          </w:tcPr>
          <w:p w14:paraId="2D065CEF" w14:textId="77777777" w:rsidR="00A77B3E" w:rsidRPr="00800D1B" w:rsidRDefault="00623E14" w:rsidP="00E04517">
            <w:pPr>
              <w:spacing w:before="100" w:after="100"/>
              <w:ind w:left="-72"/>
              <w:jc w:val="center"/>
              <w:rPr>
                <w:color w:val="000000"/>
                <w:sz w:val="20"/>
                <w:lang w:val="sv-SE"/>
              </w:rPr>
            </w:pPr>
            <w:r w:rsidRPr="00800D1B">
              <w:rPr>
                <w:color w:val="000000"/>
                <w:sz w:val="20"/>
                <w:lang w:val="sv-SE"/>
              </w:rPr>
              <w:t>2021</w:t>
            </w:r>
          </w:p>
        </w:tc>
        <w:tc>
          <w:tcPr>
            <w:tcW w:w="0" w:type="auto"/>
          </w:tcPr>
          <w:p w14:paraId="2D065CF0" w14:textId="77777777" w:rsidR="00A77B3E" w:rsidRPr="00800D1B" w:rsidRDefault="00623E14" w:rsidP="00E04517">
            <w:pPr>
              <w:spacing w:before="100" w:after="100"/>
              <w:ind w:left="-72"/>
              <w:jc w:val="right"/>
              <w:rPr>
                <w:color w:val="000000"/>
                <w:sz w:val="20"/>
                <w:lang w:val="sv-SE"/>
              </w:rPr>
            </w:pPr>
            <w:r w:rsidRPr="00800D1B">
              <w:rPr>
                <w:color w:val="000000"/>
                <w:sz w:val="20"/>
                <w:lang w:val="sv-SE"/>
              </w:rPr>
              <w:t>293,00</w:t>
            </w:r>
          </w:p>
        </w:tc>
        <w:tc>
          <w:tcPr>
            <w:tcW w:w="0" w:type="auto"/>
          </w:tcPr>
          <w:p w14:paraId="2D065CF1" w14:textId="77777777" w:rsidR="00A77B3E" w:rsidRPr="00800D1B" w:rsidRDefault="00623E14" w:rsidP="00E04517">
            <w:pPr>
              <w:spacing w:before="100" w:after="100"/>
              <w:ind w:left="-72"/>
              <w:rPr>
                <w:color w:val="000000"/>
                <w:sz w:val="20"/>
                <w:lang w:val="sv-SE"/>
              </w:rPr>
            </w:pPr>
            <w:r w:rsidRPr="00800D1B">
              <w:rPr>
                <w:color w:val="000000"/>
                <w:sz w:val="20"/>
                <w:lang w:val="sv-SE"/>
              </w:rPr>
              <w:t>Projekt</w:t>
            </w:r>
          </w:p>
        </w:tc>
        <w:tc>
          <w:tcPr>
            <w:tcW w:w="0" w:type="auto"/>
          </w:tcPr>
          <w:p w14:paraId="2D065CF2" w14:textId="77777777" w:rsidR="00A77B3E" w:rsidRPr="00800D1B" w:rsidRDefault="00A77B3E" w:rsidP="00E04517">
            <w:pPr>
              <w:spacing w:before="100" w:after="100"/>
              <w:ind w:left="-72"/>
              <w:rPr>
                <w:color w:val="000000"/>
                <w:sz w:val="20"/>
                <w:lang w:val="sv-SE"/>
              </w:rPr>
            </w:pPr>
          </w:p>
        </w:tc>
      </w:tr>
      <w:tr w:rsidR="003422DB" w:rsidRPr="00800D1B" w14:paraId="2D065D00" w14:textId="77777777" w:rsidTr="00E04517">
        <w:tc>
          <w:tcPr>
            <w:tcW w:w="0" w:type="auto"/>
          </w:tcPr>
          <w:p w14:paraId="2D065CF4" w14:textId="77777777" w:rsidR="00A77B3E" w:rsidRPr="00800D1B" w:rsidRDefault="00623E14" w:rsidP="00E04517">
            <w:pPr>
              <w:spacing w:before="100" w:after="100"/>
              <w:ind w:left="-72"/>
              <w:rPr>
                <w:color w:val="000000"/>
                <w:sz w:val="20"/>
                <w:lang w:val="sv-SE"/>
              </w:rPr>
            </w:pPr>
            <w:r w:rsidRPr="00800D1B">
              <w:rPr>
                <w:color w:val="000000"/>
                <w:sz w:val="20"/>
                <w:lang w:val="sv-SE"/>
              </w:rPr>
              <w:t>3</w:t>
            </w:r>
          </w:p>
        </w:tc>
        <w:tc>
          <w:tcPr>
            <w:tcW w:w="0" w:type="auto"/>
          </w:tcPr>
          <w:p w14:paraId="2D065CF5" w14:textId="77777777" w:rsidR="00A77B3E" w:rsidRPr="00800D1B" w:rsidRDefault="00623E14" w:rsidP="00E04517">
            <w:pPr>
              <w:spacing w:before="100" w:after="100"/>
              <w:ind w:left="-72"/>
              <w:rPr>
                <w:color w:val="000000"/>
                <w:sz w:val="20"/>
                <w:lang w:val="sv-SE"/>
              </w:rPr>
            </w:pPr>
            <w:r w:rsidRPr="00800D1B">
              <w:rPr>
                <w:color w:val="000000"/>
                <w:sz w:val="20"/>
                <w:lang w:val="sv-SE"/>
              </w:rPr>
              <w:t>RSO1.3</w:t>
            </w:r>
          </w:p>
        </w:tc>
        <w:tc>
          <w:tcPr>
            <w:tcW w:w="0" w:type="auto"/>
          </w:tcPr>
          <w:p w14:paraId="2D065CF6" w14:textId="77777777" w:rsidR="00A77B3E" w:rsidRPr="00800D1B" w:rsidRDefault="00623E14" w:rsidP="00E04517">
            <w:pPr>
              <w:spacing w:before="100" w:after="100"/>
              <w:ind w:left="-72"/>
              <w:rPr>
                <w:color w:val="000000"/>
                <w:sz w:val="20"/>
                <w:lang w:val="sv-SE"/>
              </w:rPr>
            </w:pPr>
            <w:r w:rsidRPr="00800D1B">
              <w:rPr>
                <w:color w:val="000000"/>
                <w:sz w:val="20"/>
                <w:lang w:val="sv-SE"/>
              </w:rPr>
              <w:t>Eruf</w:t>
            </w:r>
          </w:p>
        </w:tc>
        <w:tc>
          <w:tcPr>
            <w:tcW w:w="0" w:type="auto"/>
          </w:tcPr>
          <w:p w14:paraId="2D065CF7" w14:textId="77777777" w:rsidR="00A77B3E" w:rsidRPr="00800D1B" w:rsidRDefault="00623E14" w:rsidP="00A67879">
            <w:pPr>
              <w:spacing w:before="100" w:after="100"/>
              <w:ind w:left="-72" w:right="-135"/>
              <w:rPr>
                <w:color w:val="000000"/>
                <w:sz w:val="20"/>
                <w:lang w:val="sv-SE"/>
              </w:rPr>
            </w:pPr>
            <w:r w:rsidRPr="00800D1B">
              <w:rPr>
                <w:color w:val="000000"/>
                <w:sz w:val="20"/>
                <w:lang w:val="sv-SE"/>
              </w:rPr>
              <w:t>De yttersta randområdena eller de nordliga glesbefolkade områdena</w:t>
            </w:r>
          </w:p>
        </w:tc>
        <w:tc>
          <w:tcPr>
            <w:tcW w:w="0" w:type="auto"/>
          </w:tcPr>
          <w:p w14:paraId="2D065CF8" w14:textId="77777777" w:rsidR="00A77B3E" w:rsidRPr="00800D1B" w:rsidRDefault="00623E14" w:rsidP="00E04517">
            <w:pPr>
              <w:spacing w:before="100" w:after="100"/>
              <w:ind w:left="-72"/>
              <w:rPr>
                <w:color w:val="000000"/>
                <w:sz w:val="20"/>
                <w:lang w:val="sv-SE"/>
              </w:rPr>
            </w:pPr>
            <w:r w:rsidRPr="00800D1B">
              <w:rPr>
                <w:color w:val="000000"/>
                <w:sz w:val="20"/>
                <w:lang w:val="sv-SE"/>
              </w:rPr>
              <w:t>SWR02</w:t>
            </w:r>
          </w:p>
        </w:tc>
        <w:tc>
          <w:tcPr>
            <w:tcW w:w="0" w:type="auto"/>
          </w:tcPr>
          <w:p w14:paraId="2D065CF9" w14:textId="77777777" w:rsidR="00A77B3E" w:rsidRPr="00800D1B" w:rsidRDefault="00623E14" w:rsidP="00E04517">
            <w:pPr>
              <w:spacing w:before="100" w:after="100"/>
              <w:ind w:left="-72"/>
              <w:rPr>
                <w:color w:val="000000"/>
                <w:sz w:val="20"/>
                <w:lang w:val="sv-SE"/>
              </w:rPr>
            </w:pPr>
            <w:r w:rsidRPr="00800D1B">
              <w:rPr>
                <w:color w:val="000000"/>
                <w:sz w:val="20"/>
                <w:lang w:val="sv-SE"/>
              </w:rPr>
              <w:t xml:space="preserve">Antal organisationer som utvecklar produkter, processer och tjänster </w:t>
            </w:r>
          </w:p>
        </w:tc>
        <w:tc>
          <w:tcPr>
            <w:tcW w:w="0" w:type="auto"/>
          </w:tcPr>
          <w:p w14:paraId="2D065CFA" w14:textId="77777777" w:rsidR="00A77B3E" w:rsidRPr="00800D1B" w:rsidRDefault="00623E14" w:rsidP="00E04517">
            <w:pPr>
              <w:spacing w:before="100" w:after="100"/>
              <w:ind w:left="-72"/>
              <w:rPr>
                <w:color w:val="000000"/>
                <w:sz w:val="20"/>
                <w:lang w:val="sv-SE"/>
              </w:rPr>
            </w:pPr>
            <w:r w:rsidRPr="00800D1B">
              <w:rPr>
                <w:color w:val="000000"/>
                <w:sz w:val="20"/>
                <w:lang w:val="sv-SE"/>
              </w:rPr>
              <w:t>Organisationer</w:t>
            </w:r>
          </w:p>
        </w:tc>
        <w:tc>
          <w:tcPr>
            <w:tcW w:w="0" w:type="auto"/>
          </w:tcPr>
          <w:p w14:paraId="2D065CFB" w14:textId="77777777" w:rsidR="00A77B3E" w:rsidRPr="00800D1B" w:rsidRDefault="00623E14" w:rsidP="00E04517">
            <w:pPr>
              <w:spacing w:before="100" w:after="100"/>
              <w:ind w:left="-72"/>
              <w:jc w:val="right"/>
              <w:rPr>
                <w:color w:val="000000"/>
                <w:sz w:val="20"/>
                <w:lang w:val="sv-SE"/>
              </w:rPr>
            </w:pPr>
            <w:r w:rsidRPr="00800D1B">
              <w:rPr>
                <w:color w:val="000000"/>
                <w:sz w:val="20"/>
                <w:lang w:val="sv-SE"/>
              </w:rPr>
              <w:t>0,00</w:t>
            </w:r>
          </w:p>
        </w:tc>
        <w:tc>
          <w:tcPr>
            <w:tcW w:w="0" w:type="auto"/>
          </w:tcPr>
          <w:p w14:paraId="2D065CFC" w14:textId="77777777" w:rsidR="00A77B3E" w:rsidRPr="00800D1B" w:rsidRDefault="00623E14" w:rsidP="00E04517">
            <w:pPr>
              <w:spacing w:before="100" w:after="100"/>
              <w:ind w:left="-72"/>
              <w:jc w:val="center"/>
              <w:rPr>
                <w:color w:val="000000"/>
                <w:sz w:val="20"/>
                <w:lang w:val="sv-SE"/>
              </w:rPr>
            </w:pPr>
            <w:r w:rsidRPr="00800D1B">
              <w:rPr>
                <w:color w:val="000000"/>
                <w:sz w:val="20"/>
                <w:lang w:val="sv-SE"/>
              </w:rPr>
              <w:t>2021</w:t>
            </w:r>
          </w:p>
        </w:tc>
        <w:tc>
          <w:tcPr>
            <w:tcW w:w="0" w:type="auto"/>
          </w:tcPr>
          <w:p w14:paraId="2D065CFD" w14:textId="77777777" w:rsidR="00A77B3E" w:rsidRPr="00800D1B" w:rsidRDefault="00623E14" w:rsidP="00E04517">
            <w:pPr>
              <w:spacing w:before="100" w:after="100"/>
              <w:ind w:left="-72"/>
              <w:jc w:val="right"/>
              <w:rPr>
                <w:color w:val="000000"/>
                <w:sz w:val="20"/>
                <w:lang w:val="sv-SE"/>
              </w:rPr>
            </w:pPr>
            <w:r w:rsidRPr="00800D1B">
              <w:rPr>
                <w:color w:val="000000"/>
                <w:sz w:val="20"/>
                <w:lang w:val="sv-SE"/>
              </w:rPr>
              <w:t>2,00</w:t>
            </w:r>
          </w:p>
        </w:tc>
        <w:tc>
          <w:tcPr>
            <w:tcW w:w="0" w:type="auto"/>
          </w:tcPr>
          <w:p w14:paraId="2D065CFE" w14:textId="77777777" w:rsidR="00A77B3E" w:rsidRPr="00800D1B" w:rsidRDefault="00623E14" w:rsidP="00E04517">
            <w:pPr>
              <w:spacing w:before="100" w:after="100"/>
              <w:ind w:left="-72"/>
              <w:rPr>
                <w:color w:val="000000"/>
                <w:sz w:val="20"/>
                <w:lang w:val="sv-SE"/>
              </w:rPr>
            </w:pPr>
            <w:r w:rsidRPr="00800D1B">
              <w:rPr>
                <w:color w:val="000000"/>
                <w:sz w:val="20"/>
                <w:lang w:val="sv-SE"/>
              </w:rPr>
              <w:t>Projekt</w:t>
            </w:r>
          </w:p>
        </w:tc>
        <w:tc>
          <w:tcPr>
            <w:tcW w:w="0" w:type="auto"/>
          </w:tcPr>
          <w:p w14:paraId="2D065CFF" w14:textId="77777777" w:rsidR="00A77B3E" w:rsidRPr="00800D1B" w:rsidRDefault="00A77B3E" w:rsidP="00E04517">
            <w:pPr>
              <w:spacing w:before="100" w:after="100"/>
              <w:ind w:left="-72"/>
              <w:rPr>
                <w:color w:val="000000"/>
                <w:sz w:val="20"/>
                <w:lang w:val="sv-SE"/>
              </w:rPr>
            </w:pPr>
          </w:p>
        </w:tc>
      </w:tr>
    </w:tbl>
    <w:p w14:paraId="2D065D02" w14:textId="01DB66D8" w:rsidR="00A77B3E" w:rsidRPr="00800D1B" w:rsidRDefault="00623E14" w:rsidP="00B124F8">
      <w:pPr>
        <w:pStyle w:val="Rubrik6"/>
        <w:numPr>
          <w:ilvl w:val="4"/>
          <w:numId w:val="17"/>
        </w:numPr>
        <w:ind w:left="360"/>
      </w:pPr>
      <w:bookmarkStart w:id="69" w:name="_Toc256000310"/>
      <w:r w:rsidRPr="00800D1B">
        <w:t>Preliminär fördelning av anslagna (EU-)medel efter interventionstyp</w:t>
      </w:r>
      <w:bookmarkEnd w:id="69"/>
    </w:p>
    <w:p w14:paraId="2D065D04" w14:textId="77777777" w:rsidR="00A77B3E" w:rsidRPr="00800D1B" w:rsidRDefault="00623E14" w:rsidP="00A67879">
      <w:pPr>
        <w:spacing w:before="160"/>
        <w:rPr>
          <w:color w:val="000000"/>
          <w:sz w:val="0"/>
          <w:lang w:val="sv-SE"/>
        </w:rPr>
      </w:pPr>
      <w:r w:rsidRPr="00800D1B">
        <w:rPr>
          <w:color w:val="000000"/>
          <w:lang w:val="sv-SE"/>
        </w:rPr>
        <w:t>Referens: artikel 22.3 d viii i förordningen om gemensamma bestämmelser</w:t>
      </w:r>
    </w:p>
    <w:p w14:paraId="2D065D05" w14:textId="3B7844D0" w:rsidR="00A77B3E" w:rsidRPr="00800D1B" w:rsidRDefault="00623E14" w:rsidP="00431BFA">
      <w:pPr>
        <w:spacing w:before="260" w:after="100"/>
        <w:rPr>
          <w:lang w:val="sv-SE"/>
        </w:rPr>
      </w:pPr>
      <w:bookmarkStart w:id="70" w:name="_Toc256000311"/>
      <w:r w:rsidRPr="00800D1B">
        <w:rPr>
          <w:lang w:val="sv-SE"/>
        </w:rPr>
        <w:t>Tabell 4: Dimension 1 – interventionsområde</w:t>
      </w:r>
      <w:bookmarkEnd w:id="70"/>
    </w:p>
    <w:tbl>
      <w:tblPr>
        <w:tblStyle w:val="Tabellrutnt"/>
        <w:tblW w:w="5000" w:type="pct"/>
        <w:tblLook w:val="04A0" w:firstRow="1" w:lastRow="0" w:firstColumn="1" w:lastColumn="0" w:noHBand="0" w:noVBand="1"/>
        <w:tblDescription w:val="En tabell med sex kolumner: Prioritering; Specifikt mål; Fond; Regionkategori; Kod; Belopp (euro). Tabellen visar information om interventionsområde."/>
      </w:tblPr>
      <w:tblGrid>
        <w:gridCol w:w="1116"/>
        <w:gridCol w:w="1085"/>
        <w:gridCol w:w="670"/>
        <w:gridCol w:w="3459"/>
        <w:gridCol w:w="7500"/>
        <w:gridCol w:w="1342"/>
      </w:tblGrid>
      <w:tr w:rsidR="003422DB" w:rsidRPr="00800D1B" w14:paraId="2D065D0D" w14:textId="77777777" w:rsidTr="00E04517">
        <w:tc>
          <w:tcPr>
            <w:tcW w:w="0" w:type="auto"/>
          </w:tcPr>
          <w:p w14:paraId="2D065D07" w14:textId="77777777" w:rsidR="00A77B3E" w:rsidRPr="00800D1B" w:rsidRDefault="00623E14" w:rsidP="00E04517">
            <w:pPr>
              <w:spacing w:before="100" w:after="100"/>
              <w:ind w:left="-72"/>
              <w:jc w:val="center"/>
              <w:rPr>
                <w:color w:val="000000"/>
                <w:sz w:val="20"/>
                <w:lang w:val="sv-SE"/>
              </w:rPr>
            </w:pPr>
            <w:r w:rsidRPr="00800D1B">
              <w:rPr>
                <w:color w:val="000000"/>
                <w:sz w:val="20"/>
                <w:lang w:val="sv-SE"/>
              </w:rPr>
              <w:t>Prioritering</w:t>
            </w:r>
          </w:p>
        </w:tc>
        <w:tc>
          <w:tcPr>
            <w:tcW w:w="0" w:type="auto"/>
          </w:tcPr>
          <w:p w14:paraId="2D065D08" w14:textId="77777777" w:rsidR="00A77B3E" w:rsidRPr="00800D1B" w:rsidRDefault="00623E14" w:rsidP="00E04517">
            <w:pPr>
              <w:spacing w:before="100" w:after="100"/>
              <w:ind w:left="-72"/>
              <w:jc w:val="center"/>
              <w:rPr>
                <w:color w:val="000000"/>
                <w:sz w:val="20"/>
                <w:lang w:val="sv-SE"/>
              </w:rPr>
            </w:pPr>
            <w:r w:rsidRPr="00800D1B">
              <w:rPr>
                <w:color w:val="000000"/>
                <w:sz w:val="20"/>
                <w:lang w:val="sv-SE"/>
              </w:rPr>
              <w:t>Specifikt mål</w:t>
            </w:r>
          </w:p>
        </w:tc>
        <w:tc>
          <w:tcPr>
            <w:tcW w:w="0" w:type="auto"/>
          </w:tcPr>
          <w:p w14:paraId="2D065D09" w14:textId="77777777" w:rsidR="00A77B3E" w:rsidRPr="00800D1B" w:rsidRDefault="00623E14" w:rsidP="00E04517">
            <w:pPr>
              <w:spacing w:before="100" w:after="100"/>
              <w:ind w:left="-72"/>
              <w:jc w:val="center"/>
              <w:rPr>
                <w:color w:val="000000"/>
                <w:sz w:val="20"/>
                <w:lang w:val="sv-SE"/>
              </w:rPr>
            </w:pPr>
            <w:r w:rsidRPr="00800D1B">
              <w:rPr>
                <w:color w:val="000000"/>
                <w:sz w:val="20"/>
                <w:lang w:val="sv-SE"/>
              </w:rPr>
              <w:t>Fond</w:t>
            </w:r>
          </w:p>
        </w:tc>
        <w:tc>
          <w:tcPr>
            <w:tcW w:w="0" w:type="auto"/>
          </w:tcPr>
          <w:p w14:paraId="2D065D0A" w14:textId="77777777" w:rsidR="00A77B3E" w:rsidRPr="00800D1B" w:rsidRDefault="00623E14" w:rsidP="00E04517">
            <w:pPr>
              <w:spacing w:before="100" w:after="100"/>
              <w:ind w:left="-72"/>
              <w:jc w:val="center"/>
              <w:rPr>
                <w:color w:val="000000"/>
                <w:sz w:val="20"/>
                <w:lang w:val="sv-SE"/>
              </w:rPr>
            </w:pPr>
            <w:r w:rsidRPr="00800D1B">
              <w:rPr>
                <w:color w:val="000000"/>
                <w:sz w:val="20"/>
                <w:lang w:val="sv-SE"/>
              </w:rPr>
              <w:t>Regionkategori</w:t>
            </w:r>
          </w:p>
        </w:tc>
        <w:tc>
          <w:tcPr>
            <w:tcW w:w="0" w:type="auto"/>
          </w:tcPr>
          <w:p w14:paraId="2D065D0B" w14:textId="77777777" w:rsidR="00A77B3E" w:rsidRPr="00800D1B" w:rsidRDefault="00623E14" w:rsidP="00E04517">
            <w:pPr>
              <w:spacing w:before="100" w:after="100"/>
              <w:ind w:left="-72"/>
              <w:jc w:val="center"/>
              <w:rPr>
                <w:color w:val="000000"/>
                <w:sz w:val="20"/>
                <w:lang w:val="sv-SE"/>
              </w:rPr>
            </w:pPr>
            <w:r w:rsidRPr="00800D1B">
              <w:rPr>
                <w:color w:val="000000"/>
                <w:sz w:val="20"/>
                <w:lang w:val="sv-SE"/>
              </w:rPr>
              <w:t>Kod</w:t>
            </w:r>
          </w:p>
        </w:tc>
        <w:tc>
          <w:tcPr>
            <w:tcW w:w="0" w:type="auto"/>
          </w:tcPr>
          <w:p w14:paraId="2D065D0C" w14:textId="77777777" w:rsidR="00A77B3E" w:rsidRPr="00800D1B" w:rsidRDefault="00623E14" w:rsidP="00E04517">
            <w:pPr>
              <w:spacing w:before="100" w:after="100"/>
              <w:ind w:left="-72"/>
              <w:jc w:val="center"/>
              <w:rPr>
                <w:color w:val="000000"/>
                <w:sz w:val="20"/>
                <w:lang w:val="sv-SE"/>
              </w:rPr>
            </w:pPr>
            <w:r w:rsidRPr="00800D1B">
              <w:rPr>
                <w:color w:val="000000"/>
                <w:sz w:val="20"/>
                <w:lang w:val="sv-SE"/>
              </w:rPr>
              <w:t>Belopp (euro)</w:t>
            </w:r>
          </w:p>
        </w:tc>
      </w:tr>
      <w:tr w:rsidR="003422DB" w:rsidRPr="00800D1B" w14:paraId="2D065D14" w14:textId="77777777" w:rsidTr="00E04517">
        <w:tc>
          <w:tcPr>
            <w:tcW w:w="0" w:type="auto"/>
          </w:tcPr>
          <w:p w14:paraId="2D065D0E" w14:textId="77777777" w:rsidR="00A77B3E" w:rsidRPr="00800D1B" w:rsidRDefault="00623E14" w:rsidP="00E04517">
            <w:pPr>
              <w:spacing w:before="100" w:after="100"/>
              <w:ind w:left="-72"/>
              <w:rPr>
                <w:color w:val="000000"/>
                <w:sz w:val="20"/>
                <w:lang w:val="sv-SE"/>
              </w:rPr>
            </w:pPr>
            <w:r w:rsidRPr="00800D1B">
              <w:rPr>
                <w:color w:val="000000"/>
                <w:sz w:val="20"/>
                <w:lang w:val="sv-SE"/>
              </w:rPr>
              <w:t>3</w:t>
            </w:r>
          </w:p>
        </w:tc>
        <w:tc>
          <w:tcPr>
            <w:tcW w:w="0" w:type="auto"/>
          </w:tcPr>
          <w:p w14:paraId="2D065D0F" w14:textId="77777777" w:rsidR="00A77B3E" w:rsidRPr="00800D1B" w:rsidRDefault="00623E14" w:rsidP="00E04517">
            <w:pPr>
              <w:spacing w:before="100" w:after="100"/>
              <w:ind w:left="-72"/>
              <w:rPr>
                <w:color w:val="000000"/>
                <w:sz w:val="20"/>
                <w:lang w:val="sv-SE"/>
              </w:rPr>
            </w:pPr>
            <w:r w:rsidRPr="00800D1B">
              <w:rPr>
                <w:color w:val="000000"/>
                <w:sz w:val="20"/>
                <w:lang w:val="sv-SE"/>
              </w:rPr>
              <w:t>RSO1.3</w:t>
            </w:r>
          </w:p>
        </w:tc>
        <w:tc>
          <w:tcPr>
            <w:tcW w:w="0" w:type="auto"/>
          </w:tcPr>
          <w:p w14:paraId="2D065D10" w14:textId="77777777" w:rsidR="00A77B3E" w:rsidRPr="00800D1B" w:rsidRDefault="00623E14" w:rsidP="00E04517">
            <w:pPr>
              <w:spacing w:before="100" w:after="100"/>
              <w:ind w:left="-72"/>
              <w:rPr>
                <w:color w:val="000000"/>
                <w:sz w:val="20"/>
                <w:lang w:val="sv-SE"/>
              </w:rPr>
            </w:pPr>
            <w:r w:rsidRPr="00800D1B">
              <w:rPr>
                <w:color w:val="000000"/>
                <w:sz w:val="20"/>
                <w:lang w:val="sv-SE"/>
              </w:rPr>
              <w:t>Eruf</w:t>
            </w:r>
          </w:p>
        </w:tc>
        <w:tc>
          <w:tcPr>
            <w:tcW w:w="0" w:type="auto"/>
          </w:tcPr>
          <w:p w14:paraId="2D065D11" w14:textId="77777777" w:rsidR="00A77B3E" w:rsidRPr="00800D1B" w:rsidRDefault="00623E14" w:rsidP="00E04517">
            <w:pPr>
              <w:spacing w:before="100" w:after="100"/>
              <w:ind w:left="-72"/>
              <w:rPr>
                <w:color w:val="000000"/>
                <w:sz w:val="20"/>
                <w:lang w:val="sv-SE"/>
              </w:rPr>
            </w:pPr>
            <w:r w:rsidRPr="00800D1B">
              <w:rPr>
                <w:color w:val="000000"/>
                <w:sz w:val="20"/>
                <w:lang w:val="sv-SE"/>
              </w:rPr>
              <w:t>Mer utvecklade regioner</w:t>
            </w:r>
          </w:p>
        </w:tc>
        <w:tc>
          <w:tcPr>
            <w:tcW w:w="0" w:type="auto"/>
          </w:tcPr>
          <w:p w14:paraId="2D065D12" w14:textId="77777777" w:rsidR="00A77B3E" w:rsidRPr="00800D1B" w:rsidRDefault="00623E14" w:rsidP="00E04517">
            <w:pPr>
              <w:spacing w:before="100" w:after="100"/>
              <w:ind w:left="-72"/>
              <w:rPr>
                <w:color w:val="000000"/>
                <w:sz w:val="20"/>
                <w:lang w:val="sv-SE"/>
              </w:rPr>
            </w:pPr>
            <w:r w:rsidRPr="00800D1B">
              <w:rPr>
                <w:color w:val="000000"/>
                <w:sz w:val="20"/>
                <w:lang w:val="sv-SE"/>
              </w:rPr>
              <w:t>020. Näringslivsinfrastruktur för små och medelstora företag (inbegripet industriparker och industriområden)</w:t>
            </w:r>
          </w:p>
        </w:tc>
        <w:tc>
          <w:tcPr>
            <w:tcW w:w="0" w:type="auto"/>
          </w:tcPr>
          <w:p w14:paraId="2D065D13" w14:textId="77777777" w:rsidR="00A77B3E" w:rsidRPr="00800D1B" w:rsidRDefault="00623E14" w:rsidP="00E04517">
            <w:pPr>
              <w:spacing w:before="100" w:after="100"/>
              <w:ind w:left="-72"/>
              <w:jc w:val="right"/>
              <w:rPr>
                <w:color w:val="000000"/>
                <w:sz w:val="20"/>
                <w:lang w:val="sv-SE"/>
              </w:rPr>
            </w:pPr>
            <w:r w:rsidRPr="00800D1B">
              <w:rPr>
                <w:color w:val="000000"/>
                <w:sz w:val="20"/>
                <w:lang w:val="sv-SE"/>
              </w:rPr>
              <w:t>1 935 137,00</w:t>
            </w:r>
          </w:p>
        </w:tc>
      </w:tr>
      <w:tr w:rsidR="003422DB" w:rsidRPr="00800D1B" w14:paraId="2D065D1B" w14:textId="77777777" w:rsidTr="00E04517">
        <w:tc>
          <w:tcPr>
            <w:tcW w:w="0" w:type="auto"/>
          </w:tcPr>
          <w:p w14:paraId="2D065D15" w14:textId="77777777" w:rsidR="00A77B3E" w:rsidRPr="00800D1B" w:rsidRDefault="00623E14" w:rsidP="00E04517">
            <w:pPr>
              <w:spacing w:before="100" w:after="100"/>
              <w:ind w:left="-72"/>
              <w:rPr>
                <w:color w:val="000000"/>
                <w:sz w:val="20"/>
                <w:lang w:val="sv-SE"/>
              </w:rPr>
            </w:pPr>
            <w:r w:rsidRPr="00800D1B">
              <w:rPr>
                <w:color w:val="000000"/>
                <w:sz w:val="20"/>
                <w:lang w:val="sv-SE"/>
              </w:rPr>
              <w:t>3</w:t>
            </w:r>
          </w:p>
        </w:tc>
        <w:tc>
          <w:tcPr>
            <w:tcW w:w="0" w:type="auto"/>
          </w:tcPr>
          <w:p w14:paraId="2D065D16" w14:textId="77777777" w:rsidR="00A77B3E" w:rsidRPr="00800D1B" w:rsidRDefault="00623E14" w:rsidP="00E04517">
            <w:pPr>
              <w:spacing w:before="100" w:after="100"/>
              <w:ind w:left="-72"/>
              <w:rPr>
                <w:color w:val="000000"/>
                <w:sz w:val="20"/>
                <w:lang w:val="sv-SE"/>
              </w:rPr>
            </w:pPr>
            <w:r w:rsidRPr="00800D1B">
              <w:rPr>
                <w:color w:val="000000"/>
                <w:sz w:val="20"/>
                <w:lang w:val="sv-SE"/>
              </w:rPr>
              <w:t>RSO1.3</w:t>
            </w:r>
          </w:p>
        </w:tc>
        <w:tc>
          <w:tcPr>
            <w:tcW w:w="0" w:type="auto"/>
          </w:tcPr>
          <w:p w14:paraId="2D065D17" w14:textId="77777777" w:rsidR="00A77B3E" w:rsidRPr="00800D1B" w:rsidRDefault="00623E14" w:rsidP="00E04517">
            <w:pPr>
              <w:spacing w:before="100" w:after="100"/>
              <w:ind w:left="-72"/>
              <w:rPr>
                <w:color w:val="000000"/>
                <w:sz w:val="20"/>
                <w:lang w:val="sv-SE"/>
              </w:rPr>
            </w:pPr>
            <w:r w:rsidRPr="00800D1B">
              <w:rPr>
                <w:color w:val="000000"/>
                <w:sz w:val="20"/>
                <w:lang w:val="sv-SE"/>
              </w:rPr>
              <w:t>Eruf</w:t>
            </w:r>
          </w:p>
        </w:tc>
        <w:tc>
          <w:tcPr>
            <w:tcW w:w="0" w:type="auto"/>
          </w:tcPr>
          <w:p w14:paraId="2D065D18" w14:textId="77777777" w:rsidR="00A77B3E" w:rsidRPr="00800D1B" w:rsidRDefault="00623E14" w:rsidP="00E04517">
            <w:pPr>
              <w:spacing w:before="100" w:after="100"/>
              <w:ind w:left="-72"/>
              <w:rPr>
                <w:color w:val="000000"/>
                <w:sz w:val="20"/>
                <w:lang w:val="sv-SE"/>
              </w:rPr>
            </w:pPr>
            <w:r w:rsidRPr="00800D1B">
              <w:rPr>
                <w:color w:val="000000"/>
                <w:sz w:val="20"/>
                <w:lang w:val="sv-SE"/>
              </w:rPr>
              <w:t>Mer utvecklade regioner</w:t>
            </w:r>
          </w:p>
        </w:tc>
        <w:tc>
          <w:tcPr>
            <w:tcW w:w="0" w:type="auto"/>
          </w:tcPr>
          <w:p w14:paraId="2D065D19" w14:textId="77777777" w:rsidR="00A77B3E" w:rsidRPr="00800D1B" w:rsidRDefault="00623E14" w:rsidP="00E04517">
            <w:pPr>
              <w:spacing w:before="100" w:after="100"/>
              <w:ind w:left="-72"/>
              <w:rPr>
                <w:color w:val="000000"/>
                <w:sz w:val="20"/>
                <w:lang w:val="sv-SE"/>
              </w:rPr>
            </w:pPr>
            <w:r w:rsidRPr="00800D1B">
              <w:rPr>
                <w:color w:val="000000"/>
                <w:sz w:val="20"/>
                <w:lang w:val="sv-SE"/>
              </w:rPr>
              <w:t>021. Affärsutveckling och internationalisering för små och medelstora företag, inbegripet produktiva investeringar</w:t>
            </w:r>
          </w:p>
        </w:tc>
        <w:tc>
          <w:tcPr>
            <w:tcW w:w="0" w:type="auto"/>
          </w:tcPr>
          <w:p w14:paraId="2D065D1A" w14:textId="77777777" w:rsidR="00A77B3E" w:rsidRPr="00800D1B" w:rsidRDefault="00623E14" w:rsidP="00E04517">
            <w:pPr>
              <w:spacing w:before="100" w:after="100"/>
              <w:ind w:left="-72"/>
              <w:jc w:val="right"/>
              <w:rPr>
                <w:color w:val="000000"/>
                <w:sz w:val="20"/>
                <w:lang w:val="sv-SE"/>
              </w:rPr>
            </w:pPr>
            <w:r w:rsidRPr="00800D1B">
              <w:rPr>
                <w:color w:val="000000"/>
                <w:sz w:val="20"/>
                <w:lang w:val="sv-SE"/>
              </w:rPr>
              <w:t>11 223 796,00</w:t>
            </w:r>
          </w:p>
        </w:tc>
      </w:tr>
      <w:tr w:rsidR="003422DB" w:rsidRPr="00800D1B" w14:paraId="2D065D22" w14:textId="77777777" w:rsidTr="00E04517">
        <w:tc>
          <w:tcPr>
            <w:tcW w:w="0" w:type="auto"/>
          </w:tcPr>
          <w:p w14:paraId="2D065D1C" w14:textId="77777777" w:rsidR="00A77B3E" w:rsidRPr="00800D1B" w:rsidRDefault="00623E14" w:rsidP="00E04517">
            <w:pPr>
              <w:spacing w:before="100" w:after="100"/>
              <w:ind w:left="-72"/>
              <w:rPr>
                <w:color w:val="000000"/>
                <w:sz w:val="20"/>
                <w:lang w:val="sv-SE"/>
              </w:rPr>
            </w:pPr>
            <w:r w:rsidRPr="00800D1B">
              <w:rPr>
                <w:color w:val="000000"/>
                <w:sz w:val="20"/>
                <w:lang w:val="sv-SE"/>
              </w:rPr>
              <w:t>3</w:t>
            </w:r>
          </w:p>
        </w:tc>
        <w:tc>
          <w:tcPr>
            <w:tcW w:w="0" w:type="auto"/>
          </w:tcPr>
          <w:p w14:paraId="2D065D1D" w14:textId="77777777" w:rsidR="00A77B3E" w:rsidRPr="00800D1B" w:rsidRDefault="00623E14" w:rsidP="00E04517">
            <w:pPr>
              <w:spacing w:before="100" w:after="100"/>
              <w:ind w:left="-72"/>
              <w:rPr>
                <w:color w:val="000000"/>
                <w:sz w:val="20"/>
                <w:lang w:val="sv-SE"/>
              </w:rPr>
            </w:pPr>
            <w:r w:rsidRPr="00800D1B">
              <w:rPr>
                <w:color w:val="000000"/>
                <w:sz w:val="20"/>
                <w:lang w:val="sv-SE"/>
              </w:rPr>
              <w:t>RSO1.3</w:t>
            </w:r>
          </w:p>
        </w:tc>
        <w:tc>
          <w:tcPr>
            <w:tcW w:w="0" w:type="auto"/>
          </w:tcPr>
          <w:p w14:paraId="2D065D1E" w14:textId="77777777" w:rsidR="00A77B3E" w:rsidRPr="00800D1B" w:rsidRDefault="00623E14" w:rsidP="00E04517">
            <w:pPr>
              <w:spacing w:before="100" w:after="100"/>
              <w:ind w:left="-72"/>
              <w:rPr>
                <w:color w:val="000000"/>
                <w:sz w:val="20"/>
                <w:lang w:val="sv-SE"/>
              </w:rPr>
            </w:pPr>
            <w:r w:rsidRPr="00800D1B">
              <w:rPr>
                <w:color w:val="000000"/>
                <w:sz w:val="20"/>
                <w:lang w:val="sv-SE"/>
              </w:rPr>
              <w:t>Eruf</w:t>
            </w:r>
          </w:p>
        </w:tc>
        <w:tc>
          <w:tcPr>
            <w:tcW w:w="0" w:type="auto"/>
          </w:tcPr>
          <w:p w14:paraId="2D065D1F" w14:textId="77777777" w:rsidR="00A77B3E" w:rsidRPr="00800D1B" w:rsidRDefault="00623E14" w:rsidP="00E04517">
            <w:pPr>
              <w:spacing w:before="100" w:after="100"/>
              <w:ind w:left="-72"/>
              <w:rPr>
                <w:color w:val="000000"/>
                <w:sz w:val="20"/>
                <w:lang w:val="sv-SE"/>
              </w:rPr>
            </w:pPr>
            <w:r w:rsidRPr="00800D1B">
              <w:rPr>
                <w:color w:val="000000"/>
                <w:sz w:val="20"/>
                <w:lang w:val="sv-SE"/>
              </w:rPr>
              <w:t>Mer utvecklade regioner</w:t>
            </w:r>
          </w:p>
        </w:tc>
        <w:tc>
          <w:tcPr>
            <w:tcW w:w="0" w:type="auto"/>
          </w:tcPr>
          <w:p w14:paraId="2D065D20" w14:textId="77777777" w:rsidR="00A77B3E" w:rsidRPr="00800D1B" w:rsidRDefault="00623E14" w:rsidP="00E04517">
            <w:pPr>
              <w:spacing w:before="100" w:after="100"/>
              <w:ind w:left="-72"/>
              <w:rPr>
                <w:color w:val="000000"/>
                <w:sz w:val="20"/>
                <w:lang w:val="sv-SE"/>
              </w:rPr>
            </w:pPr>
            <w:r w:rsidRPr="00800D1B">
              <w:rPr>
                <w:color w:val="000000"/>
                <w:sz w:val="20"/>
                <w:lang w:val="sv-SE"/>
              </w:rPr>
              <w:t>024. Avancerade stödtjänster för små och medelstora företag och grupper av sådana företag (inbegripet ledning, marknadsföring och design)</w:t>
            </w:r>
          </w:p>
        </w:tc>
        <w:tc>
          <w:tcPr>
            <w:tcW w:w="0" w:type="auto"/>
          </w:tcPr>
          <w:p w14:paraId="2D065D21" w14:textId="77777777" w:rsidR="00A77B3E" w:rsidRPr="00800D1B" w:rsidRDefault="00623E14" w:rsidP="00E04517">
            <w:pPr>
              <w:spacing w:before="100" w:after="100"/>
              <w:ind w:left="-72"/>
              <w:jc w:val="right"/>
              <w:rPr>
                <w:color w:val="000000"/>
                <w:sz w:val="20"/>
                <w:lang w:val="sv-SE"/>
              </w:rPr>
            </w:pPr>
            <w:r w:rsidRPr="00800D1B">
              <w:rPr>
                <w:color w:val="000000"/>
                <w:sz w:val="20"/>
                <w:lang w:val="sv-SE"/>
              </w:rPr>
              <w:t>3 870 274,00</w:t>
            </w:r>
          </w:p>
        </w:tc>
      </w:tr>
      <w:tr w:rsidR="003422DB" w:rsidRPr="00800D1B" w14:paraId="2D065D29" w14:textId="77777777" w:rsidTr="00E04517">
        <w:tc>
          <w:tcPr>
            <w:tcW w:w="0" w:type="auto"/>
          </w:tcPr>
          <w:p w14:paraId="2D065D23" w14:textId="77777777" w:rsidR="00A77B3E" w:rsidRPr="00800D1B" w:rsidRDefault="00623E14" w:rsidP="00E04517">
            <w:pPr>
              <w:spacing w:before="100" w:after="100"/>
              <w:ind w:left="-72"/>
              <w:rPr>
                <w:color w:val="000000"/>
                <w:sz w:val="20"/>
                <w:lang w:val="sv-SE"/>
              </w:rPr>
            </w:pPr>
            <w:r w:rsidRPr="00800D1B">
              <w:rPr>
                <w:color w:val="000000"/>
                <w:sz w:val="20"/>
                <w:lang w:val="sv-SE"/>
              </w:rPr>
              <w:t>3</w:t>
            </w:r>
          </w:p>
        </w:tc>
        <w:tc>
          <w:tcPr>
            <w:tcW w:w="0" w:type="auto"/>
          </w:tcPr>
          <w:p w14:paraId="2D065D24" w14:textId="77777777" w:rsidR="00A77B3E" w:rsidRPr="00800D1B" w:rsidRDefault="00623E14" w:rsidP="00E04517">
            <w:pPr>
              <w:spacing w:before="100" w:after="100"/>
              <w:ind w:left="-72"/>
              <w:rPr>
                <w:color w:val="000000"/>
                <w:sz w:val="20"/>
                <w:lang w:val="sv-SE"/>
              </w:rPr>
            </w:pPr>
            <w:r w:rsidRPr="00800D1B">
              <w:rPr>
                <w:color w:val="000000"/>
                <w:sz w:val="20"/>
                <w:lang w:val="sv-SE"/>
              </w:rPr>
              <w:t>RSO1.3</w:t>
            </w:r>
          </w:p>
        </w:tc>
        <w:tc>
          <w:tcPr>
            <w:tcW w:w="0" w:type="auto"/>
          </w:tcPr>
          <w:p w14:paraId="2D065D25" w14:textId="77777777" w:rsidR="00A77B3E" w:rsidRPr="00800D1B" w:rsidRDefault="00623E14" w:rsidP="00E04517">
            <w:pPr>
              <w:spacing w:before="100" w:after="100"/>
              <w:ind w:left="-72"/>
              <w:rPr>
                <w:color w:val="000000"/>
                <w:sz w:val="20"/>
                <w:lang w:val="sv-SE"/>
              </w:rPr>
            </w:pPr>
            <w:r w:rsidRPr="00800D1B">
              <w:rPr>
                <w:color w:val="000000"/>
                <w:sz w:val="20"/>
                <w:lang w:val="sv-SE"/>
              </w:rPr>
              <w:t>Eruf</w:t>
            </w:r>
          </w:p>
        </w:tc>
        <w:tc>
          <w:tcPr>
            <w:tcW w:w="0" w:type="auto"/>
          </w:tcPr>
          <w:p w14:paraId="2D065D26" w14:textId="77777777" w:rsidR="00A77B3E" w:rsidRPr="00800D1B" w:rsidRDefault="00623E14" w:rsidP="00E04517">
            <w:pPr>
              <w:spacing w:before="100" w:after="100"/>
              <w:ind w:left="-72"/>
              <w:rPr>
                <w:color w:val="000000"/>
                <w:sz w:val="20"/>
                <w:lang w:val="sv-SE"/>
              </w:rPr>
            </w:pPr>
            <w:r w:rsidRPr="00800D1B">
              <w:rPr>
                <w:color w:val="000000"/>
                <w:sz w:val="20"/>
                <w:lang w:val="sv-SE"/>
              </w:rPr>
              <w:t>Mer utvecklade regioner</w:t>
            </w:r>
          </w:p>
        </w:tc>
        <w:tc>
          <w:tcPr>
            <w:tcW w:w="0" w:type="auto"/>
          </w:tcPr>
          <w:p w14:paraId="2D065D27" w14:textId="77777777" w:rsidR="00A77B3E" w:rsidRPr="00800D1B" w:rsidRDefault="00623E14" w:rsidP="00E04517">
            <w:pPr>
              <w:spacing w:before="100" w:after="100"/>
              <w:ind w:left="-72"/>
              <w:rPr>
                <w:color w:val="000000"/>
                <w:sz w:val="20"/>
                <w:lang w:val="sv-SE"/>
              </w:rPr>
            </w:pPr>
            <w:r w:rsidRPr="00800D1B">
              <w:rPr>
                <w:color w:val="000000"/>
                <w:sz w:val="20"/>
                <w:lang w:val="sv-SE"/>
              </w:rPr>
              <w:t>027. Innovationsprocesser i små och medelstora företag (processer, organisation, marknadsföring, gemensamt skapande, användar- och efterfrågestyrd innovation)</w:t>
            </w:r>
          </w:p>
        </w:tc>
        <w:tc>
          <w:tcPr>
            <w:tcW w:w="0" w:type="auto"/>
          </w:tcPr>
          <w:p w14:paraId="2D065D28" w14:textId="77777777" w:rsidR="00A77B3E" w:rsidRPr="00800D1B" w:rsidRDefault="00623E14" w:rsidP="00E04517">
            <w:pPr>
              <w:spacing w:before="100" w:after="100"/>
              <w:ind w:left="-72"/>
              <w:jc w:val="right"/>
              <w:rPr>
                <w:color w:val="000000"/>
                <w:sz w:val="20"/>
                <w:lang w:val="sv-SE"/>
              </w:rPr>
            </w:pPr>
            <w:r w:rsidRPr="00800D1B">
              <w:rPr>
                <w:color w:val="000000"/>
                <w:sz w:val="20"/>
                <w:lang w:val="sv-SE"/>
              </w:rPr>
              <w:t>2 322 165,00</w:t>
            </w:r>
          </w:p>
        </w:tc>
      </w:tr>
      <w:tr w:rsidR="003422DB" w:rsidRPr="00800D1B" w14:paraId="2D065D30" w14:textId="77777777" w:rsidTr="00E04517">
        <w:tc>
          <w:tcPr>
            <w:tcW w:w="0" w:type="auto"/>
          </w:tcPr>
          <w:p w14:paraId="2D065D2A" w14:textId="77777777" w:rsidR="00A77B3E" w:rsidRPr="00800D1B" w:rsidRDefault="00623E14" w:rsidP="00E04517">
            <w:pPr>
              <w:spacing w:before="100" w:after="100"/>
              <w:ind w:left="-72"/>
              <w:rPr>
                <w:color w:val="000000"/>
                <w:sz w:val="20"/>
                <w:lang w:val="sv-SE"/>
              </w:rPr>
            </w:pPr>
            <w:r w:rsidRPr="00800D1B">
              <w:rPr>
                <w:color w:val="000000"/>
                <w:sz w:val="20"/>
                <w:lang w:val="sv-SE"/>
              </w:rPr>
              <w:t>3</w:t>
            </w:r>
          </w:p>
        </w:tc>
        <w:tc>
          <w:tcPr>
            <w:tcW w:w="0" w:type="auto"/>
          </w:tcPr>
          <w:p w14:paraId="2D065D2B" w14:textId="77777777" w:rsidR="00A77B3E" w:rsidRPr="00800D1B" w:rsidRDefault="00623E14" w:rsidP="00E04517">
            <w:pPr>
              <w:spacing w:before="100" w:after="100"/>
              <w:ind w:left="-72"/>
              <w:rPr>
                <w:color w:val="000000"/>
                <w:sz w:val="20"/>
                <w:lang w:val="sv-SE"/>
              </w:rPr>
            </w:pPr>
            <w:r w:rsidRPr="00800D1B">
              <w:rPr>
                <w:color w:val="000000"/>
                <w:sz w:val="20"/>
                <w:lang w:val="sv-SE"/>
              </w:rPr>
              <w:t>RSO1.3</w:t>
            </w:r>
          </w:p>
        </w:tc>
        <w:tc>
          <w:tcPr>
            <w:tcW w:w="0" w:type="auto"/>
          </w:tcPr>
          <w:p w14:paraId="2D065D2C" w14:textId="77777777" w:rsidR="00A77B3E" w:rsidRPr="00800D1B" w:rsidRDefault="00623E14" w:rsidP="00E04517">
            <w:pPr>
              <w:spacing w:before="100" w:after="100"/>
              <w:ind w:left="-72"/>
              <w:rPr>
                <w:color w:val="000000"/>
                <w:sz w:val="20"/>
                <w:lang w:val="sv-SE"/>
              </w:rPr>
            </w:pPr>
            <w:r w:rsidRPr="00800D1B">
              <w:rPr>
                <w:color w:val="000000"/>
                <w:sz w:val="20"/>
                <w:lang w:val="sv-SE"/>
              </w:rPr>
              <w:t>Eruf</w:t>
            </w:r>
          </w:p>
        </w:tc>
        <w:tc>
          <w:tcPr>
            <w:tcW w:w="0" w:type="auto"/>
          </w:tcPr>
          <w:p w14:paraId="2D065D2D" w14:textId="77777777" w:rsidR="00A77B3E" w:rsidRPr="00800D1B" w:rsidRDefault="00623E14" w:rsidP="00E04517">
            <w:pPr>
              <w:spacing w:before="100" w:after="100"/>
              <w:ind w:left="-72"/>
              <w:rPr>
                <w:color w:val="000000"/>
                <w:sz w:val="20"/>
                <w:lang w:val="sv-SE"/>
              </w:rPr>
            </w:pPr>
            <w:r w:rsidRPr="00800D1B">
              <w:rPr>
                <w:color w:val="000000"/>
                <w:sz w:val="20"/>
                <w:lang w:val="sv-SE"/>
              </w:rPr>
              <w:t>De yttersta randområdena eller de nordliga glesbefolkade områdena</w:t>
            </w:r>
          </w:p>
        </w:tc>
        <w:tc>
          <w:tcPr>
            <w:tcW w:w="0" w:type="auto"/>
          </w:tcPr>
          <w:p w14:paraId="2D065D2E" w14:textId="77777777" w:rsidR="00A77B3E" w:rsidRPr="00800D1B" w:rsidRDefault="00623E14" w:rsidP="00E04517">
            <w:pPr>
              <w:spacing w:before="100" w:after="100"/>
              <w:ind w:left="-72"/>
              <w:rPr>
                <w:color w:val="000000"/>
                <w:sz w:val="20"/>
                <w:lang w:val="sv-SE"/>
              </w:rPr>
            </w:pPr>
            <w:r w:rsidRPr="00800D1B">
              <w:rPr>
                <w:color w:val="000000"/>
                <w:sz w:val="20"/>
                <w:lang w:val="sv-SE"/>
              </w:rPr>
              <w:t>020. Näringslivsinfrastruktur för små och medelstora företag (inbegripet industriparker och industriområden)</w:t>
            </w:r>
          </w:p>
        </w:tc>
        <w:tc>
          <w:tcPr>
            <w:tcW w:w="0" w:type="auto"/>
          </w:tcPr>
          <w:p w14:paraId="2D065D2F" w14:textId="77777777" w:rsidR="00A77B3E" w:rsidRPr="00800D1B" w:rsidRDefault="00623E14" w:rsidP="00E04517">
            <w:pPr>
              <w:spacing w:before="100" w:after="100"/>
              <w:ind w:left="-72"/>
              <w:jc w:val="right"/>
              <w:rPr>
                <w:color w:val="000000"/>
                <w:sz w:val="20"/>
                <w:lang w:val="sv-SE"/>
              </w:rPr>
            </w:pPr>
            <w:r w:rsidRPr="00800D1B">
              <w:rPr>
                <w:color w:val="000000"/>
                <w:sz w:val="20"/>
                <w:lang w:val="sv-SE"/>
              </w:rPr>
              <w:t>853 937,00</w:t>
            </w:r>
          </w:p>
        </w:tc>
      </w:tr>
      <w:tr w:rsidR="003422DB" w:rsidRPr="00800D1B" w14:paraId="2D065D37" w14:textId="77777777" w:rsidTr="00E04517">
        <w:tc>
          <w:tcPr>
            <w:tcW w:w="0" w:type="auto"/>
          </w:tcPr>
          <w:p w14:paraId="2D065D31" w14:textId="77777777" w:rsidR="00A77B3E" w:rsidRPr="00800D1B" w:rsidRDefault="00623E14" w:rsidP="00E04517">
            <w:pPr>
              <w:spacing w:before="100" w:after="100"/>
              <w:ind w:left="-72"/>
              <w:rPr>
                <w:color w:val="000000"/>
                <w:sz w:val="20"/>
                <w:lang w:val="sv-SE"/>
              </w:rPr>
            </w:pPr>
            <w:r w:rsidRPr="00800D1B">
              <w:rPr>
                <w:color w:val="000000"/>
                <w:sz w:val="20"/>
                <w:lang w:val="sv-SE"/>
              </w:rPr>
              <w:t>3</w:t>
            </w:r>
          </w:p>
        </w:tc>
        <w:tc>
          <w:tcPr>
            <w:tcW w:w="0" w:type="auto"/>
          </w:tcPr>
          <w:p w14:paraId="2D065D32" w14:textId="77777777" w:rsidR="00A77B3E" w:rsidRPr="00800D1B" w:rsidRDefault="00623E14" w:rsidP="00E04517">
            <w:pPr>
              <w:spacing w:before="100" w:after="100"/>
              <w:ind w:left="-72"/>
              <w:rPr>
                <w:color w:val="000000"/>
                <w:sz w:val="20"/>
                <w:lang w:val="sv-SE"/>
              </w:rPr>
            </w:pPr>
            <w:r w:rsidRPr="00800D1B">
              <w:rPr>
                <w:color w:val="000000"/>
                <w:sz w:val="20"/>
                <w:lang w:val="sv-SE"/>
              </w:rPr>
              <w:t>RSO1.3</w:t>
            </w:r>
          </w:p>
        </w:tc>
        <w:tc>
          <w:tcPr>
            <w:tcW w:w="0" w:type="auto"/>
          </w:tcPr>
          <w:p w14:paraId="2D065D33" w14:textId="77777777" w:rsidR="00A77B3E" w:rsidRPr="00800D1B" w:rsidRDefault="00623E14" w:rsidP="00E04517">
            <w:pPr>
              <w:spacing w:before="100" w:after="100"/>
              <w:ind w:left="-72"/>
              <w:rPr>
                <w:color w:val="000000"/>
                <w:sz w:val="20"/>
                <w:lang w:val="sv-SE"/>
              </w:rPr>
            </w:pPr>
            <w:r w:rsidRPr="00800D1B">
              <w:rPr>
                <w:color w:val="000000"/>
                <w:sz w:val="20"/>
                <w:lang w:val="sv-SE"/>
              </w:rPr>
              <w:t>Eruf</w:t>
            </w:r>
          </w:p>
        </w:tc>
        <w:tc>
          <w:tcPr>
            <w:tcW w:w="0" w:type="auto"/>
          </w:tcPr>
          <w:p w14:paraId="2D065D34" w14:textId="77777777" w:rsidR="00A77B3E" w:rsidRPr="00800D1B" w:rsidRDefault="00623E14" w:rsidP="00E04517">
            <w:pPr>
              <w:spacing w:before="100" w:after="100"/>
              <w:ind w:left="-72"/>
              <w:rPr>
                <w:color w:val="000000"/>
                <w:sz w:val="20"/>
                <w:lang w:val="sv-SE"/>
              </w:rPr>
            </w:pPr>
            <w:r w:rsidRPr="00800D1B">
              <w:rPr>
                <w:color w:val="000000"/>
                <w:sz w:val="20"/>
                <w:lang w:val="sv-SE"/>
              </w:rPr>
              <w:t>De yttersta randområdena eller de nordliga glesbefolkade områdena</w:t>
            </w:r>
          </w:p>
        </w:tc>
        <w:tc>
          <w:tcPr>
            <w:tcW w:w="0" w:type="auto"/>
          </w:tcPr>
          <w:p w14:paraId="2D065D35" w14:textId="77777777" w:rsidR="00A77B3E" w:rsidRPr="00800D1B" w:rsidRDefault="00623E14" w:rsidP="00E04517">
            <w:pPr>
              <w:spacing w:before="100" w:after="100"/>
              <w:ind w:left="-72"/>
              <w:rPr>
                <w:color w:val="000000"/>
                <w:sz w:val="20"/>
                <w:lang w:val="sv-SE"/>
              </w:rPr>
            </w:pPr>
            <w:r w:rsidRPr="00800D1B">
              <w:rPr>
                <w:color w:val="000000"/>
                <w:sz w:val="20"/>
                <w:lang w:val="sv-SE"/>
              </w:rPr>
              <w:t>021. Affärsutveckling och internationalisering för små och medelstora företag, inbegripet produktiva investeringar</w:t>
            </w:r>
          </w:p>
        </w:tc>
        <w:tc>
          <w:tcPr>
            <w:tcW w:w="0" w:type="auto"/>
          </w:tcPr>
          <w:p w14:paraId="2D065D36" w14:textId="77777777" w:rsidR="00A77B3E" w:rsidRPr="00800D1B" w:rsidRDefault="00623E14" w:rsidP="00E04517">
            <w:pPr>
              <w:spacing w:before="100" w:after="100"/>
              <w:ind w:left="-72"/>
              <w:jc w:val="right"/>
              <w:rPr>
                <w:color w:val="000000"/>
                <w:sz w:val="20"/>
                <w:lang w:val="sv-SE"/>
              </w:rPr>
            </w:pPr>
            <w:r w:rsidRPr="00800D1B">
              <w:rPr>
                <w:color w:val="000000"/>
                <w:sz w:val="20"/>
                <w:lang w:val="sv-SE"/>
              </w:rPr>
              <w:t>24 194 775,00</w:t>
            </w:r>
          </w:p>
        </w:tc>
      </w:tr>
      <w:tr w:rsidR="003422DB" w:rsidRPr="00800D1B" w14:paraId="2D065D3E" w14:textId="77777777" w:rsidTr="00E04517">
        <w:tc>
          <w:tcPr>
            <w:tcW w:w="0" w:type="auto"/>
          </w:tcPr>
          <w:p w14:paraId="2D065D38" w14:textId="77777777" w:rsidR="00A77B3E" w:rsidRPr="00800D1B" w:rsidRDefault="00623E14" w:rsidP="00E04517">
            <w:pPr>
              <w:spacing w:before="100" w:after="100"/>
              <w:ind w:left="-72"/>
              <w:rPr>
                <w:color w:val="000000"/>
                <w:sz w:val="20"/>
                <w:lang w:val="sv-SE"/>
              </w:rPr>
            </w:pPr>
            <w:r w:rsidRPr="00800D1B">
              <w:rPr>
                <w:color w:val="000000"/>
                <w:sz w:val="20"/>
                <w:lang w:val="sv-SE"/>
              </w:rPr>
              <w:t>3</w:t>
            </w:r>
          </w:p>
        </w:tc>
        <w:tc>
          <w:tcPr>
            <w:tcW w:w="0" w:type="auto"/>
          </w:tcPr>
          <w:p w14:paraId="2D065D39" w14:textId="77777777" w:rsidR="00A77B3E" w:rsidRPr="00800D1B" w:rsidRDefault="00623E14" w:rsidP="00E04517">
            <w:pPr>
              <w:spacing w:before="100" w:after="100"/>
              <w:ind w:left="-72"/>
              <w:rPr>
                <w:color w:val="000000"/>
                <w:sz w:val="20"/>
                <w:lang w:val="sv-SE"/>
              </w:rPr>
            </w:pPr>
            <w:r w:rsidRPr="00800D1B">
              <w:rPr>
                <w:color w:val="000000"/>
                <w:sz w:val="20"/>
                <w:lang w:val="sv-SE"/>
              </w:rPr>
              <w:t>RSO1.3</w:t>
            </w:r>
          </w:p>
        </w:tc>
        <w:tc>
          <w:tcPr>
            <w:tcW w:w="0" w:type="auto"/>
          </w:tcPr>
          <w:p w14:paraId="2D065D3A" w14:textId="77777777" w:rsidR="00A77B3E" w:rsidRPr="00800D1B" w:rsidRDefault="00623E14" w:rsidP="00E04517">
            <w:pPr>
              <w:spacing w:before="100" w:after="100"/>
              <w:ind w:left="-72"/>
              <w:rPr>
                <w:color w:val="000000"/>
                <w:sz w:val="20"/>
                <w:lang w:val="sv-SE"/>
              </w:rPr>
            </w:pPr>
            <w:r w:rsidRPr="00800D1B">
              <w:rPr>
                <w:color w:val="000000"/>
                <w:sz w:val="20"/>
                <w:lang w:val="sv-SE"/>
              </w:rPr>
              <w:t>Eruf</w:t>
            </w:r>
          </w:p>
        </w:tc>
        <w:tc>
          <w:tcPr>
            <w:tcW w:w="0" w:type="auto"/>
          </w:tcPr>
          <w:p w14:paraId="2D065D3B" w14:textId="77777777" w:rsidR="00A77B3E" w:rsidRPr="00800D1B" w:rsidRDefault="00623E14" w:rsidP="00E04517">
            <w:pPr>
              <w:spacing w:before="100" w:after="100"/>
              <w:ind w:left="-72"/>
              <w:rPr>
                <w:color w:val="000000"/>
                <w:sz w:val="20"/>
                <w:lang w:val="sv-SE"/>
              </w:rPr>
            </w:pPr>
            <w:r w:rsidRPr="00800D1B">
              <w:rPr>
                <w:color w:val="000000"/>
                <w:sz w:val="20"/>
                <w:lang w:val="sv-SE"/>
              </w:rPr>
              <w:t>De yttersta randområdena eller de nordliga glesbefolkade områdena</w:t>
            </w:r>
          </w:p>
        </w:tc>
        <w:tc>
          <w:tcPr>
            <w:tcW w:w="0" w:type="auto"/>
          </w:tcPr>
          <w:p w14:paraId="2D065D3C" w14:textId="77777777" w:rsidR="00A77B3E" w:rsidRPr="00800D1B" w:rsidRDefault="00623E14" w:rsidP="00E04517">
            <w:pPr>
              <w:spacing w:before="100" w:after="100"/>
              <w:ind w:left="-72"/>
              <w:rPr>
                <w:color w:val="000000"/>
                <w:sz w:val="20"/>
                <w:lang w:val="sv-SE"/>
              </w:rPr>
            </w:pPr>
            <w:r w:rsidRPr="00800D1B">
              <w:rPr>
                <w:color w:val="000000"/>
                <w:sz w:val="20"/>
                <w:lang w:val="sv-SE"/>
              </w:rPr>
              <w:t>024. Avancerade stödtjänster för små och medelstora företag och grupper av sådana företag (inbegripet ledning, marknadsföring och design)</w:t>
            </w:r>
          </w:p>
        </w:tc>
        <w:tc>
          <w:tcPr>
            <w:tcW w:w="0" w:type="auto"/>
          </w:tcPr>
          <w:p w14:paraId="2D065D3D" w14:textId="77777777" w:rsidR="00A77B3E" w:rsidRPr="00800D1B" w:rsidRDefault="00623E14" w:rsidP="00E04517">
            <w:pPr>
              <w:spacing w:before="100" w:after="100"/>
              <w:ind w:left="-72"/>
              <w:jc w:val="right"/>
              <w:rPr>
                <w:color w:val="000000"/>
                <w:sz w:val="20"/>
                <w:lang w:val="sv-SE"/>
              </w:rPr>
            </w:pPr>
            <w:r w:rsidRPr="00800D1B">
              <w:rPr>
                <w:color w:val="000000"/>
                <w:sz w:val="20"/>
                <w:lang w:val="sv-SE"/>
              </w:rPr>
              <w:t>2 277 165,00</w:t>
            </w:r>
          </w:p>
        </w:tc>
      </w:tr>
      <w:tr w:rsidR="003422DB" w:rsidRPr="00800D1B" w14:paraId="2D065D45" w14:textId="77777777" w:rsidTr="00E04517">
        <w:tc>
          <w:tcPr>
            <w:tcW w:w="0" w:type="auto"/>
          </w:tcPr>
          <w:p w14:paraId="2D065D3F" w14:textId="77777777" w:rsidR="00A77B3E" w:rsidRPr="00800D1B" w:rsidRDefault="00623E14" w:rsidP="00E04517">
            <w:pPr>
              <w:spacing w:before="100" w:after="100"/>
              <w:ind w:left="-72"/>
              <w:rPr>
                <w:color w:val="000000"/>
                <w:sz w:val="20"/>
                <w:lang w:val="sv-SE"/>
              </w:rPr>
            </w:pPr>
            <w:r w:rsidRPr="00800D1B">
              <w:rPr>
                <w:color w:val="000000"/>
                <w:sz w:val="20"/>
                <w:lang w:val="sv-SE"/>
              </w:rPr>
              <w:t>3</w:t>
            </w:r>
          </w:p>
        </w:tc>
        <w:tc>
          <w:tcPr>
            <w:tcW w:w="0" w:type="auto"/>
          </w:tcPr>
          <w:p w14:paraId="2D065D40" w14:textId="77777777" w:rsidR="00A77B3E" w:rsidRPr="00800D1B" w:rsidRDefault="00623E14" w:rsidP="00E04517">
            <w:pPr>
              <w:spacing w:before="100" w:after="100"/>
              <w:ind w:left="-72"/>
              <w:rPr>
                <w:color w:val="000000"/>
                <w:sz w:val="20"/>
                <w:lang w:val="sv-SE"/>
              </w:rPr>
            </w:pPr>
            <w:r w:rsidRPr="00800D1B">
              <w:rPr>
                <w:color w:val="000000"/>
                <w:sz w:val="20"/>
                <w:lang w:val="sv-SE"/>
              </w:rPr>
              <w:t>RSO1.3</w:t>
            </w:r>
          </w:p>
        </w:tc>
        <w:tc>
          <w:tcPr>
            <w:tcW w:w="0" w:type="auto"/>
          </w:tcPr>
          <w:p w14:paraId="2D065D41" w14:textId="77777777" w:rsidR="00A77B3E" w:rsidRPr="00800D1B" w:rsidRDefault="00623E14" w:rsidP="00E04517">
            <w:pPr>
              <w:spacing w:before="100" w:after="100"/>
              <w:ind w:left="-72"/>
              <w:rPr>
                <w:color w:val="000000"/>
                <w:sz w:val="20"/>
                <w:lang w:val="sv-SE"/>
              </w:rPr>
            </w:pPr>
            <w:r w:rsidRPr="00800D1B">
              <w:rPr>
                <w:color w:val="000000"/>
                <w:sz w:val="20"/>
                <w:lang w:val="sv-SE"/>
              </w:rPr>
              <w:t>Eruf</w:t>
            </w:r>
          </w:p>
        </w:tc>
        <w:tc>
          <w:tcPr>
            <w:tcW w:w="0" w:type="auto"/>
          </w:tcPr>
          <w:p w14:paraId="2D065D42" w14:textId="77777777" w:rsidR="00A77B3E" w:rsidRPr="00800D1B" w:rsidRDefault="00623E14" w:rsidP="00E04517">
            <w:pPr>
              <w:spacing w:before="100" w:after="100"/>
              <w:ind w:left="-72"/>
              <w:rPr>
                <w:color w:val="000000"/>
                <w:sz w:val="20"/>
                <w:lang w:val="sv-SE"/>
              </w:rPr>
            </w:pPr>
            <w:r w:rsidRPr="00800D1B">
              <w:rPr>
                <w:color w:val="000000"/>
                <w:sz w:val="20"/>
                <w:lang w:val="sv-SE"/>
              </w:rPr>
              <w:t>De yttersta randområdena eller de nordliga glesbefolkade områdena</w:t>
            </w:r>
          </w:p>
        </w:tc>
        <w:tc>
          <w:tcPr>
            <w:tcW w:w="0" w:type="auto"/>
          </w:tcPr>
          <w:p w14:paraId="2D065D43" w14:textId="77777777" w:rsidR="00A77B3E" w:rsidRPr="00800D1B" w:rsidRDefault="00623E14" w:rsidP="00E04517">
            <w:pPr>
              <w:spacing w:before="100" w:after="100"/>
              <w:ind w:left="-72"/>
              <w:rPr>
                <w:color w:val="000000"/>
                <w:sz w:val="20"/>
                <w:lang w:val="sv-SE"/>
              </w:rPr>
            </w:pPr>
            <w:r w:rsidRPr="00800D1B">
              <w:rPr>
                <w:color w:val="000000"/>
                <w:sz w:val="20"/>
                <w:lang w:val="sv-SE"/>
              </w:rPr>
              <w:t>027. Innovationsprocesser i små och medelstora företag (processer, organisation, marknadsföring, gemensamt skapande, användar- och efterfrågestyrd innovation)</w:t>
            </w:r>
          </w:p>
        </w:tc>
        <w:tc>
          <w:tcPr>
            <w:tcW w:w="0" w:type="auto"/>
          </w:tcPr>
          <w:p w14:paraId="2D065D44" w14:textId="77777777" w:rsidR="00A77B3E" w:rsidRPr="00800D1B" w:rsidRDefault="00623E14" w:rsidP="00E04517">
            <w:pPr>
              <w:spacing w:before="100" w:after="100"/>
              <w:ind w:left="-72"/>
              <w:jc w:val="right"/>
              <w:rPr>
                <w:color w:val="000000"/>
                <w:sz w:val="20"/>
                <w:lang w:val="sv-SE"/>
              </w:rPr>
            </w:pPr>
            <w:r w:rsidRPr="00800D1B">
              <w:rPr>
                <w:color w:val="000000"/>
                <w:sz w:val="20"/>
                <w:lang w:val="sv-SE"/>
              </w:rPr>
              <w:t>1 138 582,00</w:t>
            </w:r>
          </w:p>
        </w:tc>
      </w:tr>
      <w:tr w:rsidR="003422DB" w:rsidRPr="00800D1B" w14:paraId="2D065D4C" w14:textId="77777777" w:rsidTr="00E04517">
        <w:tc>
          <w:tcPr>
            <w:tcW w:w="0" w:type="auto"/>
          </w:tcPr>
          <w:p w14:paraId="2D065D46" w14:textId="77777777" w:rsidR="00A77B3E" w:rsidRPr="00800D1B" w:rsidRDefault="00623E14" w:rsidP="00E04517">
            <w:pPr>
              <w:spacing w:before="100" w:after="100"/>
              <w:ind w:left="-72"/>
              <w:rPr>
                <w:color w:val="000000"/>
                <w:sz w:val="20"/>
                <w:lang w:val="sv-SE"/>
              </w:rPr>
            </w:pPr>
            <w:r w:rsidRPr="00800D1B">
              <w:rPr>
                <w:color w:val="000000"/>
                <w:sz w:val="20"/>
                <w:lang w:val="sv-SE"/>
              </w:rPr>
              <w:t>3</w:t>
            </w:r>
          </w:p>
        </w:tc>
        <w:tc>
          <w:tcPr>
            <w:tcW w:w="0" w:type="auto"/>
          </w:tcPr>
          <w:p w14:paraId="2D065D47" w14:textId="77777777" w:rsidR="00A77B3E" w:rsidRPr="00800D1B" w:rsidRDefault="00623E14" w:rsidP="00E04517">
            <w:pPr>
              <w:spacing w:before="100" w:after="100"/>
              <w:ind w:left="-72"/>
              <w:rPr>
                <w:color w:val="000000"/>
                <w:sz w:val="20"/>
                <w:lang w:val="sv-SE"/>
              </w:rPr>
            </w:pPr>
            <w:r w:rsidRPr="00800D1B">
              <w:rPr>
                <w:color w:val="000000"/>
                <w:sz w:val="20"/>
                <w:lang w:val="sv-SE"/>
              </w:rPr>
              <w:t>RSO1.3</w:t>
            </w:r>
          </w:p>
        </w:tc>
        <w:tc>
          <w:tcPr>
            <w:tcW w:w="0" w:type="auto"/>
          </w:tcPr>
          <w:p w14:paraId="2D065D48" w14:textId="77777777" w:rsidR="00A77B3E" w:rsidRPr="00800D1B" w:rsidRDefault="00623E14" w:rsidP="00E04517">
            <w:pPr>
              <w:spacing w:before="100" w:after="100"/>
              <w:ind w:left="-72"/>
              <w:rPr>
                <w:color w:val="000000"/>
                <w:sz w:val="20"/>
                <w:lang w:val="sv-SE"/>
              </w:rPr>
            </w:pPr>
            <w:r w:rsidRPr="00800D1B">
              <w:rPr>
                <w:color w:val="000000"/>
                <w:sz w:val="20"/>
                <w:lang w:val="sv-SE"/>
              </w:rPr>
              <w:t>Totalt</w:t>
            </w:r>
          </w:p>
        </w:tc>
        <w:tc>
          <w:tcPr>
            <w:tcW w:w="0" w:type="auto"/>
          </w:tcPr>
          <w:p w14:paraId="2D065D49" w14:textId="77777777" w:rsidR="00A77B3E" w:rsidRPr="00800D1B" w:rsidRDefault="00A77B3E" w:rsidP="00E04517">
            <w:pPr>
              <w:spacing w:before="100" w:after="100"/>
              <w:ind w:left="-72"/>
              <w:rPr>
                <w:color w:val="000000"/>
                <w:sz w:val="20"/>
                <w:lang w:val="sv-SE"/>
              </w:rPr>
            </w:pPr>
          </w:p>
        </w:tc>
        <w:tc>
          <w:tcPr>
            <w:tcW w:w="0" w:type="auto"/>
          </w:tcPr>
          <w:p w14:paraId="2D065D4A" w14:textId="77777777" w:rsidR="00A77B3E" w:rsidRPr="00800D1B" w:rsidRDefault="00A77B3E" w:rsidP="00E04517">
            <w:pPr>
              <w:spacing w:before="100" w:after="100"/>
              <w:ind w:left="-72"/>
              <w:rPr>
                <w:color w:val="000000"/>
                <w:sz w:val="20"/>
                <w:lang w:val="sv-SE"/>
              </w:rPr>
            </w:pPr>
          </w:p>
        </w:tc>
        <w:tc>
          <w:tcPr>
            <w:tcW w:w="0" w:type="auto"/>
          </w:tcPr>
          <w:p w14:paraId="2D065D4B" w14:textId="77777777" w:rsidR="00A77B3E" w:rsidRPr="00800D1B" w:rsidRDefault="00623E14" w:rsidP="00E04517">
            <w:pPr>
              <w:spacing w:before="100" w:after="100"/>
              <w:ind w:left="-72"/>
              <w:jc w:val="right"/>
              <w:rPr>
                <w:color w:val="000000"/>
                <w:sz w:val="20"/>
                <w:lang w:val="sv-SE"/>
              </w:rPr>
            </w:pPr>
            <w:r w:rsidRPr="00800D1B">
              <w:rPr>
                <w:color w:val="000000"/>
                <w:sz w:val="20"/>
                <w:lang w:val="sv-SE"/>
              </w:rPr>
              <w:t>47 815 831,00</w:t>
            </w:r>
          </w:p>
        </w:tc>
      </w:tr>
    </w:tbl>
    <w:p w14:paraId="2D065D4E" w14:textId="41ADAC02" w:rsidR="00A77B3E" w:rsidRPr="00800D1B" w:rsidRDefault="00623E14" w:rsidP="00552F60">
      <w:pPr>
        <w:spacing w:before="360" w:after="100"/>
        <w:rPr>
          <w:lang w:val="sv-SE"/>
        </w:rPr>
      </w:pPr>
      <w:bookmarkStart w:id="71" w:name="_Toc256000312"/>
      <w:r w:rsidRPr="00800D1B">
        <w:rPr>
          <w:lang w:val="sv-SE"/>
        </w:rPr>
        <w:t>Tabell 5: Dimension 2 – finansieringsform</w:t>
      </w:r>
      <w:bookmarkEnd w:id="71"/>
    </w:p>
    <w:p w14:paraId="2D065D4F" w14:textId="77777777" w:rsidR="00A77B3E" w:rsidRPr="00800D1B" w:rsidRDefault="00A77B3E">
      <w:pPr>
        <w:spacing w:before="100"/>
        <w:rPr>
          <w:color w:val="000000"/>
          <w:sz w:val="0"/>
          <w:lang w:val="sv-SE"/>
        </w:rPr>
      </w:pPr>
    </w:p>
    <w:tbl>
      <w:tblPr>
        <w:tblStyle w:val="Tabellrutnt"/>
        <w:tblW w:w="5000" w:type="pct"/>
        <w:tblLook w:val="04A0" w:firstRow="1" w:lastRow="0" w:firstColumn="1" w:lastColumn="0" w:noHBand="0" w:noVBand="1"/>
        <w:tblDescription w:val="En tabell med sex kolumner: Prioritering; Specifikt mål; Fond; Regionkategori; Kod; Belopp (euro). Tabellen visar information om finansieringsform."/>
      </w:tblPr>
      <w:tblGrid>
        <w:gridCol w:w="1142"/>
        <w:gridCol w:w="1205"/>
        <w:gridCol w:w="697"/>
        <w:gridCol w:w="4604"/>
        <w:gridCol w:w="6155"/>
        <w:gridCol w:w="1369"/>
      </w:tblGrid>
      <w:tr w:rsidR="003422DB" w:rsidRPr="00800D1B" w14:paraId="2D065D56" w14:textId="77777777" w:rsidTr="00E04517">
        <w:tc>
          <w:tcPr>
            <w:tcW w:w="0" w:type="auto"/>
          </w:tcPr>
          <w:p w14:paraId="2D065D50" w14:textId="77777777" w:rsidR="00A77B3E" w:rsidRPr="00800D1B" w:rsidRDefault="00623E14" w:rsidP="00E04517">
            <w:pPr>
              <w:spacing w:before="100" w:after="100"/>
              <w:ind w:left="-72"/>
              <w:jc w:val="center"/>
              <w:rPr>
                <w:color w:val="000000"/>
                <w:sz w:val="20"/>
                <w:lang w:val="sv-SE"/>
              </w:rPr>
            </w:pPr>
            <w:r w:rsidRPr="00800D1B">
              <w:rPr>
                <w:color w:val="000000"/>
                <w:sz w:val="20"/>
                <w:lang w:val="sv-SE"/>
              </w:rPr>
              <w:t>Prioritering</w:t>
            </w:r>
          </w:p>
        </w:tc>
        <w:tc>
          <w:tcPr>
            <w:tcW w:w="0" w:type="auto"/>
          </w:tcPr>
          <w:p w14:paraId="2D065D51" w14:textId="77777777" w:rsidR="00A77B3E" w:rsidRPr="00800D1B" w:rsidRDefault="00623E14" w:rsidP="00E04517">
            <w:pPr>
              <w:spacing w:before="100" w:after="100"/>
              <w:ind w:left="-72"/>
              <w:jc w:val="center"/>
              <w:rPr>
                <w:color w:val="000000"/>
                <w:sz w:val="20"/>
                <w:lang w:val="sv-SE"/>
              </w:rPr>
            </w:pPr>
            <w:r w:rsidRPr="00800D1B">
              <w:rPr>
                <w:color w:val="000000"/>
                <w:sz w:val="20"/>
                <w:lang w:val="sv-SE"/>
              </w:rPr>
              <w:t>Specifikt mål</w:t>
            </w:r>
          </w:p>
        </w:tc>
        <w:tc>
          <w:tcPr>
            <w:tcW w:w="0" w:type="auto"/>
          </w:tcPr>
          <w:p w14:paraId="2D065D52" w14:textId="77777777" w:rsidR="00A77B3E" w:rsidRPr="00800D1B" w:rsidRDefault="00623E14" w:rsidP="00E04517">
            <w:pPr>
              <w:spacing w:before="100" w:after="100"/>
              <w:ind w:left="-72"/>
              <w:jc w:val="center"/>
              <w:rPr>
                <w:color w:val="000000"/>
                <w:sz w:val="20"/>
                <w:lang w:val="sv-SE"/>
              </w:rPr>
            </w:pPr>
            <w:r w:rsidRPr="00800D1B">
              <w:rPr>
                <w:color w:val="000000"/>
                <w:sz w:val="20"/>
                <w:lang w:val="sv-SE"/>
              </w:rPr>
              <w:t>Fond</w:t>
            </w:r>
          </w:p>
        </w:tc>
        <w:tc>
          <w:tcPr>
            <w:tcW w:w="0" w:type="auto"/>
          </w:tcPr>
          <w:p w14:paraId="2D065D53" w14:textId="77777777" w:rsidR="00A77B3E" w:rsidRPr="00800D1B" w:rsidRDefault="00623E14" w:rsidP="00E04517">
            <w:pPr>
              <w:spacing w:before="100" w:after="100"/>
              <w:ind w:left="-72"/>
              <w:jc w:val="center"/>
              <w:rPr>
                <w:color w:val="000000"/>
                <w:sz w:val="20"/>
                <w:lang w:val="sv-SE"/>
              </w:rPr>
            </w:pPr>
            <w:r w:rsidRPr="00800D1B">
              <w:rPr>
                <w:color w:val="000000"/>
                <w:sz w:val="20"/>
                <w:lang w:val="sv-SE"/>
              </w:rPr>
              <w:t>Regionkategori</w:t>
            </w:r>
          </w:p>
        </w:tc>
        <w:tc>
          <w:tcPr>
            <w:tcW w:w="0" w:type="auto"/>
          </w:tcPr>
          <w:p w14:paraId="2D065D54" w14:textId="77777777" w:rsidR="00A77B3E" w:rsidRPr="00800D1B" w:rsidRDefault="00623E14" w:rsidP="00E04517">
            <w:pPr>
              <w:spacing w:before="100" w:after="100"/>
              <w:ind w:left="-72"/>
              <w:jc w:val="center"/>
              <w:rPr>
                <w:color w:val="000000"/>
                <w:sz w:val="20"/>
                <w:lang w:val="sv-SE"/>
              </w:rPr>
            </w:pPr>
            <w:r w:rsidRPr="00800D1B">
              <w:rPr>
                <w:color w:val="000000"/>
                <w:sz w:val="20"/>
                <w:lang w:val="sv-SE"/>
              </w:rPr>
              <w:t>Kod</w:t>
            </w:r>
          </w:p>
        </w:tc>
        <w:tc>
          <w:tcPr>
            <w:tcW w:w="0" w:type="auto"/>
          </w:tcPr>
          <w:p w14:paraId="2D065D55" w14:textId="77777777" w:rsidR="00A77B3E" w:rsidRPr="00800D1B" w:rsidRDefault="00623E14" w:rsidP="00E04517">
            <w:pPr>
              <w:spacing w:before="100" w:after="100"/>
              <w:ind w:left="-72"/>
              <w:jc w:val="center"/>
              <w:rPr>
                <w:color w:val="000000"/>
                <w:sz w:val="20"/>
                <w:lang w:val="sv-SE"/>
              </w:rPr>
            </w:pPr>
            <w:r w:rsidRPr="00800D1B">
              <w:rPr>
                <w:color w:val="000000"/>
                <w:sz w:val="20"/>
                <w:lang w:val="sv-SE"/>
              </w:rPr>
              <w:t>Belopp (euro)</w:t>
            </w:r>
          </w:p>
        </w:tc>
      </w:tr>
      <w:tr w:rsidR="003422DB" w:rsidRPr="00800D1B" w14:paraId="2D065D5D" w14:textId="77777777" w:rsidTr="00E04517">
        <w:tc>
          <w:tcPr>
            <w:tcW w:w="0" w:type="auto"/>
          </w:tcPr>
          <w:p w14:paraId="2D065D57" w14:textId="77777777" w:rsidR="00A77B3E" w:rsidRPr="00800D1B" w:rsidRDefault="00623E14" w:rsidP="00E04517">
            <w:pPr>
              <w:spacing w:before="100" w:after="100"/>
              <w:ind w:left="-72"/>
              <w:rPr>
                <w:color w:val="000000"/>
                <w:sz w:val="20"/>
                <w:lang w:val="sv-SE"/>
              </w:rPr>
            </w:pPr>
            <w:r w:rsidRPr="00800D1B">
              <w:rPr>
                <w:color w:val="000000"/>
                <w:sz w:val="20"/>
                <w:lang w:val="sv-SE"/>
              </w:rPr>
              <w:t>3</w:t>
            </w:r>
          </w:p>
        </w:tc>
        <w:tc>
          <w:tcPr>
            <w:tcW w:w="0" w:type="auto"/>
          </w:tcPr>
          <w:p w14:paraId="2D065D58" w14:textId="77777777" w:rsidR="00A77B3E" w:rsidRPr="00800D1B" w:rsidRDefault="00623E14" w:rsidP="00E04517">
            <w:pPr>
              <w:spacing w:before="100" w:after="100"/>
              <w:ind w:left="-72"/>
              <w:rPr>
                <w:color w:val="000000"/>
                <w:sz w:val="20"/>
                <w:lang w:val="sv-SE"/>
              </w:rPr>
            </w:pPr>
            <w:r w:rsidRPr="00800D1B">
              <w:rPr>
                <w:color w:val="000000"/>
                <w:sz w:val="20"/>
                <w:lang w:val="sv-SE"/>
              </w:rPr>
              <w:t>RSO1.3</w:t>
            </w:r>
          </w:p>
        </w:tc>
        <w:tc>
          <w:tcPr>
            <w:tcW w:w="0" w:type="auto"/>
          </w:tcPr>
          <w:p w14:paraId="2D065D59" w14:textId="77777777" w:rsidR="00A77B3E" w:rsidRPr="00800D1B" w:rsidRDefault="00623E14" w:rsidP="00E04517">
            <w:pPr>
              <w:spacing w:before="100" w:after="100"/>
              <w:ind w:left="-72"/>
              <w:rPr>
                <w:color w:val="000000"/>
                <w:sz w:val="20"/>
                <w:lang w:val="sv-SE"/>
              </w:rPr>
            </w:pPr>
            <w:r w:rsidRPr="00800D1B">
              <w:rPr>
                <w:color w:val="000000"/>
                <w:sz w:val="20"/>
                <w:lang w:val="sv-SE"/>
              </w:rPr>
              <w:t>Eruf</w:t>
            </w:r>
          </w:p>
        </w:tc>
        <w:tc>
          <w:tcPr>
            <w:tcW w:w="0" w:type="auto"/>
          </w:tcPr>
          <w:p w14:paraId="2D065D5A" w14:textId="77777777" w:rsidR="00A77B3E" w:rsidRPr="00800D1B" w:rsidRDefault="00623E14" w:rsidP="00E04517">
            <w:pPr>
              <w:spacing w:before="100" w:after="100"/>
              <w:ind w:left="-72"/>
              <w:rPr>
                <w:color w:val="000000"/>
                <w:sz w:val="20"/>
                <w:lang w:val="sv-SE"/>
              </w:rPr>
            </w:pPr>
            <w:r w:rsidRPr="00800D1B">
              <w:rPr>
                <w:color w:val="000000"/>
                <w:sz w:val="20"/>
                <w:lang w:val="sv-SE"/>
              </w:rPr>
              <w:t>Mer utvecklade regioner</w:t>
            </w:r>
          </w:p>
        </w:tc>
        <w:tc>
          <w:tcPr>
            <w:tcW w:w="0" w:type="auto"/>
          </w:tcPr>
          <w:p w14:paraId="2D065D5B" w14:textId="77777777" w:rsidR="00A77B3E" w:rsidRPr="00800D1B" w:rsidRDefault="00623E14" w:rsidP="00E04517">
            <w:pPr>
              <w:spacing w:before="100" w:after="100"/>
              <w:ind w:left="-72"/>
              <w:rPr>
                <w:color w:val="000000"/>
                <w:sz w:val="20"/>
                <w:lang w:val="sv-SE"/>
              </w:rPr>
            </w:pPr>
            <w:r w:rsidRPr="00800D1B">
              <w:rPr>
                <w:color w:val="000000"/>
                <w:sz w:val="20"/>
                <w:lang w:val="sv-SE"/>
              </w:rPr>
              <w:t>01. Bevilja</w:t>
            </w:r>
          </w:p>
        </w:tc>
        <w:tc>
          <w:tcPr>
            <w:tcW w:w="0" w:type="auto"/>
          </w:tcPr>
          <w:p w14:paraId="2D065D5C" w14:textId="77777777" w:rsidR="00A77B3E" w:rsidRPr="00800D1B" w:rsidRDefault="00623E14" w:rsidP="00E04517">
            <w:pPr>
              <w:spacing w:before="100" w:after="100"/>
              <w:ind w:left="-72"/>
              <w:jc w:val="right"/>
              <w:rPr>
                <w:color w:val="000000"/>
                <w:sz w:val="20"/>
                <w:lang w:val="sv-SE"/>
              </w:rPr>
            </w:pPr>
            <w:r w:rsidRPr="00800D1B">
              <w:rPr>
                <w:color w:val="000000"/>
                <w:sz w:val="20"/>
                <w:lang w:val="sv-SE"/>
              </w:rPr>
              <w:t>14 835 243,00</w:t>
            </w:r>
          </w:p>
        </w:tc>
      </w:tr>
      <w:tr w:rsidR="003422DB" w:rsidRPr="00800D1B" w14:paraId="2D065D64" w14:textId="77777777" w:rsidTr="00E04517">
        <w:tc>
          <w:tcPr>
            <w:tcW w:w="0" w:type="auto"/>
          </w:tcPr>
          <w:p w14:paraId="2D065D5E" w14:textId="77777777" w:rsidR="00A77B3E" w:rsidRPr="00800D1B" w:rsidRDefault="00623E14" w:rsidP="00E04517">
            <w:pPr>
              <w:spacing w:before="100" w:after="100"/>
              <w:ind w:left="-72"/>
              <w:rPr>
                <w:color w:val="000000"/>
                <w:sz w:val="20"/>
                <w:lang w:val="sv-SE"/>
              </w:rPr>
            </w:pPr>
            <w:r w:rsidRPr="00800D1B">
              <w:rPr>
                <w:color w:val="000000"/>
                <w:sz w:val="20"/>
                <w:lang w:val="sv-SE"/>
              </w:rPr>
              <w:t>3</w:t>
            </w:r>
          </w:p>
        </w:tc>
        <w:tc>
          <w:tcPr>
            <w:tcW w:w="0" w:type="auto"/>
          </w:tcPr>
          <w:p w14:paraId="2D065D5F" w14:textId="77777777" w:rsidR="00A77B3E" w:rsidRPr="00800D1B" w:rsidRDefault="00623E14" w:rsidP="00E04517">
            <w:pPr>
              <w:spacing w:before="100" w:after="100"/>
              <w:ind w:left="-72"/>
              <w:rPr>
                <w:color w:val="000000"/>
                <w:sz w:val="20"/>
                <w:lang w:val="sv-SE"/>
              </w:rPr>
            </w:pPr>
            <w:r w:rsidRPr="00800D1B">
              <w:rPr>
                <w:color w:val="000000"/>
                <w:sz w:val="20"/>
                <w:lang w:val="sv-SE"/>
              </w:rPr>
              <w:t>RSO1.3</w:t>
            </w:r>
          </w:p>
        </w:tc>
        <w:tc>
          <w:tcPr>
            <w:tcW w:w="0" w:type="auto"/>
          </w:tcPr>
          <w:p w14:paraId="2D065D60" w14:textId="77777777" w:rsidR="00A77B3E" w:rsidRPr="00800D1B" w:rsidRDefault="00623E14" w:rsidP="00E04517">
            <w:pPr>
              <w:spacing w:before="100" w:after="100"/>
              <w:ind w:left="-72"/>
              <w:rPr>
                <w:color w:val="000000"/>
                <w:sz w:val="20"/>
                <w:lang w:val="sv-SE"/>
              </w:rPr>
            </w:pPr>
            <w:r w:rsidRPr="00800D1B">
              <w:rPr>
                <w:color w:val="000000"/>
                <w:sz w:val="20"/>
                <w:lang w:val="sv-SE"/>
              </w:rPr>
              <w:t>Eruf</w:t>
            </w:r>
          </w:p>
        </w:tc>
        <w:tc>
          <w:tcPr>
            <w:tcW w:w="0" w:type="auto"/>
          </w:tcPr>
          <w:p w14:paraId="2D065D61" w14:textId="77777777" w:rsidR="00A77B3E" w:rsidRPr="00800D1B" w:rsidRDefault="00623E14" w:rsidP="00E04517">
            <w:pPr>
              <w:spacing w:before="100" w:after="100"/>
              <w:ind w:left="-72"/>
              <w:rPr>
                <w:color w:val="000000"/>
                <w:sz w:val="20"/>
                <w:lang w:val="sv-SE"/>
              </w:rPr>
            </w:pPr>
            <w:r w:rsidRPr="00800D1B">
              <w:rPr>
                <w:color w:val="000000"/>
                <w:sz w:val="20"/>
                <w:lang w:val="sv-SE"/>
              </w:rPr>
              <w:t>Mer utvecklade regioner</w:t>
            </w:r>
          </w:p>
        </w:tc>
        <w:tc>
          <w:tcPr>
            <w:tcW w:w="0" w:type="auto"/>
          </w:tcPr>
          <w:p w14:paraId="2D065D62" w14:textId="77777777" w:rsidR="00A77B3E" w:rsidRPr="00800D1B" w:rsidRDefault="00623E14" w:rsidP="00E04517">
            <w:pPr>
              <w:spacing w:before="100" w:after="100"/>
              <w:ind w:left="-72"/>
              <w:rPr>
                <w:color w:val="000000"/>
                <w:sz w:val="20"/>
                <w:lang w:val="sv-SE"/>
              </w:rPr>
            </w:pPr>
            <w:r w:rsidRPr="00800D1B">
              <w:rPr>
                <w:color w:val="000000"/>
                <w:sz w:val="20"/>
                <w:lang w:val="sv-SE"/>
              </w:rPr>
              <w:t>02. Stöd genom finansieringsinstrument: eget kapital eller kapital likställt med eget kapital</w:t>
            </w:r>
          </w:p>
        </w:tc>
        <w:tc>
          <w:tcPr>
            <w:tcW w:w="0" w:type="auto"/>
          </w:tcPr>
          <w:p w14:paraId="2D065D63" w14:textId="77777777" w:rsidR="00A77B3E" w:rsidRPr="00800D1B" w:rsidRDefault="00623E14" w:rsidP="00E04517">
            <w:pPr>
              <w:spacing w:before="100" w:after="100"/>
              <w:ind w:left="-72"/>
              <w:jc w:val="right"/>
              <w:rPr>
                <w:color w:val="000000"/>
                <w:sz w:val="20"/>
                <w:lang w:val="sv-SE"/>
              </w:rPr>
            </w:pPr>
            <w:r w:rsidRPr="00800D1B">
              <w:rPr>
                <w:color w:val="000000"/>
                <w:sz w:val="20"/>
                <w:lang w:val="sv-SE"/>
              </w:rPr>
              <w:t>4 516 129,00</w:t>
            </w:r>
          </w:p>
        </w:tc>
      </w:tr>
      <w:tr w:rsidR="003422DB" w:rsidRPr="00800D1B" w14:paraId="2D065D6B" w14:textId="77777777" w:rsidTr="00E04517">
        <w:tc>
          <w:tcPr>
            <w:tcW w:w="0" w:type="auto"/>
          </w:tcPr>
          <w:p w14:paraId="2D065D65" w14:textId="77777777" w:rsidR="00A77B3E" w:rsidRPr="00800D1B" w:rsidRDefault="00623E14" w:rsidP="00E04517">
            <w:pPr>
              <w:spacing w:before="100" w:after="100"/>
              <w:ind w:left="-72"/>
              <w:rPr>
                <w:color w:val="000000"/>
                <w:sz w:val="20"/>
                <w:lang w:val="sv-SE"/>
              </w:rPr>
            </w:pPr>
            <w:r w:rsidRPr="00800D1B">
              <w:rPr>
                <w:color w:val="000000"/>
                <w:sz w:val="20"/>
                <w:lang w:val="sv-SE"/>
              </w:rPr>
              <w:t>3</w:t>
            </w:r>
          </w:p>
        </w:tc>
        <w:tc>
          <w:tcPr>
            <w:tcW w:w="0" w:type="auto"/>
          </w:tcPr>
          <w:p w14:paraId="2D065D66" w14:textId="77777777" w:rsidR="00A77B3E" w:rsidRPr="00800D1B" w:rsidRDefault="00623E14" w:rsidP="00E04517">
            <w:pPr>
              <w:spacing w:before="100" w:after="100"/>
              <w:ind w:left="-72"/>
              <w:rPr>
                <w:color w:val="000000"/>
                <w:sz w:val="20"/>
                <w:lang w:val="sv-SE"/>
              </w:rPr>
            </w:pPr>
            <w:r w:rsidRPr="00800D1B">
              <w:rPr>
                <w:color w:val="000000"/>
                <w:sz w:val="20"/>
                <w:lang w:val="sv-SE"/>
              </w:rPr>
              <w:t>RSO1.3</w:t>
            </w:r>
          </w:p>
        </w:tc>
        <w:tc>
          <w:tcPr>
            <w:tcW w:w="0" w:type="auto"/>
          </w:tcPr>
          <w:p w14:paraId="2D065D67" w14:textId="77777777" w:rsidR="00A77B3E" w:rsidRPr="00800D1B" w:rsidRDefault="00623E14" w:rsidP="00E04517">
            <w:pPr>
              <w:spacing w:before="100" w:after="100"/>
              <w:ind w:left="-72"/>
              <w:rPr>
                <w:color w:val="000000"/>
                <w:sz w:val="20"/>
                <w:lang w:val="sv-SE"/>
              </w:rPr>
            </w:pPr>
            <w:r w:rsidRPr="00800D1B">
              <w:rPr>
                <w:color w:val="000000"/>
                <w:sz w:val="20"/>
                <w:lang w:val="sv-SE"/>
              </w:rPr>
              <w:t>Eruf</w:t>
            </w:r>
          </w:p>
        </w:tc>
        <w:tc>
          <w:tcPr>
            <w:tcW w:w="0" w:type="auto"/>
          </w:tcPr>
          <w:p w14:paraId="2D065D68" w14:textId="77777777" w:rsidR="00A77B3E" w:rsidRPr="00800D1B" w:rsidRDefault="00623E14" w:rsidP="00E04517">
            <w:pPr>
              <w:spacing w:before="100" w:after="100"/>
              <w:ind w:left="-72"/>
              <w:rPr>
                <w:color w:val="000000"/>
                <w:sz w:val="20"/>
                <w:lang w:val="sv-SE"/>
              </w:rPr>
            </w:pPr>
            <w:r w:rsidRPr="00800D1B">
              <w:rPr>
                <w:color w:val="000000"/>
                <w:sz w:val="20"/>
                <w:lang w:val="sv-SE"/>
              </w:rPr>
              <w:t>De yttersta randområdena eller de nordliga glesbefolkade områdena</w:t>
            </w:r>
          </w:p>
        </w:tc>
        <w:tc>
          <w:tcPr>
            <w:tcW w:w="0" w:type="auto"/>
          </w:tcPr>
          <w:p w14:paraId="2D065D69" w14:textId="77777777" w:rsidR="00A77B3E" w:rsidRPr="00800D1B" w:rsidRDefault="00623E14" w:rsidP="00E04517">
            <w:pPr>
              <w:spacing w:before="100" w:after="100"/>
              <w:ind w:left="-72"/>
              <w:rPr>
                <w:color w:val="000000"/>
                <w:sz w:val="20"/>
                <w:lang w:val="sv-SE"/>
              </w:rPr>
            </w:pPr>
            <w:r w:rsidRPr="00800D1B">
              <w:rPr>
                <w:color w:val="000000"/>
                <w:sz w:val="20"/>
                <w:lang w:val="sv-SE"/>
              </w:rPr>
              <w:t>01. Bevilja</w:t>
            </w:r>
          </w:p>
        </w:tc>
        <w:tc>
          <w:tcPr>
            <w:tcW w:w="0" w:type="auto"/>
          </w:tcPr>
          <w:p w14:paraId="2D065D6A" w14:textId="77777777" w:rsidR="00A77B3E" w:rsidRPr="00800D1B" w:rsidRDefault="00623E14" w:rsidP="00E04517">
            <w:pPr>
              <w:spacing w:before="100" w:after="100"/>
              <w:ind w:left="-72"/>
              <w:jc w:val="right"/>
              <w:rPr>
                <w:color w:val="000000"/>
                <w:sz w:val="20"/>
                <w:lang w:val="sv-SE"/>
              </w:rPr>
            </w:pPr>
            <w:r w:rsidRPr="00800D1B">
              <w:rPr>
                <w:color w:val="000000"/>
                <w:sz w:val="20"/>
                <w:lang w:val="sv-SE"/>
              </w:rPr>
              <w:t>25 453 706,00</w:t>
            </w:r>
          </w:p>
        </w:tc>
      </w:tr>
      <w:tr w:rsidR="003422DB" w:rsidRPr="00800D1B" w14:paraId="2D065D72" w14:textId="77777777" w:rsidTr="00E04517">
        <w:tc>
          <w:tcPr>
            <w:tcW w:w="0" w:type="auto"/>
          </w:tcPr>
          <w:p w14:paraId="2D065D6C" w14:textId="77777777" w:rsidR="00A77B3E" w:rsidRPr="00800D1B" w:rsidRDefault="00623E14" w:rsidP="00E04517">
            <w:pPr>
              <w:spacing w:before="100" w:after="100"/>
              <w:ind w:left="-72"/>
              <w:rPr>
                <w:color w:val="000000"/>
                <w:sz w:val="20"/>
                <w:lang w:val="sv-SE"/>
              </w:rPr>
            </w:pPr>
            <w:r w:rsidRPr="00800D1B">
              <w:rPr>
                <w:color w:val="000000"/>
                <w:sz w:val="20"/>
                <w:lang w:val="sv-SE"/>
              </w:rPr>
              <w:t>3</w:t>
            </w:r>
          </w:p>
        </w:tc>
        <w:tc>
          <w:tcPr>
            <w:tcW w:w="0" w:type="auto"/>
          </w:tcPr>
          <w:p w14:paraId="2D065D6D" w14:textId="77777777" w:rsidR="00A77B3E" w:rsidRPr="00800D1B" w:rsidRDefault="00623E14" w:rsidP="00E04517">
            <w:pPr>
              <w:spacing w:before="100" w:after="100"/>
              <w:ind w:left="-72"/>
              <w:rPr>
                <w:color w:val="000000"/>
                <w:sz w:val="20"/>
                <w:lang w:val="sv-SE"/>
              </w:rPr>
            </w:pPr>
            <w:r w:rsidRPr="00800D1B">
              <w:rPr>
                <w:color w:val="000000"/>
                <w:sz w:val="20"/>
                <w:lang w:val="sv-SE"/>
              </w:rPr>
              <w:t>RSO1.3</w:t>
            </w:r>
          </w:p>
        </w:tc>
        <w:tc>
          <w:tcPr>
            <w:tcW w:w="0" w:type="auto"/>
          </w:tcPr>
          <w:p w14:paraId="2D065D6E" w14:textId="77777777" w:rsidR="00A77B3E" w:rsidRPr="00800D1B" w:rsidRDefault="00623E14" w:rsidP="00E04517">
            <w:pPr>
              <w:spacing w:before="100" w:after="100"/>
              <w:ind w:left="-72"/>
              <w:rPr>
                <w:color w:val="000000"/>
                <w:sz w:val="20"/>
                <w:lang w:val="sv-SE"/>
              </w:rPr>
            </w:pPr>
            <w:r w:rsidRPr="00800D1B">
              <w:rPr>
                <w:color w:val="000000"/>
                <w:sz w:val="20"/>
                <w:lang w:val="sv-SE"/>
              </w:rPr>
              <w:t>Eruf</w:t>
            </w:r>
          </w:p>
        </w:tc>
        <w:tc>
          <w:tcPr>
            <w:tcW w:w="0" w:type="auto"/>
          </w:tcPr>
          <w:p w14:paraId="2D065D6F" w14:textId="77777777" w:rsidR="00A77B3E" w:rsidRPr="00800D1B" w:rsidRDefault="00623E14" w:rsidP="00E04517">
            <w:pPr>
              <w:spacing w:before="100" w:after="100"/>
              <w:ind w:left="-72"/>
              <w:rPr>
                <w:color w:val="000000"/>
                <w:sz w:val="20"/>
                <w:lang w:val="sv-SE"/>
              </w:rPr>
            </w:pPr>
            <w:r w:rsidRPr="00800D1B">
              <w:rPr>
                <w:color w:val="000000"/>
                <w:sz w:val="20"/>
                <w:lang w:val="sv-SE"/>
              </w:rPr>
              <w:t>De yttersta randområdena eller de nordliga glesbefolkade områdena</w:t>
            </w:r>
          </w:p>
        </w:tc>
        <w:tc>
          <w:tcPr>
            <w:tcW w:w="0" w:type="auto"/>
          </w:tcPr>
          <w:p w14:paraId="2D065D70" w14:textId="77777777" w:rsidR="00A77B3E" w:rsidRPr="00800D1B" w:rsidRDefault="00623E14" w:rsidP="00E04517">
            <w:pPr>
              <w:spacing w:before="100" w:after="100"/>
              <w:ind w:left="-72"/>
              <w:rPr>
                <w:color w:val="000000"/>
                <w:sz w:val="20"/>
                <w:lang w:val="sv-SE"/>
              </w:rPr>
            </w:pPr>
            <w:r w:rsidRPr="00800D1B">
              <w:rPr>
                <w:color w:val="000000"/>
                <w:sz w:val="20"/>
                <w:lang w:val="sv-SE"/>
              </w:rPr>
              <w:t>02. Stöd genom finansieringsinstrument: eget kapital eller kapital likställt med eget kapital</w:t>
            </w:r>
          </w:p>
        </w:tc>
        <w:tc>
          <w:tcPr>
            <w:tcW w:w="0" w:type="auto"/>
          </w:tcPr>
          <w:p w14:paraId="2D065D71" w14:textId="77777777" w:rsidR="00A77B3E" w:rsidRPr="00800D1B" w:rsidRDefault="00623E14" w:rsidP="00E04517">
            <w:pPr>
              <w:spacing w:before="100" w:after="100"/>
              <w:ind w:left="-72"/>
              <w:jc w:val="right"/>
              <w:rPr>
                <w:color w:val="000000"/>
                <w:sz w:val="20"/>
                <w:lang w:val="sv-SE"/>
              </w:rPr>
            </w:pPr>
            <w:r w:rsidRPr="00800D1B">
              <w:rPr>
                <w:color w:val="000000"/>
                <w:sz w:val="20"/>
                <w:lang w:val="sv-SE"/>
              </w:rPr>
              <w:t>3 010 753,00</w:t>
            </w:r>
          </w:p>
        </w:tc>
      </w:tr>
      <w:tr w:rsidR="003422DB" w:rsidRPr="00800D1B" w14:paraId="2D065D79" w14:textId="77777777" w:rsidTr="00E04517">
        <w:tc>
          <w:tcPr>
            <w:tcW w:w="0" w:type="auto"/>
          </w:tcPr>
          <w:p w14:paraId="2D065D73" w14:textId="77777777" w:rsidR="00A77B3E" w:rsidRPr="00800D1B" w:rsidRDefault="00623E14" w:rsidP="00E04517">
            <w:pPr>
              <w:spacing w:before="100" w:after="100"/>
              <w:ind w:left="-72"/>
              <w:rPr>
                <w:color w:val="000000"/>
                <w:sz w:val="20"/>
                <w:lang w:val="sv-SE"/>
              </w:rPr>
            </w:pPr>
            <w:r w:rsidRPr="00800D1B">
              <w:rPr>
                <w:color w:val="000000"/>
                <w:sz w:val="20"/>
                <w:lang w:val="sv-SE"/>
              </w:rPr>
              <w:t>3</w:t>
            </w:r>
          </w:p>
        </w:tc>
        <w:tc>
          <w:tcPr>
            <w:tcW w:w="0" w:type="auto"/>
          </w:tcPr>
          <w:p w14:paraId="2D065D74" w14:textId="77777777" w:rsidR="00A77B3E" w:rsidRPr="00800D1B" w:rsidRDefault="00623E14" w:rsidP="00E04517">
            <w:pPr>
              <w:spacing w:before="100" w:after="100"/>
              <w:ind w:left="-72"/>
              <w:rPr>
                <w:color w:val="000000"/>
                <w:sz w:val="20"/>
                <w:lang w:val="sv-SE"/>
              </w:rPr>
            </w:pPr>
            <w:r w:rsidRPr="00800D1B">
              <w:rPr>
                <w:color w:val="000000"/>
                <w:sz w:val="20"/>
                <w:lang w:val="sv-SE"/>
              </w:rPr>
              <w:t>RSO1.3</w:t>
            </w:r>
          </w:p>
        </w:tc>
        <w:tc>
          <w:tcPr>
            <w:tcW w:w="0" w:type="auto"/>
          </w:tcPr>
          <w:p w14:paraId="2D065D75" w14:textId="77777777" w:rsidR="00A77B3E" w:rsidRPr="00800D1B" w:rsidRDefault="00623E14" w:rsidP="00E04517">
            <w:pPr>
              <w:spacing w:before="100" w:after="100"/>
              <w:ind w:left="-72"/>
              <w:rPr>
                <w:color w:val="000000"/>
                <w:sz w:val="20"/>
                <w:lang w:val="sv-SE"/>
              </w:rPr>
            </w:pPr>
            <w:r w:rsidRPr="00800D1B">
              <w:rPr>
                <w:color w:val="000000"/>
                <w:sz w:val="20"/>
                <w:lang w:val="sv-SE"/>
              </w:rPr>
              <w:t>Totalt</w:t>
            </w:r>
          </w:p>
        </w:tc>
        <w:tc>
          <w:tcPr>
            <w:tcW w:w="0" w:type="auto"/>
          </w:tcPr>
          <w:p w14:paraId="2D065D76" w14:textId="77777777" w:rsidR="00A77B3E" w:rsidRPr="00800D1B" w:rsidRDefault="00A77B3E" w:rsidP="00E04517">
            <w:pPr>
              <w:spacing w:before="100" w:after="100"/>
              <w:ind w:left="-72"/>
              <w:rPr>
                <w:color w:val="000000"/>
                <w:sz w:val="20"/>
                <w:lang w:val="sv-SE"/>
              </w:rPr>
            </w:pPr>
          </w:p>
        </w:tc>
        <w:tc>
          <w:tcPr>
            <w:tcW w:w="0" w:type="auto"/>
          </w:tcPr>
          <w:p w14:paraId="2D065D77" w14:textId="77777777" w:rsidR="00A77B3E" w:rsidRPr="00800D1B" w:rsidRDefault="00A77B3E" w:rsidP="00E04517">
            <w:pPr>
              <w:spacing w:before="100" w:after="100"/>
              <w:ind w:left="-72"/>
              <w:rPr>
                <w:color w:val="000000"/>
                <w:sz w:val="20"/>
                <w:lang w:val="sv-SE"/>
              </w:rPr>
            </w:pPr>
          </w:p>
        </w:tc>
        <w:tc>
          <w:tcPr>
            <w:tcW w:w="0" w:type="auto"/>
          </w:tcPr>
          <w:p w14:paraId="2D065D78" w14:textId="77777777" w:rsidR="00A77B3E" w:rsidRPr="00800D1B" w:rsidRDefault="00623E14" w:rsidP="00E04517">
            <w:pPr>
              <w:spacing w:before="100" w:after="100"/>
              <w:ind w:left="-72"/>
              <w:jc w:val="right"/>
              <w:rPr>
                <w:color w:val="000000"/>
                <w:sz w:val="20"/>
                <w:lang w:val="sv-SE"/>
              </w:rPr>
            </w:pPr>
            <w:r w:rsidRPr="00800D1B">
              <w:rPr>
                <w:color w:val="000000"/>
                <w:sz w:val="20"/>
                <w:lang w:val="sv-SE"/>
              </w:rPr>
              <w:t>47 815 831,00</w:t>
            </w:r>
          </w:p>
        </w:tc>
      </w:tr>
    </w:tbl>
    <w:p w14:paraId="2D065D7B" w14:textId="70581C5F" w:rsidR="00A77B3E" w:rsidRPr="00800D1B" w:rsidRDefault="00623E14" w:rsidP="00431BFA">
      <w:pPr>
        <w:spacing w:before="300" w:after="100"/>
        <w:rPr>
          <w:lang w:val="sv-SE"/>
        </w:rPr>
      </w:pPr>
      <w:bookmarkStart w:id="72" w:name="_Toc256000313"/>
      <w:r w:rsidRPr="00800D1B">
        <w:rPr>
          <w:lang w:val="sv-SE"/>
        </w:rPr>
        <w:t>Tabell 6: Dimension 3 – territoriell genomförandemetod och territoriellt fokus</w:t>
      </w:r>
      <w:bookmarkEnd w:id="72"/>
    </w:p>
    <w:p w14:paraId="2D065D7C" w14:textId="77777777" w:rsidR="00A77B3E" w:rsidRPr="00800D1B" w:rsidRDefault="00A77B3E">
      <w:pPr>
        <w:spacing w:before="100"/>
        <w:rPr>
          <w:color w:val="000000"/>
          <w:sz w:val="0"/>
          <w:lang w:val="sv-SE"/>
        </w:rPr>
      </w:pPr>
    </w:p>
    <w:tbl>
      <w:tblPr>
        <w:tblStyle w:val="Tabellrutnt"/>
        <w:tblW w:w="5000" w:type="pct"/>
        <w:tblLook w:val="04A0" w:firstRow="1" w:lastRow="0" w:firstColumn="1" w:lastColumn="0" w:noHBand="0" w:noVBand="1"/>
        <w:tblDescription w:val="En tabell med sex kolumner: Prioritering; Specifikt mål; Fond; Regionkategori; Kod; Belopp (euro). Tabellen visar information om territoriell genomförandemetod och territoriellt fokus."/>
      </w:tblPr>
      <w:tblGrid>
        <w:gridCol w:w="1199"/>
        <w:gridCol w:w="1353"/>
        <w:gridCol w:w="742"/>
        <w:gridCol w:w="5827"/>
        <w:gridCol w:w="4618"/>
        <w:gridCol w:w="1433"/>
      </w:tblGrid>
      <w:tr w:rsidR="003422DB" w:rsidRPr="00800D1B" w14:paraId="2D065D83" w14:textId="77777777" w:rsidTr="00547E58">
        <w:tc>
          <w:tcPr>
            <w:tcW w:w="0" w:type="auto"/>
          </w:tcPr>
          <w:p w14:paraId="2D065D7D" w14:textId="77777777" w:rsidR="00A77B3E" w:rsidRPr="00800D1B" w:rsidRDefault="00623E14" w:rsidP="00547E58">
            <w:pPr>
              <w:spacing w:before="100" w:after="100"/>
              <w:ind w:left="-72"/>
              <w:jc w:val="center"/>
              <w:rPr>
                <w:color w:val="000000"/>
                <w:sz w:val="20"/>
                <w:lang w:val="sv-SE"/>
              </w:rPr>
            </w:pPr>
            <w:r w:rsidRPr="00800D1B">
              <w:rPr>
                <w:color w:val="000000"/>
                <w:sz w:val="20"/>
                <w:lang w:val="sv-SE"/>
              </w:rPr>
              <w:t>Prioritering</w:t>
            </w:r>
          </w:p>
        </w:tc>
        <w:tc>
          <w:tcPr>
            <w:tcW w:w="0" w:type="auto"/>
          </w:tcPr>
          <w:p w14:paraId="2D065D7E" w14:textId="77777777" w:rsidR="00A77B3E" w:rsidRPr="00800D1B" w:rsidRDefault="00623E14" w:rsidP="00547E58">
            <w:pPr>
              <w:spacing w:before="100" w:after="100"/>
              <w:ind w:left="-72"/>
              <w:jc w:val="center"/>
              <w:rPr>
                <w:color w:val="000000"/>
                <w:sz w:val="20"/>
                <w:lang w:val="sv-SE"/>
              </w:rPr>
            </w:pPr>
            <w:r w:rsidRPr="00800D1B">
              <w:rPr>
                <w:color w:val="000000"/>
                <w:sz w:val="20"/>
                <w:lang w:val="sv-SE"/>
              </w:rPr>
              <w:t>Specifikt mål</w:t>
            </w:r>
          </w:p>
        </w:tc>
        <w:tc>
          <w:tcPr>
            <w:tcW w:w="0" w:type="auto"/>
          </w:tcPr>
          <w:p w14:paraId="2D065D7F" w14:textId="77777777" w:rsidR="00A77B3E" w:rsidRPr="00800D1B" w:rsidRDefault="00623E14" w:rsidP="00547E58">
            <w:pPr>
              <w:spacing w:before="100" w:after="100"/>
              <w:ind w:left="-72"/>
              <w:jc w:val="center"/>
              <w:rPr>
                <w:color w:val="000000"/>
                <w:sz w:val="20"/>
                <w:lang w:val="sv-SE"/>
              </w:rPr>
            </w:pPr>
            <w:r w:rsidRPr="00800D1B">
              <w:rPr>
                <w:color w:val="000000"/>
                <w:sz w:val="20"/>
                <w:lang w:val="sv-SE"/>
              </w:rPr>
              <w:t>Fond</w:t>
            </w:r>
          </w:p>
        </w:tc>
        <w:tc>
          <w:tcPr>
            <w:tcW w:w="0" w:type="auto"/>
          </w:tcPr>
          <w:p w14:paraId="2D065D80" w14:textId="77777777" w:rsidR="00A77B3E" w:rsidRPr="00800D1B" w:rsidRDefault="00623E14" w:rsidP="00547E58">
            <w:pPr>
              <w:spacing w:before="100" w:after="100"/>
              <w:ind w:left="-72"/>
              <w:jc w:val="center"/>
              <w:rPr>
                <w:color w:val="000000"/>
                <w:sz w:val="20"/>
                <w:lang w:val="sv-SE"/>
              </w:rPr>
            </w:pPr>
            <w:r w:rsidRPr="00800D1B">
              <w:rPr>
                <w:color w:val="000000"/>
                <w:sz w:val="20"/>
                <w:lang w:val="sv-SE"/>
              </w:rPr>
              <w:t>Regionkategori</w:t>
            </w:r>
          </w:p>
        </w:tc>
        <w:tc>
          <w:tcPr>
            <w:tcW w:w="0" w:type="auto"/>
          </w:tcPr>
          <w:p w14:paraId="2D065D81" w14:textId="77777777" w:rsidR="00A77B3E" w:rsidRPr="00800D1B" w:rsidRDefault="00623E14" w:rsidP="00547E58">
            <w:pPr>
              <w:spacing w:before="100" w:after="100"/>
              <w:ind w:left="-72"/>
              <w:jc w:val="center"/>
              <w:rPr>
                <w:color w:val="000000"/>
                <w:sz w:val="20"/>
                <w:lang w:val="sv-SE"/>
              </w:rPr>
            </w:pPr>
            <w:r w:rsidRPr="00800D1B">
              <w:rPr>
                <w:color w:val="000000"/>
                <w:sz w:val="20"/>
                <w:lang w:val="sv-SE"/>
              </w:rPr>
              <w:t>Kod</w:t>
            </w:r>
          </w:p>
        </w:tc>
        <w:tc>
          <w:tcPr>
            <w:tcW w:w="0" w:type="auto"/>
          </w:tcPr>
          <w:p w14:paraId="2D065D82" w14:textId="77777777" w:rsidR="00A77B3E" w:rsidRPr="00800D1B" w:rsidRDefault="00623E14" w:rsidP="00547E58">
            <w:pPr>
              <w:spacing w:before="100" w:after="100"/>
              <w:ind w:left="-72"/>
              <w:jc w:val="center"/>
              <w:rPr>
                <w:color w:val="000000"/>
                <w:sz w:val="20"/>
                <w:lang w:val="sv-SE"/>
              </w:rPr>
            </w:pPr>
            <w:r w:rsidRPr="00800D1B">
              <w:rPr>
                <w:color w:val="000000"/>
                <w:sz w:val="20"/>
                <w:lang w:val="sv-SE"/>
              </w:rPr>
              <w:t>Belopp (euro)</w:t>
            </w:r>
          </w:p>
        </w:tc>
      </w:tr>
      <w:tr w:rsidR="003422DB" w:rsidRPr="00800D1B" w14:paraId="2D065D8A" w14:textId="77777777" w:rsidTr="00547E58">
        <w:tc>
          <w:tcPr>
            <w:tcW w:w="0" w:type="auto"/>
          </w:tcPr>
          <w:p w14:paraId="2D065D84" w14:textId="77777777" w:rsidR="00A77B3E" w:rsidRPr="00800D1B" w:rsidRDefault="00623E14" w:rsidP="00547E58">
            <w:pPr>
              <w:spacing w:before="100" w:after="100"/>
              <w:ind w:left="-72"/>
              <w:rPr>
                <w:color w:val="000000"/>
                <w:sz w:val="20"/>
                <w:lang w:val="sv-SE"/>
              </w:rPr>
            </w:pPr>
            <w:r w:rsidRPr="00800D1B">
              <w:rPr>
                <w:color w:val="000000"/>
                <w:sz w:val="20"/>
                <w:lang w:val="sv-SE"/>
              </w:rPr>
              <w:t>3</w:t>
            </w:r>
          </w:p>
        </w:tc>
        <w:tc>
          <w:tcPr>
            <w:tcW w:w="0" w:type="auto"/>
          </w:tcPr>
          <w:p w14:paraId="2D065D85" w14:textId="77777777" w:rsidR="00A77B3E" w:rsidRPr="00800D1B" w:rsidRDefault="00623E14" w:rsidP="00547E58">
            <w:pPr>
              <w:spacing w:before="100" w:after="100"/>
              <w:ind w:left="-72"/>
              <w:rPr>
                <w:color w:val="000000"/>
                <w:sz w:val="20"/>
                <w:lang w:val="sv-SE"/>
              </w:rPr>
            </w:pPr>
            <w:r w:rsidRPr="00800D1B">
              <w:rPr>
                <w:color w:val="000000"/>
                <w:sz w:val="20"/>
                <w:lang w:val="sv-SE"/>
              </w:rPr>
              <w:t>RSO1.3</w:t>
            </w:r>
          </w:p>
        </w:tc>
        <w:tc>
          <w:tcPr>
            <w:tcW w:w="0" w:type="auto"/>
          </w:tcPr>
          <w:p w14:paraId="2D065D86" w14:textId="77777777" w:rsidR="00A77B3E" w:rsidRPr="00800D1B" w:rsidRDefault="00623E14" w:rsidP="00547E58">
            <w:pPr>
              <w:spacing w:before="100" w:after="100"/>
              <w:ind w:left="-72"/>
              <w:rPr>
                <w:color w:val="000000"/>
                <w:sz w:val="20"/>
                <w:lang w:val="sv-SE"/>
              </w:rPr>
            </w:pPr>
            <w:r w:rsidRPr="00800D1B">
              <w:rPr>
                <w:color w:val="000000"/>
                <w:sz w:val="20"/>
                <w:lang w:val="sv-SE"/>
              </w:rPr>
              <w:t>Eruf</w:t>
            </w:r>
          </w:p>
        </w:tc>
        <w:tc>
          <w:tcPr>
            <w:tcW w:w="0" w:type="auto"/>
          </w:tcPr>
          <w:p w14:paraId="2D065D87" w14:textId="77777777" w:rsidR="00A77B3E" w:rsidRPr="00800D1B" w:rsidRDefault="00623E14" w:rsidP="00547E58">
            <w:pPr>
              <w:spacing w:before="100" w:after="100"/>
              <w:ind w:left="-72"/>
              <w:rPr>
                <w:color w:val="000000"/>
                <w:sz w:val="20"/>
                <w:lang w:val="sv-SE"/>
              </w:rPr>
            </w:pPr>
            <w:r w:rsidRPr="00800D1B">
              <w:rPr>
                <w:color w:val="000000"/>
                <w:sz w:val="20"/>
                <w:lang w:val="sv-SE"/>
              </w:rPr>
              <w:t>Mer utvecklade regioner</w:t>
            </w:r>
          </w:p>
        </w:tc>
        <w:tc>
          <w:tcPr>
            <w:tcW w:w="0" w:type="auto"/>
          </w:tcPr>
          <w:p w14:paraId="2D065D88" w14:textId="77777777" w:rsidR="00A77B3E" w:rsidRPr="00800D1B" w:rsidRDefault="00623E14" w:rsidP="00547E58">
            <w:pPr>
              <w:spacing w:before="100" w:after="100"/>
              <w:ind w:left="-72"/>
              <w:rPr>
                <w:color w:val="000000"/>
                <w:sz w:val="20"/>
                <w:lang w:val="sv-SE"/>
              </w:rPr>
            </w:pPr>
            <w:r w:rsidRPr="00800D1B">
              <w:rPr>
                <w:color w:val="000000"/>
                <w:sz w:val="20"/>
                <w:lang w:val="sv-SE"/>
              </w:rPr>
              <w:t>33. Andra strategier – Ingen territoriell målinriktning</w:t>
            </w:r>
          </w:p>
        </w:tc>
        <w:tc>
          <w:tcPr>
            <w:tcW w:w="0" w:type="auto"/>
          </w:tcPr>
          <w:p w14:paraId="2D065D89" w14:textId="77777777" w:rsidR="00A77B3E" w:rsidRPr="00800D1B" w:rsidRDefault="00623E14" w:rsidP="00547E58">
            <w:pPr>
              <w:spacing w:before="100" w:after="100"/>
              <w:ind w:left="-72"/>
              <w:jc w:val="right"/>
              <w:rPr>
                <w:color w:val="000000"/>
                <w:sz w:val="20"/>
                <w:lang w:val="sv-SE"/>
              </w:rPr>
            </w:pPr>
            <w:r w:rsidRPr="00800D1B">
              <w:rPr>
                <w:color w:val="000000"/>
                <w:sz w:val="20"/>
                <w:lang w:val="sv-SE"/>
              </w:rPr>
              <w:t>19 351 372,00</w:t>
            </w:r>
          </w:p>
        </w:tc>
      </w:tr>
      <w:tr w:rsidR="003422DB" w:rsidRPr="00800D1B" w14:paraId="2D065D91" w14:textId="77777777" w:rsidTr="00547E58">
        <w:tc>
          <w:tcPr>
            <w:tcW w:w="0" w:type="auto"/>
          </w:tcPr>
          <w:p w14:paraId="2D065D8B" w14:textId="77777777" w:rsidR="00A77B3E" w:rsidRPr="00800D1B" w:rsidRDefault="00623E14" w:rsidP="00547E58">
            <w:pPr>
              <w:spacing w:before="100" w:after="100"/>
              <w:ind w:left="-72"/>
              <w:rPr>
                <w:color w:val="000000"/>
                <w:sz w:val="20"/>
                <w:lang w:val="sv-SE"/>
              </w:rPr>
            </w:pPr>
            <w:r w:rsidRPr="00800D1B">
              <w:rPr>
                <w:color w:val="000000"/>
                <w:sz w:val="20"/>
                <w:lang w:val="sv-SE"/>
              </w:rPr>
              <w:t>3</w:t>
            </w:r>
          </w:p>
        </w:tc>
        <w:tc>
          <w:tcPr>
            <w:tcW w:w="0" w:type="auto"/>
          </w:tcPr>
          <w:p w14:paraId="2D065D8C" w14:textId="77777777" w:rsidR="00A77B3E" w:rsidRPr="00800D1B" w:rsidRDefault="00623E14" w:rsidP="00547E58">
            <w:pPr>
              <w:spacing w:before="100" w:after="100"/>
              <w:ind w:left="-72"/>
              <w:rPr>
                <w:color w:val="000000"/>
                <w:sz w:val="20"/>
                <w:lang w:val="sv-SE"/>
              </w:rPr>
            </w:pPr>
            <w:r w:rsidRPr="00800D1B">
              <w:rPr>
                <w:color w:val="000000"/>
                <w:sz w:val="20"/>
                <w:lang w:val="sv-SE"/>
              </w:rPr>
              <w:t>RSO1.3</w:t>
            </w:r>
          </w:p>
        </w:tc>
        <w:tc>
          <w:tcPr>
            <w:tcW w:w="0" w:type="auto"/>
          </w:tcPr>
          <w:p w14:paraId="2D065D8D" w14:textId="77777777" w:rsidR="00A77B3E" w:rsidRPr="00800D1B" w:rsidRDefault="00623E14" w:rsidP="00547E58">
            <w:pPr>
              <w:spacing w:before="100" w:after="100"/>
              <w:ind w:left="-72"/>
              <w:rPr>
                <w:color w:val="000000"/>
                <w:sz w:val="20"/>
                <w:lang w:val="sv-SE"/>
              </w:rPr>
            </w:pPr>
            <w:r w:rsidRPr="00800D1B">
              <w:rPr>
                <w:color w:val="000000"/>
                <w:sz w:val="20"/>
                <w:lang w:val="sv-SE"/>
              </w:rPr>
              <w:t>Eruf</w:t>
            </w:r>
          </w:p>
        </w:tc>
        <w:tc>
          <w:tcPr>
            <w:tcW w:w="0" w:type="auto"/>
          </w:tcPr>
          <w:p w14:paraId="2D065D8E" w14:textId="77777777" w:rsidR="00A77B3E" w:rsidRPr="00800D1B" w:rsidRDefault="00623E14" w:rsidP="00547E58">
            <w:pPr>
              <w:spacing w:before="100" w:after="100"/>
              <w:ind w:left="-72"/>
              <w:rPr>
                <w:color w:val="000000"/>
                <w:sz w:val="20"/>
                <w:lang w:val="sv-SE"/>
              </w:rPr>
            </w:pPr>
            <w:r w:rsidRPr="00800D1B">
              <w:rPr>
                <w:color w:val="000000"/>
                <w:sz w:val="20"/>
                <w:lang w:val="sv-SE"/>
              </w:rPr>
              <w:t>De yttersta randområdena eller de nordliga glesbefolkade områdena</w:t>
            </w:r>
          </w:p>
        </w:tc>
        <w:tc>
          <w:tcPr>
            <w:tcW w:w="0" w:type="auto"/>
          </w:tcPr>
          <w:p w14:paraId="2D065D8F" w14:textId="77777777" w:rsidR="00A77B3E" w:rsidRPr="00800D1B" w:rsidRDefault="00623E14" w:rsidP="00547E58">
            <w:pPr>
              <w:spacing w:before="100" w:after="100"/>
              <w:ind w:left="-72"/>
              <w:rPr>
                <w:color w:val="000000"/>
                <w:sz w:val="20"/>
                <w:lang w:val="sv-SE"/>
              </w:rPr>
            </w:pPr>
            <w:r w:rsidRPr="00800D1B">
              <w:rPr>
                <w:color w:val="000000"/>
                <w:sz w:val="20"/>
                <w:lang w:val="sv-SE"/>
              </w:rPr>
              <w:t>31. Andra strategier – Glest befolkade områden</w:t>
            </w:r>
          </w:p>
        </w:tc>
        <w:tc>
          <w:tcPr>
            <w:tcW w:w="0" w:type="auto"/>
          </w:tcPr>
          <w:p w14:paraId="2D065D90" w14:textId="77777777" w:rsidR="00A77B3E" w:rsidRPr="00800D1B" w:rsidRDefault="00623E14" w:rsidP="00547E58">
            <w:pPr>
              <w:spacing w:before="100" w:after="100"/>
              <w:ind w:left="-72"/>
              <w:jc w:val="right"/>
              <w:rPr>
                <w:color w:val="000000"/>
                <w:sz w:val="20"/>
                <w:lang w:val="sv-SE"/>
              </w:rPr>
            </w:pPr>
            <w:r w:rsidRPr="00800D1B">
              <w:rPr>
                <w:color w:val="000000"/>
                <w:sz w:val="20"/>
                <w:lang w:val="sv-SE"/>
              </w:rPr>
              <w:t>28 464 459,00</w:t>
            </w:r>
          </w:p>
        </w:tc>
      </w:tr>
      <w:tr w:rsidR="003422DB" w:rsidRPr="00800D1B" w14:paraId="2D065D98" w14:textId="77777777" w:rsidTr="00547E58">
        <w:tc>
          <w:tcPr>
            <w:tcW w:w="0" w:type="auto"/>
          </w:tcPr>
          <w:p w14:paraId="2D065D92" w14:textId="77777777" w:rsidR="00A77B3E" w:rsidRPr="00800D1B" w:rsidRDefault="00623E14" w:rsidP="00547E58">
            <w:pPr>
              <w:spacing w:before="100" w:after="100"/>
              <w:ind w:left="-72"/>
              <w:rPr>
                <w:color w:val="000000"/>
                <w:sz w:val="20"/>
                <w:lang w:val="sv-SE"/>
              </w:rPr>
            </w:pPr>
            <w:r w:rsidRPr="00800D1B">
              <w:rPr>
                <w:color w:val="000000"/>
                <w:sz w:val="20"/>
                <w:lang w:val="sv-SE"/>
              </w:rPr>
              <w:t>3</w:t>
            </w:r>
          </w:p>
        </w:tc>
        <w:tc>
          <w:tcPr>
            <w:tcW w:w="0" w:type="auto"/>
          </w:tcPr>
          <w:p w14:paraId="2D065D93" w14:textId="77777777" w:rsidR="00A77B3E" w:rsidRPr="00800D1B" w:rsidRDefault="00623E14" w:rsidP="00547E58">
            <w:pPr>
              <w:spacing w:before="100" w:after="100"/>
              <w:ind w:left="-72"/>
              <w:rPr>
                <w:color w:val="000000"/>
                <w:sz w:val="20"/>
                <w:lang w:val="sv-SE"/>
              </w:rPr>
            </w:pPr>
            <w:r w:rsidRPr="00800D1B">
              <w:rPr>
                <w:color w:val="000000"/>
                <w:sz w:val="20"/>
                <w:lang w:val="sv-SE"/>
              </w:rPr>
              <w:t>RSO1.3</w:t>
            </w:r>
          </w:p>
        </w:tc>
        <w:tc>
          <w:tcPr>
            <w:tcW w:w="0" w:type="auto"/>
          </w:tcPr>
          <w:p w14:paraId="2D065D94" w14:textId="77777777" w:rsidR="00A77B3E" w:rsidRPr="00800D1B" w:rsidRDefault="00623E14" w:rsidP="00547E58">
            <w:pPr>
              <w:spacing w:before="100" w:after="100"/>
              <w:ind w:left="-72"/>
              <w:rPr>
                <w:color w:val="000000"/>
                <w:sz w:val="20"/>
                <w:lang w:val="sv-SE"/>
              </w:rPr>
            </w:pPr>
            <w:r w:rsidRPr="00800D1B">
              <w:rPr>
                <w:color w:val="000000"/>
                <w:sz w:val="20"/>
                <w:lang w:val="sv-SE"/>
              </w:rPr>
              <w:t>Totalt</w:t>
            </w:r>
          </w:p>
        </w:tc>
        <w:tc>
          <w:tcPr>
            <w:tcW w:w="0" w:type="auto"/>
          </w:tcPr>
          <w:p w14:paraId="2D065D95" w14:textId="77777777" w:rsidR="00A77B3E" w:rsidRPr="00800D1B" w:rsidRDefault="00A77B3E" w:rsidP="00547E58">
            <w:pPr>
              <w:spacing w:before="100" w:after="100"/>
              <w:ind w:left="-72"/>
              <w:rPr>
                <w:color w:val="000000"/>
                <w:sz w:val="20"/>
                <w:lang w:val="sv-SE"/>
              </w:rPr>
            </w:pPr>
          </w:p>
        </w:tc>
        <w:tc>
          <w:tcPr>
            <w:tcW w:w="0" w:type="auto"/>
          </w:tcPr>
          <w:p w14:paraId="2D065D96" w14:textId="77777777" w:rsidR="00A77B3E" w:rsidRPr="00800D1B" w:rsidRDefault="00A77B3E" w:rsidP="00547E58">
            <w:pPr>
              <w:spacing w:before="100" w:after="100"/>
              <w:ind w:left="-72"/>
              <w:rPr>
                <w:color w:val="000000"/>
                <w:sz w:val="20"/>
                <w:lang w:val="sv-SE"/>
              </w:rPr>
            </w:pPr>
          </w:p>
        </w:tc>
        <w:tc>
          <w:tcPr>
            <w:tcW w:w="0" w:type="auto"/>
          </w:tcPr>
          <w:p w14:paraId="2D065D97" w14:textId="77777777" w:rsidR="00A77B3E" w:rsidRPr="00800D1B" w:rsidRDefault="00623E14" w:rsidP="00547E58">
            <w:pPr>
              <w:spacing w:before="100" w:after="100"/>
              <w:ind w:left="-72"/>
              <w:jc w:val="right"/>
              <w:rPr>
                <w:color w:val="000000"/>
                <w:sz w:val="20"/>
                <w:lang w:val="sv-SE"/>
              </w:rPr>
            </w:pPr>
            <w:r w:rsidRPr="00800D1B">
              <w:rPr>
                <w:color w:val="000000"/>
                <w:sz w:val="20"/>
                <w:lang w:val="sv-SE"/>
              </w:rPr>
              <w:t>47 815 831,00</w:t>
            </w:r>
          </w:p>
        </w:tc>
      </w:tr>
    </w:tbl>
    <w:p w14:paraId="2D065D9A" w14:textId="7A6A0D37" w:rsidR="00A77B3E" w:rsidRPr="00800D1B" w:rsidRDefault="00623E14" w:rsidP="00552F60">
      <w:pPr>
        <w:spacing w:before="360" w:after="100"/>
        <w:rPr>
          <w:lang w:val="sv-SE"/>
        </w:rPr>
      </w:pPr>
      <w:bookmarkStart w:id="73" w:name="_Toc256000314"/>
      <w:r w:rsidRPr="00800D1B">
        <w:rPr>
          <w:lang w:val="sv-SE"/>
        </w:rPr>
        <w:t>Tabell 7: Dimension 6 – ESF+-sekundärteman</w:t>
      </w:r>
      <w:bookmarkEnd w:id="73"/>
    </w:p>
    <w:p w14:paraId="2D065D9B" w14:textId="77777777" w:rsidR="00A77B3E" w:rsidRPr="00800D1B" w:rsidRDefault="00A77B3E">
      <w:pPr>
        <w:spacing w:before="100"/>
        <w:rPr>
          <w:color w:val="000000"/>
          <w:sz w:val="0"/>
          <w:lang w:val="sv-SE"/>
        </w:rPr>
      </w:pPr>
    </w:p>
    <w:tbl>
      <w:tblPr>
        <w:tblStyle w:val="Tabellrutnt"/>
        <w:tblW w:w="5000" w:type="pct"/>
        <w:tblLook w:val="04A0" w:firstRow="1" w:lastRow="0" w:firstColumn="1" w:lastColumn="0" w:noHBand="0" w:noVBand="1"/>
        <w:tblDescription w:val="En tabell med sex kolumner: Prioritering; Specifikt mål; Fond; Regionkategori; Kod; Belopp (euro). Tabellen visar information om ESF+-sekundärteman."/>
      </w:tblPr>
      <w:tblGrid>
        <w:gridCol w:w="2696"/>
        <w:gridCol w:w="3040"/>
        <w:gridCol w:w="1516"/>
        <w:gridCol w:w="3415"/>
        <w:gridCol w:w="1361"/>
        <w:gridCol w:w="3144"/>
      </w:tblGrid>
      <w:tr w:rsidR="003422DB" w:rsidRPr="00800D1B" w14:paraId="2D065DA2" w14:textId="77777777" w:rsidTr="00547E58">
        <w:tc>
          <w:tcPr>
            <w:tcW w:w="0" w:type="auto"/>
          </w:tcPr>
          <w:p w14:paraId="2D065D9C" w14:textId="77777777" w:rsidR="00A77B3E" w:rsidRPr="00800D1B" w:rsidRDefault="00623E14" w:rsidP="00547E58">
            <w:pPr>
              <w:spacing w:before="100" w:after="100"/>
              <w:ind w:left="-72"/>
              <w:jc w:val="center"/>
              <w:rPr>
                <w:color w:val="000000"/>
                <w:sz w:val="20"/>
                <w:lang w:val="sv-SE"/>
              </w:rPr>
            </w:pPr>
            <w:r w:rsidRPr="00800D1B">
              <w:rPr>
                <w:color w:val="000000"/>
                <w:sz w:val="20"/>
                <w:lang w:val="sv-SE"/>
              </w:rPr>
              <w:t>Prioritering</w:t>
            </w:r>
          </w:p>
        </w:tc>
        <w:tc>
          <w:tcPr>
            <w:tcW w:w="0" w:type="auto"/>
          </w:tcPr>
          <w:p w14:paraId="2D065D9D" w14:textId="77777777" w:rsidR="00A77B3E" w:rsidRPr="00800D1B" w:rsidRDefault="00623E14" w:rsidP="00547E58">
            <w:pPr>
              <w:spacing w:before="100" w:after="100"/>
              <w:ind w:left="-72"/>
              <w:jc w:val="center"/>
              <w:rPr>
                <w:color w:val="000000"/>
                <w:sz w:val="20"/>
                <w:lang w:val="sv-SE"/>
              </w:rPr>
            </w:pPr>
            <w:r w:rsidRPr="00800D1B">
              <w:rPr>
                <w:color w:val="000000"/>
                <w:sz w:val="20"/>
                <w:lang w:val="sv-SE"/>
              </w:rPr>
              <w:t>Specifikt mål</w:t>
            </w:r>
          </w:p>
        </w:tc>
        <w:tc>
          <w:tcPr>
            <w:tcW w:w="0" w:type="auto"/>
          </w:tcPr>
          <w:p w14:paraId="2D065D9E" w14:textId="77777777" w:rsidR="00A77B3E" w:rsidRPr="00800D1B" w:rsidRDefault="00623E14" w:rsidP="00547E58">
            <w:pPr>
              <w:spacing w:before="100" w:after="100"/>
              <w:ind w:left="-72"/>
              <w:jc w:val="center"/>
              <w:rPr>
                <w:color w:val="000000"/>
                <w:sz w:val="20"/>
                <w:lang w:val="sv-SE"/>
              </w:rPr>
            </w:pPr>
            <w:r w:rsidRPr="00800D1B">
              <w:rPr>
                <w:color w:val="000000"/>
                <w:sz w:val="20"/>
                <w:lang w:val="sv-SE"/>
              </w:rPr>
              <w:t>Fond</w:t>
            </w:r>
          </w:p>
        </w:tc>
        <w:tc>
          <w:tcPr>
            <w:tcW w:w="0" w:type="auto"/>
          </w:tcPr>
          <w:p w14:paraId="2D065D9F" w14:textId="77777777" w:rsidR="00A77B3E" w:rsidRPr="00800D1B" w:rsidRDefault="00623E14" w:rsidP="00547E58">
            <w:pPr>
              <w:spacing w:before="100" w:after="100"/>
              <w:ind w:left="-72"/>
              <w:jc w:val="center"/>
              <w:rPr>
                <w:color w:val="000000"/>
                <w:sz w:val="20"/>
                <w:lang w:val="sv-SE"/>
              </w:rPr>
            </w:pPr>
            <w:r w:rsidRPr="00800D1B">
              <w:rPr>
                <w:color w:val="000000"/>
                <w:sz w:val="20"/>
                <w:lang w:val="sv-SE"/>
              </w:rPr>
              <w:t>Regionkategori</w:t>
            </w:r>
          </w:p>
        </w:tc>
        <w:tc>
          <w:tcPr>
            <w:tcW w:w="0" w:type="auto"/>
          </w:tcPr>
          <w:p w14:paraId="2D065DA0" w14:textId="77777777" w:rsidR="00A77B3E" w:rsidRPr="00800D1B" w:rsidRDefault="00623E14" w:rsidP="00547E58">
            <w:pPr>
              <w:spacing w:before="100" w:after="100"/>
              <w:ind w:left="-72"/>
              <w:jc w:val="center"/>
              <w:rPr>
                <w:color w:val="000000"/>
                <w:sz w:val="20"/>
                <w:lang w:val="sv-SE"/>
              </w:rPr>
            </w:pPr>
            <w:r w:rsidRPr="00800D1B">
              <w:rPr>
                <w:color w:val="000000"/>
                <w:sz w:val="20"/>
                <w:lang w:val="sv-SE"/>
              </w:rPr>
              <w:t>Kod</w:t>
            </w:r>
          </w:p>
        </w:tc>
        <w:tc>
          <w:tcPr>
            <w:tcW w:w="0" w:type="auto"/>
          </w:tcPr>
          <w:p w14:paraId="2D065DA1" w14:textId="77777777" w:rsidR="00A77B3E" w:rsidRPr="00800D1B" w:rsidRDefault="00623E14" w:rsidP="00547E58">
            <w:pPr>
              <w:spacing w:before="100" w:after="100"/>
              <w:ind w:left="-72"/>
              <w:jc w:val="center"/>
              <w:rPr>
                <w:color w:val="000000"/>
                <w:sz w:val="20"/>
                <w:lang w:val="sv-SE"/>
              </w:rPr>
            </w:pPr>
            <w:r w:rsidRPr="00800D1B">
              <w:rPr>
                <w:color w:val="000000"/>
                <w:sz w:val="20"/>
                <w:lang w:val="sv-SE"/>
              </w:rPr>
              <w:t>Belopp (euro)</w:t>
            </w:r>
          </w:p>
        </w:tc>
      </w:tr>
    </w:tbl>
    <w:p w14:paraId="2D065DA4" w14:textId="28CD3369" w:rsidR="00A77B3E" w:rsidRPr="00800D1B" w:rsidRDefault="00623E14" w:rsidP="00552F60">
      <w:pPr>
        <w:spacing w:before="360" w:after="100"/>
        <w:rPr>
          <w:lang w:val="sv-SE"/>
        </w:rPr>
      </w:pPr>
      <w:bookmarkStart w:id="74" w:name="_Toc256000315"/>
      <w:r w:rsidRPr="00800D1B">
        <w:rPr>
          <w:lang w:val="sv-SE"/>
        </w:rPr>
        <w:t>Tabell 8: Dimension 7 – ESF+, Eruf, Sammanhållningsfonden och FRO, jämställdhetsdimensionen</w:t>
      </w:r>
      <w:bookmarkEnd w:id="74"/>
    </w:p>
    <w:p w14:paraId="2D065DA5" w14:textId="77777777" w:rsidR="00A77B3E" w:rsidRPr="00800D1B" w:rsidRDefault="00A77B3E">
      <w:pPr>
        <w:spacing w:before="100"/>
        <w:rPr>
          <w:color w:val="000000"/>
          <w:sz w:val="0"/>
          <w:lang w:val="sv-SE"/>
        </w:rPr>
      </w:pPr>
    </w:p>
    <w:tbl>
      <w:tblPr>
        <w:tblStyle w:val="Tabellrutnt"/>
        <w:tblW w:w="5000" w:type="pct"/>
        <w:tblLook w:val="04A0" w:firstRow="1" w:lastRow="0" w:firstColumn="1" w:lastColumn="0" w:noHBand="0" w:noVBand="1"/>
        <w:tblDescription w:val="En tabell med sex kolumner: Prioritering; Specifikt mål; Fond; Regionkategori; Kod; Belopp (euro). Tabellen visar information om ESF+, Eruf, Sammanhållningsfonden och FRO, jämställdhetsdimensionen."/>
      </w:tblPr>
      <w:tblGrid>
        <w:gridCol w:w="1363"/>
        <w:gridCol w:w="259"/>
        <w:gridCol w:w="1537"/>
        <w:gridCol w:w="843"/>
        <w:gridCol w:w="6622"/>
        <w:gridCol w:w="2920"/>
        <w:gridCol w:w="1628"/>
      </w:tblGrid>
      <w:tr w:rsidR="00F07F3A" w:rsidRPr="00800D1B" w14:paraId="2D065DAC" w14:textId="77777777" w:rsidTr="00E04517">
        <w:tc>
          <w:tcPr>
            <w:tcW w:w="0" w:type="auto"/>
          </w:tcPr>
          <w:p w14:paraId="2D065DA6" w14:textId="77777777" w:rsidR="00F07F3A" w:rsidRPr="00800D1B" w:rsidRDefault="00F07F3A" w:rsidP="00E04517">
            <w:pPr>
              <w:spacing w:before="100" w:after="100"/>
              <w:ind w:left="-72"/>
              <w:jc w:val="center"/>
              <w:rPr>
                <w:color w:val="000000"/>
                <w:sz w:val="20"/>
                <w:lang w:val="sv-SE"/>
              </w:rPr>
            </w:pPr>
            <w:r w:rsidRPr="00800D1B">
              <w:rPr>
                <w:color w:val="000000"/>
                <w:sz w:val="20"/>
                <w:lang w:val="sv-SE"/>
              </w:rPr>
              <w:t>Prioritering</w:t>
            </w:r>
          </w:p>
        </w:tc>
        <w:tc>
          <w:tcPr>
            <w:tcW w:w="0" w:type="auto"/>
          </w:tcPr>
          <w:p w14:paraId="780BE0B4" w14:textId="77777777" w:rsidR="00F07F3A" w:rsidRPr="00800D1B" w:rsidRDefault="00F07F3A" w:rsidP="00E04517">
            <w:pPr>
              <w:spacing w:before="100" w:after="100"/>
              <w:ind w:left="-72"/>
              <w:jc w:val="center"/>
              <w:rPr>
                <w:color w:val="000000"/>
                <w:sz w:val="20"/>
                <w:lang w:val="sv-SE"/>
              </w:rPr>
            </w:pPr>
          </w:p>
        </w:tc>
        <w:tc>
          <w:tcPr>
            <w:tcW w:w="0" w:type="auto"/>
          </w:tcPr>
          <w:p w14:paraId="2D065DA7" w14:textId="187FC095" w:rsidR="00F07F3A" w:rsidRPr="00800D1B" w:rsidRDefault="00F07F3A" w:rsidP="00E04517">
            <w:pPr>
              <w:spacing w:before="100" w:after="100"/>
              <w:ind w:left="-72"/>
              <w:jc w:val="center"/>
              <w:rPr>
                <w:color w:val="000000"/>
                <w:sz w:val="20"/>
                <w:lang w:val="sv-SE"/>
              </w:rPr>
            </w:pPr>
            <w:r w:rsidRPr="00800D1B">
              <w:rPr>
                <w:color w:val="000000"/>
                <w:sz w:val="20"/>
                <w:lang w:val="sv-SE"/>
              </w:rPr>
              <w:t>Specifikt mål</w:t>
            </w:r>
          </w:p>
        </w:tc>
        <w:tc>
          <w:tcPr>
            <w:tcW w:w="0" w:type="auto"/>
          </w:tcPr>
          <w:p w14:paraId="2D065DA8" w14:textId="77777777" w:rsidR="00F07F3A" w:rsidRPr="00800D1B" w:rsidRDefault="00F07F3A" w:rsidP="00E04517">
            <w:pPr>
              <w:spacing w:before="100" w:after="100"/>
              <w:ind w:left="-72"/>
              <w:jc w:val="center"/>
              <w:rPr>
                <w:color w:val="000000"/>
                <w:sz w:val="20"/>
                <w:lang w:val="sv-SE"/>
              </w:rPr>
            </w:pPr>
            <w:r w:rsidRPr="00800D1B">
              <w:rPr>
                <w:color w:val="000000"/>
                <w:sz w:val="20"/>
                <w:lang w:val="sv-SE"/>
              </w:rPr>
              <w:t>Fond</w:t>
            </w:r>
          </w:p>
        </w:tc>
        <w:tc>
          <w:tcPr>
            <w:tcW w:w="0" w:type="auto"/>
          </w:tcPr>
          <w:p w14:paraId="2D065DA9" w14:textId="77777777" w:rsidR="00F07F3A" w:rsidRPr="00800D1B" w:rsidRDefault="00F07F3A" w:rsidP="00E04517">
            <w:pPr>
              <w:spacing w:before="100" w:after="100"/>
              <w:ind w:left="-72"/>
              <w:jc w:val="center"/>
              <w:rPr>
                <w:color w:val="000000"/>
                <w:sz w:val="20"/>
                <w:lang w:val="sv-SE"/>
              </w:rPr>
            </w:pPr>
            <w:r w:rsidRPr="00800D1B">
              <w:rPr>
                <w:color w:val="000000"/>
                <w:sz w:val="20"/>
                <w:lang w:val="sv-SE"/>
              </w:rPr>
              <w:t>Regionkategori</w:t>
            </w:r>
          </w:p>
        </w:tc>
        <w:tc>
          <w:tcPr>
            <w:tcW w:w="0" w:type="auto"/>
          </w:tcPr>
          <w:p w14:paraId="2D065DAA" w14:textId="77777777" w:rsidR="00F07F3A" w:rsidRPr="00800D1B" w:rsidRDefault="00F07F3A" w:rsidP="00E04517">
            <w:pPr>
              <w:spacing w:before="100" w:after="100"/>
              <w:ind w:left="-72"/>
              <w:jc w:val="center"/>
              <w:rPr>
                <w:color w:val="000000"/>
                <w:sz w:val="20"/>
                <w:lang w:val="sv-SE"/>
              </w:rPr>
            </w:pPr>
            <w:r w:rsidRPr="00800D1B">
              <w:rPr>
                <w:color w:val="000000"/>
                <w:sz w:val="20"/>
                <w:lang w:val="sv-SE"/>
              </w:rPr>
              <w:t>Kod</w:t>
            </w:r>
          </w:p>
        </w:tc>
        <w:tc>
          <w:tcPr>
            <w:tcW w:w="0" w:type="auto"/>
          </w:tcPr>
          <w:p w14:paraId="2D065DAB" w14:textId="77777777" w:rsidR="00F07F3A" w:rsidRPr="00800D1B" w:rsidRDefault="00F07F3A" w:rsidP="00E04517">
            <w:pPr>
              <w:spacing w:before="100" w:after="100"/>
              <w:ind w:left="-72"/>
              <w:jc w:val="center"/>
              <w:rPr>
                <w:color w:val="000000"/>
                <w:sz w:val="20"/>
                <w:lang w:val="sv-SE"/>
              </w:rPr>
            </w:pPr>
            <w:r w:rsidRPr="00800D1B">
              <w:rPr>
                <w:color w:val="000000"/>
                <w:sz w:val="20"/>
                <w:lang w:val="sv-SE"/>
              </w:rPr>
              <w:t>Belopp (euro)</w:t>
            </w:r>
          </w:p>
        </w:tc>
      </w:tr>
      <w:tr w:rsidR="00F07F3A" w:rsidRPr="00800D1B" w14:paraId="2D065DB3" w14:textId="77777777" w:rsidTr="00E04517">
        <w:tc>
          <w:tcPr>
            <w:tcW w:w="0" w:type="auto"/>
          </w:tcPr>
          <w:p w14:paraId="2D065DAD" w14:textId="77777777" w:rsidR="00F07F3A" w:rsidRPr="00800D1B" w:rsidRDefault="00F07F3A" w:rsidP="00E04517">
            <w:pPr>
              <w:spacing w:before="100" w:after="100"/>
              <w:ind w:left="-72"/>
              <w:rPr>
                <w:color w:val="000000"/>
                <w:sz w:val="20"/>
                <w:lang w:val="sv-SE"/>
              </w:rPr>
            </w:pPr>
            <w:r w:rsidRPr="00800D1B">
              <w:rPr>
                <w:color w:val="000000"/>
                <w:sz w:val="20"/>
                <w:lang w:val="sv-SE"/>
              </w:rPr>
              <w:t>3</w:t>
            </w:r>
          </w:p>
        </w:tc>
        <w:tc>
          <w:tcPr>
            <w:tcW w:w="0" w:type="auto"/>
          </w:tcPr>
          <w:p w14:paraId="0B3B4606" w14:textId="77777777" w:rsidR="00F07F3A" w:rsidRPr="00800D1B" w:rsidRDefault="00F07F3A" w:rsidP="00E04517">
            <w:pPr>
              <w:spacing w:before="100" w:after="100"/>
              <w:ind w:left="-72"/>
              <w:rPr>
                <w:color w:val="000000"/>
                <w:sz w:val="20"/>
                <w:lang w:val="sv-SE"/>
              </w:rPr>
            </w:pPr>
          </w:p>
        </w:tc>
        <w:tc>
          <w:tcPr>
            <w:tcW w:w="0" w:type="auto"/>
          </w:tcPr>
          <w:p w14:paraId="2D065DAE" w14:textId="7AB84BA7" w:rsidR="00F07F3A" w:rsidRPr="00800D1B" w:rsidRDefault="00F07F3A" w:rsidP="00E04517">
            <w:pPr>
              <w:spacing w:before="100" w:after="100"/>
              <w:ind w:left="-72"/>
              <w:rPr>
                <w:color w:val="000000"/>
                <w:sz w:val="20"/>
                <w:lang w:val="sv-SE"/>
              </w:rPr>
            </w:pPr>
            <w:r w:rsidRPr="00800D1B">
              <w:rPr>
                <w:color w:val="000000"/>
                <w:sz w:val="20"/>
                <w:lang w:val="sv-SE"/>
              </w:rPr>
              <w:t>RSO1.3</w:t>
            </w:r>
          </w:p>
        </w:tc>
        <w:tc>
          <w:tcPr>
            <w:tcW w:w="0" w:type="auto"/>
          </w:tcPr>
          <w:p w14:paraId="2D065DAF" w14:textId="77777777" w:rsidR="00F07F3A" w:rsidRPr="00800D1B" w:rsidRDefault="00F07F3A" w:rsidP="00E04517">
            <w:pPr>
              <w:spacing w:before="100" w:after="100"/>
              <w:ind w:left="-72"/>
              <w:rPr>
                <w:color w:val="000000"/>
                <w:sz w:val="20"/>
                <w:lang w:val="sv-SE"/>
              </w:rPr>
            </w:pPr>
            <w:r w:rsidRPr="00800D1B">
              <w:rPr>
                <w:color w:val="000000"/>
                <w:sz w:val="20"/>
                <w:lang w:val="sv-SE"/>
              </w:rPr>
              <w:t>Eruf</w:t>
            </w:r>
          </w:p>
        </w:tc>
        <w:tc>
          <w:tcPr>
            <w:tcW w:w="0" w:type="auto"/>
          </w:tcPr>
          <w:p w14:paraId="2D065DB0" w14:textId="77777777" w:rsidR="00F07F3A" w:rsidRPr="00800D1B" w:rsidRDefault="00F07F3A" w:rsidP="00E04517">
            <w:pPr>
              <w:spacing w:before="100" w:after="100"/>
              <w:ind w:left="-72"/>
              <w:rPr>
                <w:color w:val="000000"/>
                <w:sz w:val="20"/>
                <w:lang w:val="sv-SE"/>
              </w:rPr>
            </w:pPr>
            <w:r w:rsidRPr="00800D1B">
              <w:rPr>
                <w:color w:val="000000"/>
                <w:sz w:val="20"/>
                <w:lang w:val="sv-SE"/>
              </w:rPr>
              <w:t>Mer utvecklade regioner</w:t>
            </w:r>
          </w:p>
        </w:tc>
        <w:tc>
          <w:tcPr>
            <w:tcW w:w="0" w:type="auto"/>
          </w:tcPr>
          <w:p w14:paraId="2D065DB1" w14:textId="77777777" w:rsidR="00F07F3A" w:rsidRPr="00800D1B" w:rsidRDefault="00F07F3A" w:rsidP="00E04517">
            <w:pPr>
              <w:spacing w:before="100" w:after="100"/>
              <w:ind w:left="-72"/>
              <w:rPr>
                <w:color w:val="000000"/>
                <w:sz w:val="20"/>
                <w:lang w:val="sv-SE"/>
              </w:rPr>
            </w:pPr>
            <w:r w:rsidRPr="00800D1B">
              <w:rPr>
                <w:color w:val="000000"/>
                <w:sz w:val="20"/>
                <w:lang w:val="sv-SE"/>
              </w:rPr>
              <w:t>02. Jämställdhetsintegrering</w:t>
            </w:r>
          </w:p>
        </w:tc>
        <w:tc>
          <w:tcPr>
            <w:tcW w:w="0" w:type="auto"/>
          </w:tcPr>
          <w:p w14:paraId="2D065DB2" w14:textId="77777777" w:rsidR="00F07F3A" w:rsidRPr="00800D1B" w:rsidRDefault="00F07F3A" w:rsidP="00E04517">
            <w:pPr>
              <w:spacing w:before="100" w:after="100"/>
              <w:ind w:left="-72"/>
              <w:jc w:val="right"/>
              <w:rPr>
                <w:color w:val="000000"/>
                <w:sz w:val="20"/>
                <w:lang w:val="sv-SE"/>
              </w:rPr>
            </w:pPr>
            <w:r w:rsidRPr="00800D1B">
              <w:rPr>
                <w:color w:val="000000"/>
                <w:sz w:val="20"/>
                <w:lang w:val="sv-SE"/>
              </w:rPr>
              <w:t>7 740 548,00</w:t>
            </w:r>
          </w:p>
        </w:tc>
      </w:tr>
      <w:tr w:rsidR="00F07F3A" w:rsidRPr="00800D1B" w14:paraId="2D065DBA" w14:textId="77777777" w:rsidTr="00E04517">
        <w:tc>
          <w:tcPr>
            <w:tcW w:w="0" w:type="auto"/>
          </w:tcPr>
          <w:p w14:paraId="2D065DB4" w14:textId="77777777" w:rsidR="00F07F3A" w:rsidRPr="00800D1B" w:rsidRDefault="00F07F3A" w:rsidP="00E04517">
            <w:pPr>
              <w:spacing w:before="100" w:after="100"/>
              <w:ind w:left="-72"/>
              <w:rPr>
                <w:color w:val="000000"/>
                <w:sz w:val="20"/>
                <w:lang w:val="sv-SE"/>
              </w:rPr>
            </w:pPr>
            <w:r w:rsidRPr="00800D1B">
              <w:rPr>
                <w:color w:val="000000"/>
                <w:sz w:val="20"/>
                <w:lang w:val="sv-SE"/>
              </w:rPr>
              <w:t>3</w:t>
            </w:r>
          </w:p>
        </w:tc>
        <w:tc>
          <w:tcPr>
            <w:tcW w:w="0" w:type="auto"/>
          </w:tcPr>
          <w:p w14:paraId="42E4BF9E" w14:textId="77777777" w:rsidR="00F07F3A" w:rsidRPr="00800D1B" w:rsidRDefault="00F07F3A" w:rsidP="00E04517">
            <w:pPr>
              <w:spacing w:before="100" w:after="100"/>
              <w:ind w:left="-72"/>
              <w:rPr>
                <w:color w:val="000000"/>
                <w:sz w:val="20"/>
                <w:lang w:val="sv-SE"/>
              </w:rPr>
            </w:pPr>
          </w:p>
        </w:tc>
        <w:tc>
          <w:tcPr>
            <w:tcW w:w="0" w:type="auto"/>
          </w:tcPr>
          <w:p w14:paraId="2D065DB5" w14:textId="7BFA0D7F" w:rsidR="00F07F3A" w:rsidRPr="00800D1B" w:rsidRDefault="00F07F3A" w:rsidP="00E04517">
            <w:pPr>
              <w:spacing w:before="100" w:after="100"/>
              <w:ind w:left="-72"/>
              <w:rPr>
                <w:color w:val="000000"/>
                <w:sz w:val="20"/>
                <w:lang w:val="sv-SE"/>
              </w:rPr>
            </w:pPr>
            <w:r w:rsidRPr="00800D1B">
              <w:rPr>
                <w:color w:val="000000"/>
                <w:sz w:val="20"/>
                <w:lang w:val="sv-SE"/>
              </w:rPr>
              <w:t>RSO1.3</w:t>
            </w:r>
          </w:p>
        </w:tc>
        <w:tc>
          <w:tcPr>
            <w:tcW w:w="0" w:type="auto"/>
          </w:tcPr>
          <w:p w14:paraId="2D065DB6" w14:textId="77777777" w:rsidR="00F07F3A" w:rsidRPr="00800D1B" w:rsidRDefault="00F07F3A" w:rsidP="00E04517">
            <w:pPr>
              <w:spacing w:before="100" w:after="100"/>
              <w:ind w:left="-72"/>
              <w:rPr>
                <w:color w:val="000000"/>
                <w:sz w:val="20"/>
                <w:lang w:val="sv-SE"/>
              </w:rPr>
            </w:pPr>
            <w:r w:rsidRPr="00800D1B">
              <w:rPr>
                <w:color w:val="000000"/>
                <w:sz w:val="20"/>
                <w:lang w:val="sv-SE"/>
              </w:rPr>
              <w:t>Eruf</w:t>
            </w:r>
          </w:p>
        </w:tc>
        <w:tc>
          <w:tcPr>
            <w:tcW w:w="0" w:type="auto"/>
          </w:tcPr>
          <w:p w14:paraId="2D065DB7" w14:textId="77777777" w:rsidR="00F07F3A" w:rsidRPr="00800D1B" w:rsidRDefault="00F07F3A" w:rsidP="00E04517">
            <w:pPr>
              <w:spacing w:before="100" w:after="100"/>
              <w:ind w:left="-72"/>
              <w:rPr>
                <w:color w:val="000000"/>
                <w:sz w:val="20"/>
                <w:lang w:val="sv-SE"/>
              </w:rPr>
            </w:pPr>
            <w:r w:rsidRPr="00800D1B">
              <w:rPr>
                <w:color w:val="000000"/>
                <w:sz w:val="20"/>
                <w:lang w:val="sv-SE"/>
              </w:rPr>
              <w:t>Mer utvecklade regioner</w:t>
            </w:r>
          </w:p>
        </w:tc>
        <w:tc>
          <w:tcPr>
            <w:tcW w:w="0" w:type="auto"/>
          </w:tcPr>
          <w:p w14:paraId="2D065DB8" w14:textId="77777777" w:rsidR="00F07F3A" w:rsidRPr="00800D1B" w:rsidRDefault="00F07F3A" w:rsidP="00E04517">
            <w:pPr>
              <w:spacing w:before="100" w:after="100"/>
              <w:ind w:left="-72"/>
              <w:rPr>
                <w:color w:val="000000"/>
                <w:sz w:val="20"/>
                <w:lang w:val="sv-SE"/>
              </w:rPr>
            </w:pPr>
            <w:r w:rsidRPr="00800D1B">
              <w:rPr>
                <w:color w:val="000000"/>
                <w:sz w:val="20"/>
                <w:lang w:val="sv-SE"/>
              </w:rPr>
              <w:t>03. Könsneutralitet</w:t>
            </w:r>
          </w:p>
        </w:tc>
        <w:tc>
          <w:tcPr>
            <w:tcW w:w="0" w:type="auto"/>
          </w:tcPr>
          <w:p w14:paraId="2D065DB9" w14:textId="77777777" w:rsidR="00F07F3A" w:rsidRPr="00800D1B" w:rsidRDefault="00F07F3A" w:rsidP="00E04517">
            <w:pPr>
              <w:spacing w:before="100" w:after="100"/>
              <w:ind w:left="-72"/>
              <w:jc w:val="right"/>
              <w:rPr>
                <w:color w:val="000000"/>
                <w:sz w:val="20"/>
                <w:lang w:val="sv-SE"/>
              </w:rPr>
            </w:pPr>
            <w:r w:rsidRPr="00800D1B">
              <w:rPr>
                <w:color w:val="000000"/>
                <w:sz w:val="20"/>
                <w:lang w:val="sv-SE"/>
              </w:rPr>
              <w:t>11 610 824,00</w:t>
            </w:r>
          </w:p>
        </w:tc>
      </w:tr>
      <w:tr w:rsidR="00F07F3A" w:rsidRPr="00800D1B" w14:paraId="2D065DC1" w14:textId="77777777" w:rsidTr="00E04517">
        <w:tc>
          <w:tcPr>
            <w:tcW w:w="0" w:type="auto"/>
          </w:tcPr>
          <w:p w14:paraId="2D065DBB" w14:textId="77777777" w:rsidR="00F07F3A" w:rsidRPr="00800D1B" w:rsidRDefault="00F07F3A" w:rsidP="00E04517">
            <w:pPr>
              <w:spacing w:before="100" w:after="100"/>
              <w:ind w:left="-72"/>
              <w:rPr>
                <w:color w:val="000000"/>
                <w:sz w:val="20"/>
                <w:lang w:val="sv-SE"/>
              </w:rPr>
            </w:pPr>
            <w:r w:rsidRPr="00800D1B">
              <w:rPr>
                <w:color w:val="000000"/>
                <w:sz w:val="20"/>
                <w:lang w:val="sv-SE"/>
              </w:rPr>
              <w:t>3</w:t>
            </w:r>
          </w:p>
        </w:tc>
        <w:tc>
          <w:tcPr>
            <w:tcW w:w="0" w:type="auto"/>
          </w:tcPr>
          <w:p w14:paraId="48C311B2" w14:textId="77777777" w:rsidR="00F07F3A" w:rsidRPr="00800D1B" w:rsidRDefault="00F07F3A" w:rsidP="00E04517">
            <w:pPr>
              <w:spacing w:before="100" w:after="100"/>
              <w:ind w:left="-72"/>
              <w:rPr>
                <w:color w:val="000000"/>
                <w:sz w:val="20"/>
                <w:lang w:val="sv-SE"/>
              </w:rPr>
            </w:pPr>
          </w:p>
        </w:tc>
        <w:tc>
          <w:tcPr>
            <w:tcW w:w="0" w:type="auto"/>
          </w:tcPr>
          <w:p w14:paraId="2D065DBC" w14:textId="5C97DB40" w:rsidR="00F07F3A" w:rsidRPr="00800D1B" w:rsidRDefault="00F07F3A" w:rsidP="00E04517">
            <w:pPr>
              <w:spacing w:before="100" w:after="100"/>
              <w:ind w:left="-72"/>
              <w:rPr>
                <w:color w:val="000000"/>
                <w:sz w:val="20"/>
                <w:lang w:val="sv-SE"/>
              </w:rPr>
            </w:pPr>
            <w:r w:rsidRPr="00800D1B">
              <w:rPr>
                <w:color w:val="000000"/>
                <w:sz w:val="20"/>
                <w:lang w:val="sv-SE"/>
              </w:rPr>
              <w:t>RSO1.3</w:t>
            </w:r>
          </w:p>
        </w:tc>
        <w:tc>
          <w:tcPr>
            <w:tcW w:w="0" w:type="auto"/>
          </w:tcPr>
          <w:p w14:paraId="2D065DBD" w14:textId="77777777" w:rsidR="00F07F3A" w:rsidRPr="00800D1B" w:rsidRDefault="00F07F3A" w:rsidP="00E04517">
            <w:pPr>
              <w:spacing w:before="100" w:after="100"/>
              <w:ind w:left="-72"/>
              <w:rPr>
                <w:color w:val="000000"/>
                <w:sz w:val="20"/>
                <w:lang w:val="sv-SE"/>
              </w:rPr>
            </w:pPr>
            <w:r w:rsidRPr="00800D1B">
              <w:rPr>
                <w:color w:val="000000"/>
                <w:sz w:val="20"/>
                <w:lang w:val="sv-SE"/>
              </w:rPr>
              <w:t>Eruf</w:t>
            </w:r>
          </w:p>
        </w:tc>
        <w:tc>
          <w:tcPr>
            <w:tcW w:w="0" w:type="auto"/>
          </w:tcPr>
          <w:p w14:paraId="2D065DBE" w14:textId="77777777" w:rsidR="00F07F3A" w:rsidRPr="00800D1B" w:rsidRDefault="00F07F3A" w:rsidP="00E04517">
            <w:pPr>
              <w:spacing w:before="100" w:after="100"/>
              <w:ind w:left="-72"/>
              <w:rPr>
                <w:color w:val="000000"/>
                <w:sz w:val="20"/>
                <w:lang w:val="sv-SE"/>
              </w:rPr>
            </w:pPr>
            <w:r w:rsidRPr="00800D1B">
              <w:rPr>
                <w:color w:val="000000"/>
                <w:sz w:val="20"/>
                <w:lang w:val="sv-SE"/>
              </w:rPr>
              <w:t>De yttersta randområdena eller de nordliga glesbefolkade områdena</w:t>
            </w:r>
          </w:p>
        </w:tc>
        <w:tc>
          <w:tcPr>
            <w:tcW w:w="0" w:type="auto"/>
          </w:tcPr>
          <w:p w14:paraId="2D065DBF" w14:textId="77777777" w:rsidR="00F07F3A" w:rsidRPr="00800D1B" w:rsidRDefault="00F07F3A" w:rsidP="00E04517">
            <w:pPr>
              <w:spacing w:before="100" w:after="100"/>
              <w:ind w:left="-72"/>
              <w:rPr>
                <w:color w:val="000000"/>
                <w:sz w:val="20"/>
                <w:lang w:val="sv-SE"/>
              </w:rPr>
            </w:pPr>
            <w:r w:rsidRPr="00800D1B">
              <w:rPr>
                <w:color w:val="000000"/>
                <w:sz w:val="20"/>
                <w:lang w:val="sv-SE"/>
              </w:rPr>
              <w:t>02. Jämställdhetsintegrering</w:t>
            </w:r>
          </w:p>
        </w:tc>
        <w:tc>
          <w:tcPr>
            <w:tcW w:w="0" w:type="auto"/>
          </w:tcPr>
          <w:p w14:paraId="2D065DC0" w14:textId="77777777" w:rsidR="00F07F3A" w:rsidRPr="00800D1B" w:rsidRDefault="00F07F3A" w:rsidP="00E04517">
            <w:pPr>
              <w:spacing w:before="100" w:after="100"/>
              <w:ind w:left="-72"/>
              <w:jc w:val="right"/>
              <w:rPr>
                <w:color w:val="000000"/>
                <w:sz w:val="20"/>
                <w:lang w:val="sv-SE"/>
              </w:rPr>
            </w:pPr>
            <w:r w:rsidRPr="00800D1B">
              <w:rPr>
                <w:color w:val="000000"/>
                <w:sz w:val="20"/>
                <w:lang w:val="sv-SE"/>
              </w:rPr>
              <w:t>11 385 785,00</w:t>
            </w:r>
          </w:p>
        </w:tc>
      </w:tr>
      <w:tr w:rsidR="00F07F3A" w:rsidRPr="00800D1B" w14:paraId="2D065DC8" w14:textId="77777777" w:rsidTr="00E04517">
        <w:tc>
          <w:tcPr>
            <w:tcW w:w="0" w:type="auto"/>
          </w:tcPr>
          <w:p w14:paraId="2D065DC2" w14:textId="77777777" w:rsidR="00F07F3A" w:rsidRPr="00800D1B" w:rsidRDefault="00F07F3A" w:rsidP="00E04517">
            <w:pPr>
              <w:spacing w:before="100" w:after="100"/>
              <w:ind w:left="-72"/>
              <w:rPr>
                <w:color w:val="000000"/>
                <w:sz w:val="20"/>
                <w:lang w:val="sv-SE"/>
              </w:rPr>
            </w:pPr>
            <w:r w:rsidRPr="00800D1B">
              <w:rPr>
                <w:color w:val="000000"/>
                <w:sz w:val="20"/>
                <w:lang w:val="sv-SE"/>
              </w:rPr>
              <w:t>3</w:t>
            </w:r>
          </w:p>
        </w:tc>
        <w:tc>
          <w:tcPr>
            <w:tcW w:w="0" w:type="auto"/>
          </w:tcPr>
          <w:p w14:paraId="2CCCCE3D" w14:textId="77777777" w:rsidR="00F07F3A" w:rsidRPr="00800D1B" w:rsidRDefault="00F07F3A" w:rsidP="00E04517">
            <w:pPr>
              <w:spacing w:before="100" w:after="100"/>
              <w:ind w:left="-72"/>
              <w:rPr>
                <w:color w:val="000000"/>
                <w:sz w:val="20"/>
                <w:lang w:val="sv-SE"/>
              </w:rPr>
            </w:pPr>
          </w:p>
        </w:tc>
        <w:tc>
          <w:tcPr>
            <w:tcW w:w="0" w:type="auto"/>
          </w:tcPr>
          <w:p w14:paraId="2D065DC3" w14:textId="7E8AC5A2" w:rsidR="00F07F3A" w:rsidRPr="00800D1B" w:rsidRDefault="00F07F3A" w:rsidP="00E04517">
            <w:pPr>
              <w:spacing w:before="100" w:after="100"/>
              <w:ind w:left="-72"/>
              <w:rPr>
                <w:color w:val="000000"/>
                <w:sz w:val="20"/>
                <w:lang w:val="sv-SE"/>
              </w:rPr>
            </w:pPr>
            <w:r w:rsidRPr="00800D1B">
              <w:rPr>
                <w:color w:val="000000"/>
                <w:sz w:val="20"/>
                <w:lang w:val="sv-SE"/>
              </w:rPr>
              <w:t>RSO1.3</w:t>
            </w:r>
          </w:p>
        </w:tc>
        <w:tc>
          <w:tcPr>
            <w:tcW w:w="0" w:type="auto"/>
          </w:tcPr>
          <w:p w14:paraId="2D065DC4" w14:textId="77777777" w:rsidR="00F07F3A" w:rsidRPr="00800D1B" w:rsidRDefault="00F07F3A" w:rsidP="00E04517">
            <w:pPr>
              <w:spacing w:before="100" w:after="100"/>
              <w:ind w:left="-72"/>
              <w:rPr>
                <w:color w:val="000000"/>
                <w:sz w:val="20"/>
                <w:lang w:val="sv-SE"/>
              </w:rPr>
            </w:pPr>
            <w:r w:rsidRPr="00800D1B">
              <w:rPr>
                <w:color w:val="000000"/>
                <w:sz w:val="20"/>
                <w:lang w:val="sv-SE"/>
              </w:rPr>
              <w:t>Eruf</w:t>
            </w:r>
          </w:p>
        </w:tc>
        <w:tc>
          <w:tcPr>
            <w:tcW w:w="0" w:type="auto"/>
          </w:tcPr>
          <w:p w14:paraId="2D065DC5" w14:textId="77777777" w:rsidR="00F07F3A" w:rsidRPr="00800D1B" w:rsidRDefault="00F07F3A" w:rsidP="00E04517">
            <w:pPr>
              <w:spacing w:before="100" w:after="100"/>
              <w:ind w:left="-72"/>
              <w:rPr>
                <w:color w:val="000000"/>
                <w:sz w:val="20"/>
                <w:lang w:val="sv-SE"/>
              </w:rPr>
            </w:pPr>
            <w:r w:rsidRPr="00800D1B">
              <w:rPr>
                <w:color w:val="000000"/>
                <w:sz w:val="20"/>
                <w:lang w:val="sv-SE"/>
              </w:rPr>
              <w:t>De yttersta randområdena eller de nordliga glesbefolkade områdena</w:t>
            </w:r>
          </w:p>
        </w:tc>
        <w:tc>
          <w:tcPr>
            <w:tcW w:w="0" w:type="auto"/>
          </w:tcPr>
          <w:p w14:paraId="2D065DC6" w14:textId="77777777" w:rsidR="00F07F3A" w:rsidRPr="00800D1B" w:rsidRDefault="00F07F3A" w:rsidP="00E04517">
            <w:pPr>
              <w:spacing w:before="100" w:after="100"/>
              <w:ind w:left="-72"/>
              <w:rPr>
                <w:color w:val="000000"/>
                <w:sz w:val="20"/>
                <w:lang w:val="sv-SE"/>
              </w:rPr>
            </w:pPr>
            <w:r w:rsidRPr="00800D1B">
              <w:rPr>
                <w:color w:val="000000"/>
                <w:sz w:val="20"/>
                <w:lang w:val="sv-SE"/>
              </w:rPr>
              <w:t>03. Könsneutralitet</w:t>
            </w:r>
          </w:p>
        </w:tc>
        <w:tc>
          <w:tcPr>
            <w:tcW w:w="0" w:type="auto"/>
          </w:tcPr>
          <w:p w14:paraId="2D065DC7" w14:textId="77777777" w:rsidR="00F07F3A" w:rsidRPr="00800D1B" w:rsidRDefault="00F07F3A" w:rsidP="00E04517">
            <w:pPr>
              <w:spacing w:before="100" w:after="100"/>
              <w:ind w:left="-72"/>
              <w:jc w:val="right"/>
              <w:rPr>
                <w:color w:val="000000"/>
                <w:sz w:val="20"/>
                <w:lang w:val="sv-SE"/>
              </w:rPr>
            </w:pPr>
            <w:r w:rsidRPr="00800D1B">
              <w:rPr>
                <w:color w:val="000000"/>
                <w:sz w:val="20"/>
                <w:lang w:val="sv-SE"/>
              </w:rPr>
              <w:t>17 078 674,00</w:t>
            </w:r>
          </w:p>
        </w:tc>
      </w:tr>
      <w:tr w:rsidR="00F07F3A" w:rsidRPr="00800D1B" w14:paraId="2D065DCF" w14:textId="77777777" w:rsidTr="00E04517">
        <w:tc>
          <w:tcPr>
            <w:tcW w:w="0" w:type="auto"/>
          </w:tcPr>
          <w:p w14:paraId="2D065DC9" w14:textId="77777777" w:rsidR="00F07F3A" w:rsidRPr="00800D1B" w:rsidRDefault="00F07F3A" w:rsidP="00E04517">
            <w:pPr>
              <w:spacing w:before="100" w:after="100"/>
              <w:ind w:left="-72"/>
              <w:rPr>
                <w:color w:val="000000"/>
                <w:sz w:val="20"/>
                <w:lang w:val="sv-SE"/>
              </w:rPr>
            </w:pPr>
            <w:r w:rsidRPr="00800D1B">
              <w:rPr>
                <w:color w:val="000000"/>
                <w:sz w:val="20"/>
                <w:lang w:val="sv-SE"/>
              </w:rPr>
              <w:t>3</w:t>
            </w:r>
          </w:p>
        </w:tc>
        <w:tc>
          <w:tcPr>
            <w:tcW w:w="0" w:type="auto"/>
          </w:tcPr>
          <w:p w14:paraId="48965630" w14:textId="77777777" w:rsidR="00F07F3A" w:rsidRPr="00800D1B" w:rsidRDefault="00F07F3A" w:rsidP="00E04517">
            <w:pPr>
              <w:spacing w:before="100" w:after="100"/>
              <w:ind w:left="-72"/>
              <w:rPr>
                <w:color w:val="000000"/>
                <w:sz w:val="20"/>
                <w:lang w:val="sv-SE"/>
              </w:rPr>
            </w:pPr>
          </w:p>
        </w:tc>
        <w:tc>
          <w:tcPr>
            <w:tcW w:w="0" w:type="auto"/>
          </w:tcPr>
          <w:p w14:paraId="2D065DCA" w14:textId="4810D3B3" w:rsidR="00F07F3A" w:rsidRPr="00800D1B" w:rsidRDefault="00F07F3A" w:rsidP="00E04517">
            <w:pPr>
              <w:spacing w:before="100" w:after="100"/>
              <w:ind w:left="-72"/>
              <w:rPr>
                <w:color w:val="000000"/>
                <w:sz w:val="20"/>
                <w:lang w:val="sv-SE"/>
              </w:rPr>
            </w:pPr>
            <w:r w:rsidRPr="00800D1B">
              <w:rPr>
                <w:color w:val="000000"/>
                <w:sz w:val="20"/>
                <w:lang w:val="sv-SE"/>
              </w:rPr>
              <w:t>RSO1.3</w:t>
            </w:r>
          </w:p>
        </w:tc>
        <w:tc>
          <w:tcPr>
            <w:tcW w:w="0" w:type="auto"/>
          </w:tcPr>
          <w:p w14:paraId="2D065DCB" w14:textId="77777777" w:rsidR="00F07F3A" w:rsidRPr="00800D1B" w:rsidRDefault="00F07F3A" w:rsidP="00E04517">
            <w:pPr>
              <w:spacing w:before="100" w:after="100"/>
              <w:ind w:left="-72"/>
              <w:rPr>
                <w:color w:val="000000"/>
                <w:sz w:val="20"/>
                <w:lang w:val="sv-SE"/>
              </w:rPr>
            </w:pPr>
            <w:r w:rsidRPr="00800D1B">
              <w:rPr>
                <w:color w:val="000000"/>
                <w:sz w:val="20"/>
                <w:lang w:val="sv-SE"/>
              </w:rPr>
              <w:t>Totalt</w:t>
            </w:r>
          </w:p>
        </w:tc>
        <w:tc>
          <w:tcPr>
            <w:tcW w:w="0" w:type="auto"/>
          </w:tcPr>
          <w:p w14:paraId="2D065DCC" w14:textId="77777777" w:rsidR="00F07F3A" w:rsidRPr="00800D1B" w:rsidRDefault="00F07F3A" w:rsidP="00E04517">
            <w:pPr>
              <w:spacing w:before="100" w:after="100"/>
              <w:ind w:left="-72"/>
              <w:rPr>
                <w:color w:val="000000"/>
                <w:sz w:val="20"/>
                <w:lang w:val="sv-SE"/>
              </w:rPr>
            </w:pPr>
          </w:p>
        </w:tc>
        <w:tc>
          <w:tcPr>
            <w:tcW w:w="0" w:type="auto"/>
          </w:tcPr>
          <w:p w14:paraId="2D065DCD" w14:textId="77777777" w:rsidR="00F07F3A" w:rsidRPr="00800D1B" w:rsidRDefault="00F07F3A" w:rsidP="00E04517">
            <w:pPr>
              <w:spacing w:before="100" w:after="100"/>
              <w:ind w:left="-72"/>
              <w:rPr>
                <w:color w:val="000000"/>
                <w:sz w:val="20"/>
                <w:lang w:val="sv-SE"/>
              </w:rPr>
            </w:pPr>
          </w:p>
        </w:tc>
        <w:tc>
          <w:tcPr>
            <w:tcW w:w="0" w:type="auto"/>
          </w:tcPr>
          <w:p w14:paraId="2D065DCE" w14:textId="77777777" w:rsidR="00F07F3A" w:rsidRPr="00800D1B" w:rsidRDefault="00F07F3A" w:rsidP="00E04517">
            <w:pPr>
              <w:spacing w:before="100" w:after="100"/>
              <w:ind w:left="-72"/>
              <w:jc w:val="right"/>
              <w:rPr>
                <w:color w:val="000000"/>
                <w:sz w:val="20"/>
                <w:lang w:val="sv-SE"/>
              </w:rPr>
            </w:pPr>
            <w:r w:rsidRPr="00800D1B">
              <w:rPr>
                <w:color w:val="000000"/>
                <w:sz w:val="20"/>
                <w:lang w:val="sv-SE"/>
              </w:rPr>
              <w:t>47 815 831,00</w:t>
            </w:r>
          </w:p>
        </w:tc>
      </w:tr>
    </w:tbl>
    <w:p w14:paraId="2D065DD0" w14:textId="3EB02040" w:rsidR="00A77B3E" w:rsidRPr="00800D1B" w:rsidRDefault="00623E14">
      <w:pPr>
        <w:spacing w:before="100"/>
        <w:rPr>
          <w:color w:val="000000"/>
          <w:sz w:val="20"/>
          <w:lang w:val="sv-SE"/>
        </w:rPr>
      </w:pPr>
      <w:r w:rsidRPr="00800D1B">
        <w:rPr>
          <w:color w:val="000000"/>
          <w:sz w:val="20"/>
          <w:lang w:val="sv-SE"/>
        </w:rPr>
        <w:t>* För ESF+ bidrar i princip 40 % av ESF+-medlen till uppföljning av jämställdheten. 100 % är tillämpligt när medlemsstaten väljer att använda artikel 6 i ESF+</w:t>
      </w:r>
    </w:p>
    <w:p w14:paraId="6CDAACA9" w14:textId="77777777" w:rsidR="00B124F8" w:rsidRPr="00800D1B" w:rsidRDefault="00B124F8">
      <w:pPr>
        <w:spacing w:before="100"/>
        <w:rPr>
          <w:color w:val="000000"/>
          <w:sz w:val="20"/>
          <w:lang w:val="sv-SE"/>
        </w:rPr>
        <w:sectPr w:rsidR="00B124F8" w:rsidRPr="00800D1B" w:rsidSect="0065165D">
          <w:pgSz w:w="16838" w:h="11906" w:orient="landscape" w:code="9"/>
          <w:pgMar w:top="720" w:right="720" w:bottom="864" w:left="936" w:header="288" w:footer="72" w:gutter="0"/>
          <w:cols w:space="720"/>
          <w:noEndnote/>
          <w:docGrid w:linePitch="360"/>
        </w:sectPr>
      </w:pPr>
    </w:p>
    <w:p w14:paraId="2D065DD1" w14:textId="009F66B0" w:rsidR="00A77B3E" w:rsidRPr="00800D1B" w:rsidRDefault="00623E14" w:rsidP="00B124F8">
      <w:pPr>
        <w:pStyle w:val="Rubrik5"/>
        <w:numPr>
          <w:ilvl w:val="3"/>
          <w:numId w:val="18"/>
        </w:numPr>
        <w:ind w:left="360"/>
      </w:pPr>
      <w:bookmarkStart w:id="75" w:name="_Toc256000316"/>
      <w:r w:rsidRPr="00800D1B">
        <w:t>Specifikt mål: RSO1.4. Utveckla färdigheter för smart specialisering, industriomställning och entreprenörskap (Eruf)</w:t>
      </w:r>
      <w:bookmarkEnd w:id="75"/>
    </w:p>
    <w:p w14:paraId="2D065DD3" w14:textId="221F12A9" w:rsidR="00A77B3E" w:rsidRPr="00800D1B" w:rsidRDefault="00623E14">
      <w:pPr>
        <w:pStyle w:val="Rubrik6"/>
        <w:numPr>
          <w:ilvl w:val="4"/>
          <w:numId w:val="19"/>
        </w:numPr>
        <w:spacing w:before="160"/>
        <w:ind w:left="360"/>
      </w:pPr>
      <w:bookmarkStart w:id="76" w:name="_Toc256000317"/>
      <w:r w:rsidRPr="00800D1B">
        <w:t>Interventioner inom ramen för fonderna</w:t>
      </w:r>
      <w:bookmarkEnd w:id="76"/>
    </w:p>
    <w:p w14:paraId="2D065DD5" w14:textId="745B9310" w:rsidR="00A77B3E" w:rsidRPr="00800D1B" w:rsidRDefault="00623E14" w:rsidP="003C32DB">
      <w:pPr>
        <w:spacing w:before="100"/>
        <w:rPr>
          <w:color w:val="000000"/>
          <w:sz w:val="0"/>
          <w:lang w:val="sv-SE"/>
        </w:rPr>
      </w:pPr>
      <w:r w:rsidRPr="00800D1B">
        <w:rPr>
          <w:color w:val="000000"/>
          <w:lang w:val="sv-SE"/>
        </w:rPr>
        <w:t xml:space="preserve">Referens: </w:t>
      </w:r>
      <w:r w:rsidRPr="00800D1B">
        <w:rPr>
          <w:lang w:val="sv-SE"/>
        </w:rPr>
        <w:t>artikel</w:t>
      </w:r>
      <w:r w:rsidRPr="00800D1B">
        <w:rPr>
          <w:color w:val="000000"/>
          <w:lang w:val="sv-SE"/>
        </w:rPr>
        <w:t xml:space="preserve"> 22.3 d i, iii, iv, v, vi och vii i förordningen om gemensamma bestämmelser</w:t>
      </w:r>
    </w:p>
    <w:p w14:paraId="01EDCA60" w14:textId="186D4078" w:rsidR="009A5208" w:rsidRPr="00800D1B" w:rsidRDefault="00623E14" w:rsidP="003C32DB">
      <w:pPr>
        <w:spacing w:before="100"/>
        <w:rPr>
          <w:lang w:val="sv-SE"/>
        </w:rPr>
      </w:pPr>
      <w:bookmarkStart w:id="77" w:name="_Toc256000318"/>
      <w:r w:rsidRPr="00800D1B">
        <w:rPr>
          <w:lang w:val="sv-SE"/>
        </w:rPr>
        <w:t>Relaterade typer av åtgärder – artikel 22.3 d i i förordningen om gemensamma bestämmelser och artikel 6 i ESF+-förordningen</w:t>
      </w:r>
      <w:bookmarkEnd w:id="77"/>
    </w:p>
    <w:p w14:paraId="1A7976C8" w14:textId="57A2468A" w:rsidR="009A5208" w:rsidRPr="00800D1B" w:rsidRDefault="00912EDE" w:rsidP="00912EDE">
      <w:pPr>
        <w:spacing w:before="240"/>
        <w:rPr>
          <w:color w:val="000000"/>
          <w:lang w:val="sv-SE"/>
        </w:rPr>
      </w:pPr>
      <w:r w:rsidRPr="00800D1B">
        <w:rPr>
          <w:color w:val="000000"/>
          <w:lang w:val="sv-SE"/>
        </w:rPr>
        <mc:AlternateContent>
          <mc:Choice Requires="wps">
            <w:drawing>
              <wp:anchor distT="0" distB="0" distL="114300" distR="114300" simplePos="0" relativeHeight="251665408" behindDoc="0" locked="0" layoutInCell="1" allowOverlap="1" wp14:anchorId="0778F7B3" wp14:editId="5BD3C342">
                <wp:simplePos x="0" y="0"/>
                <wp:positionH relativeFrom="column">
                  <wp:posOffset>-38100</wp:posOffset>
                </wp:positionH>
                <wp:positionV relativeFrom="page">
                  <wp:posOffset>1524000</wp:posOffset>
                </wp:positionV>
                <wp:extent cx="9806940" cy="5494020"/>
                <wp:effectExtent l="0" t="0" r="22860" b="11430"/>
                <wp:wrapNone/>
                <wp:docPr id="9" name="Rectangle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806940" cy="54940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2FFA3C5" id="Rectangle 9" o:spid="_x0000_s1026" alt="&quot;&quot;" style="position:absolute;margin-left:-3pt;margin-top:120pt;width:772.2pt;height:432.6pt;z-index:25166540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" filled="f" strokecolor="black [3213]" strokeweight=".5pt">
                <w10:wrap anchory="page"/>
              </v:rect>
            </w:pict>
          </mc:Fallback>
        </mc:AlternateContent>
      </w:r>
      <w:r w:rsidR="009A5208" w:rsidRPr="00800D1B">
        <w:rPr>
          <w:color w:val="000000"/>
          <w:lang w:val="sv-SE"/>
        </w:rPr>
        <w:t>Övre Norrland är till ytan en av EU:s geografiskt största NUTS 2-regioner och motsvarar nära 40 % av Sveriges yta. Drygt en halv miljon människor bor i regionen, ungefär 4 % av Sveriges befolkning bor i regionen. Det ger en befolkningstäthet på cirka tre invånare per kvadratkilometer. Regionen räknas därmed till ett av de mest glesbefolkade områden inom EU. Arbetet med Smart specialisering i Övre Norrland utgår från Norrbottens och Västerbottens innovationsstrategier och bygger på identifierade styrkeområden, så kallade smarta specialiseringar, utifrån tillgängliga resurser i regionen. Genom att aktörer i det företags- och innovationsstödjande systemet erbjuds utbildning som stärker kunskaper och färdigheter i smart specialisering och utveckla fysisk infrastruktur och digitala lösningar för att hitta nya sätt för samverkan och kompetensutveckling samt överbrygga geografiska hinder för att tillgängliggöra relevant utbildning för branscher, sektorer och företag som är i linje med smart specialiseringsstrategierna.</w:t>
      </w:r>
    </w:p>
    <w:p w14:paraId="40CE8916" w14:textId="77777777" w:rsidR="009A5208" w:rsidRPr="00800D1B" w:rsidRDefault="009A5208" w:rsidP="00912EDE">
      <w:pPr>
        <w:spacing w:before="140"/>
        <w:rPr>
          <w:color w:val="000000"/>
          <w:lang w:val="sv-SE"/>
        </w:rPr>
      </w:pPr>
      <w:r w:rsidRPr="00800D1B">
        <w:rPr>
          <w:color w:val="000000"/>
          <w:lang w:val="sv-SE"/>
        </w:rPr>
        <w:t>ÖN har stora behov av att främja ett livslångt lärande via kompetenshöjande insatser i syfte att utveckla arbetsmarknaden och skapa utveckling i mikro-, små och medelstora företag samt i organisationer. Mest effektivt genomförs detta via kluster och nätverk mellan företag och organisationer. I arbetet är det angeläget att stärka färdigheter för entreprenörskap via kompetensutveckling och erfarenhetsutbyten.</w:t>
      </w:r>
    </w:p>
    <w:p w14:paraId="4E6DE4D6" w14:textId="77777777" w:rsidR="009A5208" w:rsidRPr="00800D1B" w:rsidRDefault="009A5208" w:rsidP="00912EDE">
      <w:pPr>
        <w:spacing w:before="140"/>
        <w:rPr>
          <w:color w:val="000000"/>
          <w:lang w:val="sv-SE"/>
        </w:rPr>
      </w:pPr>
      <w:r w:rsidRPr="00800D1B">
        <w:rPr>
          <w:color w:val="000000"/>
          <w:lang w:val="sv-SE"/>
        </w:rPr>
        <w:t>Förmåga att utveckla hållbara affärsmodeller ställer krav på kompetens om inkludering, attityder och kultur i verksamheter där en mångfald av kvinnors och mäns kompetenser, erfarenheter och olikheter tillvaratas för stärkt attraktions- och konkurrenskraft. Det innebär även att unga, lärlingar, trainees och utrikesfödda anställs i högre grad. Förmågan att både attrahera och behålla studenter är strategiskt viktigt för regionens kompetenstillskott.</w:t>
      </w:r>
    </w:p>
    <w:p w14:paraId="68F0C965" w14:textId="77777777" w:rsidR="009A5208" w:rsidRPr="00800D1B" w:rsidRDefault="009A5208" w:rsidP="00912EDE">
      <w:pPr>
        <w:spacing w:before="140"/>
        <w:rPr>
          <w:color w:val="000000"/>
          <w:lang w:val="sv-SE"/>
        </w:rPr>
      </w:pPr>
      <w:r w:rsidRPr="00800D1B">
        <w:rPr>
          <w:color w:val="000000"/>
          <w:lang w:val="sv-SE"/>
        </w:rPr>
        <w:t>Kompetensbrister är idag det största tillväxthindret för företags och organisationers utveckling. Genom att geografiskt oberoende främja kompetensförsörjning såväl för spets- och nyckelkompetenser som för grundläggande breddkompetens, ökar möjligheten till att omställning till hållbara affärsmodeller och livslångt lärande matchas mot regionens näringslivsstruktur och arbetsmarknad. Genom att aktörer i det företags- och innovationsstödjande systemet erbjuds utbildning som stärker kunskaper och färdigheter i smart specialisering och bidrar i den entreprenöriella upptäckande processen, blir stödsystemet mer professionellt och effektivt</w:t>
      </w:r>
    </w:p>
    <w:p w14:paraId="786B17DB" w14:textId="77777777" w:rsidR="009A5208" w:rsidRPr="00800D1B" w:rsidRDefault="009A5208" w:rsidP="00912EDE">
      <w:pPr>
        <w:spacing w:before="110"/>
        <w:rPr>
          <w:color w:val="000000"/>
          <w:lang w:val="sv-SE"/>
        </w:rPr>
      </w:pPr>
      <w:r w:rsidRPr="00800D1B">
        <w:rPr>
          <w:color w:val="000000"/>
          <w:lang w:val="sv-SE"/>
        </w:rPr>
        <w:t>För att möta näringslivets kompetensförsörjningsbehov behövs insatser för att skapa behovsstyrda uppdragsutbildningar genom att företag och organisationer aggregerar sina kompetensbehov. Detta kan exempelvis ske via klusterbildningar eller andra typer av samverkan och nätverk. Utbildningarna kan genomföras av olika typer av intermediära aktörer på lokal och regional nivå. Möjligheter till samverkan med Östersjöstrategins policyområde kompetensutveckling eftersträvas.</w:t>
      </w:r>
    </w:p>
    <w:p w14:paraId="3F7F298A" w14:textId="22BEAEF9" w:rsidR="009A5208" w:rsidRPr="00800D1B" w:rsidRDefault="009A5208" w:rsidP="00912EDE">
      <w:pPr>
        <w:spacing w:before="100"/>
        <w:rPr>
          <w:color w:val="000000"/>
          <w:lang w:val="sv-SE"/>
        </w:rPr>
      </w:pPr>
      <w:r w:rsidRPr="00800D1B">
        <w:rPr>
          <w:color w:val="000000"/>
          <w:lang w:val="sv-SE"/>
        </w:rPr>
        <w:t>Regionala och lokala intermediärer är viktiga för att utveckla strategisk samverkan för kompetensförsörjning. Det kan handla om att samla in och koordinera utbildningsinsatser, att marknadsföra dem och att bygga nätverk. Dessa stödjande aktörer bör stärka entreprenörers nätverkande mellan varandra för ökat kunskaps- och erfarenhetsutbyte. Intermediärerna bör säkerställa att unga ges förutsättningar att utvecklas i sitt entreprenörskap och att de får en realistisk och verklighetsförankrad uppfattning om vad företagande innebär.</w:t>
      </w:r>
    </w:p>
    <w:p w14:paraId="0C696C13" w14:textId="34C7EB07" w:rsidR="009A5208" w:rsidRPr="00800D1B" w:rsidRDefault="009A5208" w:rsidP="00102813">
      <w:pPr>
        <w:spacing w:before="140"/>
        <w:ind w:left="-29"/>
        <w:rPr>
          <w:color w:val="000000"/>
          <w:lang w:val="sv-SE"/>
        </w:rPr>
      </w:pPr>
      <w:r w:rsidRPr="00800D1B">
        <w:rPr>
          <w:color w:val="000000"/>
          <w:lang w:val="sv-SE"/>
        </w:rPr>
        <w:t xml:space="preserve">Aktörer i programmet ska investera i främjande av kompetensutvecklingsinsatser på distans för att stärka entreprenörskap och företagande samt möjligheter till kunskapsutbyten och nätverkande. I regionen finns kunskapsintensiva fysiska miljöer främst koncentrerade till orter med närhet till regionens universitet </w:t>
      </w:r>
      <w:r w:rsidR="0054756F" w:rsidRPr="00800D1B">
        <w:rPr>
          <w:color w:val="000000"/>
          <w:lang w:val="sv-SE"/>
        </w:rPr>
        <mc:AlternateContent>
          <mc:Choice Requires="wps">
            <w:drawing>
              <wp:anchor distT="0" distB="0" distL="114300" distR="114300" simplePos="0" relativeHeight="251681792" behindDoc="0" locked="0" layoutInCell="1" allowOverlap="1" wp14:anchorId="74904B86" wp14:editId="65F69410">
                <wp:simplePos x="0" y="0"/>
                <wp:positionH relativeFrom="column">
                  <wp:posOffset>-60960</wp:posOffset>
                </wp:positionH>
                <wp:positionV relativeFrom="paragraph">
                  <wp:posOffset>-15240</wp:posOffset>
                </wp:positionV>
                <wp:extent cx="9730740" cy="6355080"/>
                <wp:effectExtent l="0" t="0" r="22860" b="2667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730740" cy="635508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3192EBB" id="Rectangle 1" o:spid="_x0000_s1026" alt="&quot;&quot;" style="position:absolute;margin-left:-4.8pt;margin-top:-1.2pt;width:766.2pt;height:500.4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" filled="f" strokecolor="black [3213]" strokeweight=".5pt"/>
            </w:pict>
          </mc:Fallback>
        </mc:AlternateContent>
      </w:r>
      <w:r w:rsidRPr="00800D1B">
        <w:rPr>
          <w:color w:val="000000"/>
          <w:lang w:val="sv-SE"/>
        </w:rPr>
        <w:t>och forskningsinstitut. Det ställer krav på uppbyggnad och utveckling av de fysiska kunskapsmiljöerna, så kallade innovationsknutpunkter som är viktiga för regionens kompetensutveckling. Investeringar behöver därför göras i ändamålsenliga miljöer och i fysisk- och digital infrastruktur. Genom strategiska samarbeten mellan aktörer i innovationssystemet utvecklas innovationssystemets kapacitet och förmåga att vidareutveckla strategiska styrkeområden med smart specialisering som metod.</w:t>
      </w:r>
    </w:p>
    <w:p w14:paraId="4363DFAE" w14:textId="0E4153BF" w:rsidR="009A5208" w:rsidRPr="00800D1B" w:rsidRDefault="009A5208" w:rsidP="00102813">
      <w:pPr>
        <w:spacing w:before="100"/>
        <w:ind w:left="-29"/>
        <w:rPr>
          <w:color w:val="000000"/>
          <w:lang w:val="sv-SE"/>
        </w:rPr>
      </w:pPr>
      <w:r w:rsidRPr="00800D1B">
        <w:rPr>
          <w:color w:val="000000"/>
          <w:lang w:val="sv-SE"/>
        </w:rPr>
        <w:t>För att stärka näringslivets forsknings- och innovationsmiljö behöver miljöerna utvecklas eller nyinvestering ske. Detta förväntas bidra till att öka antalet användare samt att förbättra företags och organisationers kunskap och förmågor inom både företagande och entreprenörskap.</w:t>
      </w:r>
    </w:p>
    <w:p w14:paraId="6988FAB0" w14:textId="1C142CF0" w:rsidR="009A5208" w:rsidRPr="00800D1B" w:rsidRDefault="009A5208" w:rsidP="00102813">
      <w:pPr>
        <w:spacing w:before="100"/>
        <w:ind w:left="-29"/>
        <w:rPr>
          <w:color w:val="000000"/>
          <w:lang w:val="sv-SE"/>
        </w:rPr>
      </w:pPr>
      <w:r w:rsidRPr="00800D1B">
        <w:rPr>
          <w:color w:val="000000"/>
          <w:lang w:val="sv-SE"/>
        </w:rPr>
        <w:t>Nödvändiga investeringar i fysiska miljöer och teknik för distansutbildning skapar viktiga förutsättningar till en ökad tillgänglighet och minskade restider för regionens mer glesa miljöer. Satsningar kan exempelvis handla om utveckling av regionens lärcentrum eller uppstart av digitala inkubatorer. Det är viktigt att dessa fysiska och digitala miljöer är inkluderande i sin utformning för att skapa goda förutsättningar till kompetensutveckling för kvinnor och män med olika ålder, bakgrund och från olika geografier. Investeringar behöver därför göras i ändamålsenliga miljöer och i fysisk- och digital infrastruktur i linje med smarta specialiseringsstrategierna.</w:t>
      </w:r>
    </w:p>
    <w:p w14:paraId="47062208" w14:textId="51C7E576" w:rsidR="009A5208" w:rsidRPr="00800D1B" w:rsidRDefault="009A5208" w:rsidP="00102813">
      <w:pPr>
        <w:spacing w:before="100"/>
        <w:ind w:left="-29"/>
        <w:rPr>
          <w:color w:val="000000"/>
          <w:lang w:val="sv-SE"/>
        </w:rPr>
      </w:pPr>
      <w:r w:rsidRPr="00800D1B">
        <w:rPr>
          <w:color w:val="000000"/>
          <w:lang w:val="sv-SE"/>
        </w:rPr>
        <w:t>Alla insatser ska vara i linje med smarta specialiseringsstrategierna och bygger på den så kallade entrepreneurial discovery process</w:t>
      </w:r>
    </w:p>
    <w:p w14:paraId="51545C8E" w14:textId="167172B4" w:rsidR="009A5208" w:rsidRPr="00800D1B" w:rsidRDefault="009A5208" w:rsidP="00102813">
      <w:pPr>
        <w:spacing w:before="100"/>
        <w:ind w:left="-29" w:right="-28"/>
        <w:rPr>
          <w:color w:val="000000"/>
          <w:lang w:val="sv-SE"/>
        </w:rPr>
      </w:pPr>
      <w:r w:rsidRPr="00800D1B">
        <w:rPr>
          <w:color w:val="000000"/>
          <w:lang w:val="sv-SE"/>
        </w:rPr>
        <w:t>I insatserna kommer bidrag att användas eftersom det avser områden där inte tillräckliga incitament finns för att använda andra finansieringsformer samt att insatsen kommer att fokusera på att ge icke-finansiellt stöd till små och medelstora företag och inte direkt generera intäkter eller leda till kostnadsbesparingar.</w:t>
      </w:r>
    </w:p>
    <w:p w14:paraId="2C6F90A6" w14:textId="0098435E" w:rsidR="009A5208" w:rsidRPr="00800D1B" w:rsidRDefault="009A5208" w:rsidP="00102813">
      <w:pPr>
        <w:spacing w:before="100"/>
        <w:ind w:left="-29"/>
        <w:rPr>
          <w:color w:val="000000"/>
          <w:lang w:val="sv-SE"/>
        </w:rPr>
      </w:pPr>
      <w:r w:rsidRPr="00800D1B">
        <w:rPr>
          <w:color w:val="000000"/>
          <w:lang w:val="sv-SE"/>
        </w:rPr>
        <w:t xml:space="preserve">Exempel på konkreta åtgärder: </w:t>
      </w:r>
    </w:p>
    <w:p w14:paraId="4F0CFAB5" w14:textId="7319C79B" w:rsidR="009A5208" w:rsidRPr="00800D1B" w:rsidRDefault="009A5208">
      <w:pPr>
        <w:pStyle w:val="Liststycke"/>
        <w:numPr>
          <w:ilvl w:val="0"/>
          <w:numId w:val="51"/>
        </w:numPr>
        <w:spacing w:before="100"/>
        <w:ind w:left="158" w:hanging="187"/>
        <w:contextualSpacing w:val="0"/>
        <w:rPr>
          <w:color w:val="000000"/>
          <w:lang w:val="sv-SE"/>
        </w:rPr>
      </w:pPr>
      <w:r w:rsidRPr="00800D1B">
        <w:rPr>
          <w:color w:val="000000"/>
          <w:lang w:val="sv-SE"/>
        </w:rPr>
        <w:t>Förstudier</w:t>
      </w:r>
    </w:p>
    <w:p w14:paraId="3FFAD9C1" w14:textId="3F0B7FF7" w:rsidR="009A5208" w:rsidRPr="00800D1B" w:rsidRDefault="009A5208">
      <w:pPr>
        <w:pStyle w:val="Liststycke"/>
        <w:numPr>
          <w:ilvl w:val="0"/>
          <w:numId w:val="51"/>
        </w:numPr>
        <w:spacing w:before="100"/>
        <w:ind w:left="158" w:hanging="187"/>
        <w:contextualSpacing w:val="0"/>
        <w:rPr>
          <w:color w:val="000000"/>
          <w:lang w:val="sv-SE"/>
        </w:rPr>
      </w:pPr>
      <w:r w:rsidRPr="00800D1B">
        <w:rPr>
          <w:color w:val="000000"/>
          <w:lang w:val="sv-SE"/>
        </w:rPr>
        <w:t>Främja det livslånga lärandet, kompetensutveckling och karriärväxling genom samverkan och initiativ mellan aktörer och organisationer. </w:t>
      </w:r>
    </w:p>
    <w:p w14:paraId="15809F73" w14:textId="37390DE8" w:rsidR="009A5208" w:rsidRPr="00800D1B" w:rsidRDefault="009A5208">
      <w:pPr>
        <w:pStyle w:val="Liststycke"/>
        <w:numPr>
          <w:ilvl w:val="0"/>
          <w:numId w:val="51"/>
        </w:numPr>
        <w:spacing w:before="100"/>
        <w:ind w:left="158" w:hanging="187"/>
        <w:contextualSpacing w:val="0"/>
        <w:rPr>
          <w:color w:val="000000"/>
          <w:lang w:val="sv-SE"/>
        </w:rPr>
      </w:pPr>
      <w:r w:rsidRPr="00800D1B">
        <w:rPr>
          <w:color w:val="000000"/>
          <w:lang w:val="sv-SE"/>
        </w:rPr>
        <w:t>Främja kunskap om jämställdhet, integration och mångfald som konkurrensfördelar och attraktionskraft för stärkt entreprenörskap och företagande. </w:t>
      </w:r>
    </w:p>
    <w:p w14:paraId="0271CC8F" w14:textId="4E53160A" w:rsidR="009A5208" w:rsidRPr="00800D1B" w:rsidRDefault="009A5208">
      <w:pPr>
        <w:pStyle w:val="Liststycke"/>
        <w:numPr>
          <w:ilvl w:val="0"/>
          <w:numId w:val="51"/>
        </w:numPr>
        <w:spacing w:before="100"/>
        <w:ind w:left="158" w:hanging="187"/>
        <w:contextualSpacing w:val="0"/>
        <w:rPr>
          <w:color w:val="000000"/>
          <w:lang w:val="sv-SE"/>
        </w:rPr>
      </w:pPr>
      <w:r w:rsidRPr="00800D1B">
        <w:rPr>
          <w:color w:val="000000"/>
          <w:lang w:val="sv-SE"/>
        </w:rPr>
        <w:t>Främja den samiska befolkningens entreprenörskap och företagande genom kompetenshöjande insatser. </w:t>
      </w:r>
    </w:p>
    <w:p w14:paraId="62C12BE4" w14:textId="3983BD6E" w:rsidR="009A5208" w:rsidRPr="00800D1B" w:rsidRDefault="009A5208">
      <w:pPr>
        <w:pStyle w:val="Liststycke"/>
        <w:numPr>
          <w:ilvl w:val="0"/>
          <w:numId w:val="51"/>
        </w:numPr>
        <w:spacing w:before="100"/>
        <w:ind w:left="158" w:hanging="187"/>
        <w:contextualSpacing w:val="0"/>
        <w:rPr>
          <w:color w:val="000000"/>
          <w:lang w:val="sv-SE"/>
        </w:rPr>
      </w:pPr>
      <w:r w:rsidRPr="00800D1B">
        <w:rPr>
          <w:color w:val="000000"/>
          <w:lang w:val="sv-SE"/>
        </w:rPr>
        <w:t>Främja social innovation och socialt entreprenörskap och företagande genom kompetenshöjande insatser. </w:t>
      </w:r>
    </w:p>
    <w:p w14:paraId="27BDAE89" w14:textId="0E22128C" w:rsidR="009A5208" w:rsidRPr="00800D1B" w:rsidRDefault="009A5208">
      <w:pPr>
        <w:pStyle w:val="Liststycke"/>
        <w:numPr>
          <w:ilvl w:val="0"/>
          <w:numId w:val="51"/>
        </w:numPr>
        <w:spacing w:before="100"/>
        <w:ind w:left="158" w:hanging="187"/>
        <w:contextualSpacing w:val="0"/>
        <w:rPr>
          <w:color w:val="000000"/>
          <w:lang w:val="sv-SE"/>
        </w:rPr>
      </w:pPr>
      <w:r w:rsidRPr="00800D1B">
        <w:rPr>
          <w:color w:val="000000"/>
          <w:lang w:val="sv-SE"/>
        </w:rPr>
        <w:t>Utveckla nya metoder för utbildning och lärande, exempelvis arbetsintegrerat lärande. </w:t>
      </w:r>
    </w:p>
    <w:p w14:paraId="32DD8D0B" w14:textId="4C2E4393" w:rsidR="009A5208" w:rsidRPr="00800D1B" w:rsidRDefault="009A5208">
      <w:pPr>
        <w:pStyle w:val="Liststycke"/>
        <w:numPr>
          <w:ilvl w:val="0"/>
          <w:numId w:val="51"/>
        </w:numPr>
        <w:spacing w:before="100"/>
        <w:ind w:left="158" w:hanging="187"/>
        <w:contextualSpacing w:val="0"/>
        <w:rPr>
          <w:color w:val="000000"/>
          <w:lang w:val="sv-SE"/>
        </w:rPr>
      </w:pPr>
      <w:r w:rsidRPr="00800D1B">
        <w:rPr>
          <w:color w:val="000000"/>
          <w:lang w:val="sv-SE"/>
        </w:rPr>
        <w:t>Utveckla fysisk infrastruktur och digitala lösningar för att hitta nya sätt för samverkan och kompetensutveckling samt överbrygga geografiska hinder för att tillgängliggöra relevant utbildning för branscher, sektorer och företag. Stimulera framväxten av fler entreprenörer inom kunskapsintensiva branscher genom kompetenshöjande insatser. </w:t>
      </w:r>
    </w:p>
    <w:p w14:paraId="7878BF93" w14:textId="25E33984" w:rsidR="009A5208" w:rsidRPr="00800D1B" w:rsidRDefault="009A5208">
      <w:pPr>
        <w:pStyle w:val="Liststycke"/>
        <w:numPr>
          <w:ilvl w:val="0"/>
          <w:numId w:val="51"/>
        </w:numPr>
        <w:spacing w:before="100"/>
        <w:ind w:left="158" w:hanging="187"/>
        <w:contextualSpacing w:val="0"/>
        <w:rPr>
          <w:color w:val="000000"/>
          <w:lang w:val="sv-SE"/>
        </w:rPr>
      </w:pPr>
      <w:r w:rsidRPr="00800D1B">
        <w:rPr>
          <w:color w:val="000000"/>
          <w:lang w:val="sv-SE"/>
        </w:rPr>
        <w:t>Stimulera funktionell, geografiskt oberoende samverkan och kompetensutbyte mellan utbildningsaktörer, företag och organisationer för stärkt entreprenörskap och företagande. </w:t>
      </w:r>
    </w:p>
    <w:p w14:paraId="4B5A6FC6" w14:textId="77777777" w:rsidR="009A5208" w:rsidRPr="00800D1B" w:rsidRDefault="009A5208" w:rsidP="00102813">
      <w:pPr>
        <w:spacing w:before="100"/>
        <w:ind w:left="-29"/>
        <w:rPr>
          <w:color w:val="000000"/>
          <w:lang w:val="sv-SE"/>
        </w:rPr>
      </w:pPr>
      <w:r w:rsidRPr="00800D1B">
        <w:rPr>
          <w:color w:val="000000"/>
          <w:u w:val="single"/>
          <w:lang w:val="sv-SE"/>
        </w:rPr>
        <w:t>Förenlighet med principen om att inte orsaka betydande skada (art. 9.4 i förordningen om gemensamma bestämmelser</w:t>
      </w:r>
      <w:r w:rsidRPr="00800D1B">
        <w:rPr>
          <w:color w:val="000000"/>
          <w:lang w:val="sv-SE"/>
        </w:rPr>
        <w:t>)</w:t>
      </w:r>
    </w:p>
    <w:p w14:paraId="39FB375F" w14:textId="77777777" w:rsidR="004A21EA" w:rsidRPr="00800D1B" w:rsidRDefault="009A5208" w:rsidP="00102813">
      <w:pPr>
        <w:spacing w:before="100"/>
        <w:ind w:left="-29"/>
        <w:rPr>
          <w:color w:val="000000"/>
          <w:lang w:val="sv-SE"/>
        </w:rPr>
        <w:sectPr w:rsidR="004A21EA" w:rsidRPr="00800D1B" w:rsidSect="0065165D">
          <w:pgSz w:w="16838" w:h="11906" w:orient="landscape" w:code="9"/>
          <w:pgMar w:top="720" w:right="720" w:bottom="864" w:left="936" w:header="288" w:footer="72" w:gutter="0"/>
          <w:cols w:space="720"/>
          <w:noEndnote/>
          <w:docGrid w:linePitch="360"/>
        </w:sectPr>
      </w:pPr>
      <w:r w:rsidRPr="00800D1B">
        <w:rPr>
          <w:color w:val="000000"/>
          <w:lang w:val="sv-SE"/>
        </w:rPr>
        <w:t>Insatserna har bedömts vara förenliga med principen om att inte orsaka betydande skada eftersom de har bedömts i enlighet med kommissionens tekniska vägledning om tillämpningen av principen om att inte orsaka betydande skada inom ramen för förordningen om faciliteten för återhämtning och resiliens.</w:t>
      </w:r>
    </w:p>
    <w:p w14:paraId="2D065DF2" w14:textId="445376E7" w:rsidR="00A77B3E" w:rsidRPr="00800D1B" w:rsidRDefault="00623E14" w:rsidP="003C32DB">
      <w:pPr>
        <w:spacing w:before="160"/>
        <w:rPr>
          <w:lang w:val="sv-SE"/>
        </w:rPr>
      </w:pPr>
      <w:bookmarkStart w:id="78" w:name="_Toc256000319"/>
      <w:r w:rsidRPr="00800D1B">
        <w:rPr>
          <w:lang w:val="sv-SE"/>
        </w:rPr>
        <w:t>Huvudsakliga målgrupper – artikel 22.3 d iii i förordningen om gemensamma bestämmelser</w:t>
      </w:r>
      <w:bookmarkEnd w:id="78"/>
    </w:p>
    <w:p w14:paraId="2D065DF3" w14:textId="77777777" w:rsidR="00A77B3E" w:rsidRPr="00800D1B" w:rsidRDefault="00A77B3E">
      <w:pPr>
        <w:spacing w:before="100"/>
        <w:rPr>
          <w:color w:val="000000"/>
          <w:sz w:val="0"/>
          <w:lang w:val="sv-SE"/>
        </w:rPr>
      </w:pPr>
    </w:p>
    <w:p w14:paraId="49540970" w14:textId="77777777" w:rsidR="00102813" w:rsidRPr="00800D1B" w:rsidRDefault="00102813" w:rsidP="00552F60">
      <w:pPr>
        <w:pBdr>
          <w:top w:val="single" w:sz="4" w:space="10" w:color="auto"/>
          <w:left w:val="single" w:sz="4" w:space="4" w:color="auto"/>
          <w:bottom w:val="single" w:sz="4" w:space="18" w:color="auto"/>
          <w:right w:val="single" w:sz="4" w:space="4" w:color="auto"/>
        </w:pBdr>
        <w:spacing w:before="100"/>
        <w:ind w:left="101" w:right="115"/>
        <w:rPr>
          <w:color w:val="000000"/>
          <w:lang w:val="sv-SE"/>
        </w:rPr>
      </w:pPr>
      <w:r w:rsidRPr="00800D1B">
        <w:rPr>
          <w:color w:val="000000"/>
          <w:lang w:val="sv-SE"/>
        </w:rPr>
        <w:t>De huvudsakliga målgrupperna är offentliga aktörer, universitet och högskolor. forskningsinstitut och övriga forsknings- och utbildningsaktörer, små och medelstora företag, ekonomiska föreningar och civilsamhället. Särskilt fokus bör läggas på att säkerställa att insatserna bidrar till att inkludera underrepresenterade grupper såsom kvinnor och personer med utländsk bakgrund samt att nå en bredd av organisationer och företag. Vid utformandet av insatser är det viktigt att använda ett jämställdhets- och mångfaldsperspektiv.</w:t>
      </w:r>
    </w:p>
    <w:p w14:paraId="2D065DF9" w14:textId="2489437B" w:rsidR="00A77B3E" w:rsidRPr="00800D1B" w:rsidRDefault="00623E14" w:rsidP="003C32DB">
      <w:pPr>
        <w:spacing w:before="480"/>
        <w:rPr>
          <w:lang w:val="sv-SE"/>
        </w:rPr>
      </w:pPr>
      <w:bookmarkStart w:id="79" w:name="_Toc256000320"/>
      <w:r w:rsidRPr="00800D1B">
        <w:rPr>
          <w:lang w:val="sv-SE"/>
        </w:rPr>
        <w:t>Åtgärder för säkerställande av jämställdhet, inkludering och icke-diskriminering – artikel 22.3 d iv i förordningen om gemensamma bestämmelser och artikel 6 i ESF+-förordningen</w:t>
      </w:r>
      <w:bookmarkEnd w:id="79"/>
    </w:p>
    <w:p w14:paraId="2D065DFA" w14:textId="77777777" w:rsidR="00A77B3E" w:rsidRPr="00800D1B" w:rsidRDefault="00A77B3E">
      <w:pPr>
        <w:spacing w:before="100"/>
        <w:rPr>
          <w:color w:val="000000"/>
          <w:sz w:val="0"/>
          <w:lang w:val="sv-SE"/>
        </w:rPr>
      </w:pPr>
    </w:p>
    <w:p w14:paraId="2F99AFDA" w14:textId="77777777" w:rsidR="00102813" w:rsidRPr="00800D1B" w:rsidRDefault="00102813" w:rsidP="00AF7E30">
      <w:pPr>
        <w:pBdr>
          <w:top w:val="single" w:sz="4" w:space="10" w:color="auto"/>
          <w:left w:val="single" w:sz="4" w:space="4" w:color="auto"/>
          <w:bottom w:val="single" w:sz="4" w:space="20" w:color="auto"/>
          <w:right w:val="single" w:sz="4" w:space="4" w:color="auto"/>
        </w:pBdr>
        <w:ind w:left="101" w:right="115"/>
        <w:rPr>
          <w:color w:val="000000"/>
          <w:lang w:val="sv-SE"/>
        </w:rPr>
      </w:pPr>
      <w:r w:rsidRPr="00800D1B">
        <w:rPr>
          <w:color w:val="000000"/>
          <w:lang w:val="sv-SE"/>
        </w:rPr>
        <w:t>Jämställdhet, icke- diskriminering och tillgänglighet ska genomsyra insatserna i programmet, det vill säga, jämställdhetsintegrering är ett krav. Ingen får diskrimineras på grund av kön, könsöverskridande identitet eller uttryck, etnisk tillhörighet, religion eller annan trosuppfattning, funktionsnedsättning, sexuell läggning eller ålder. Projekten ska innehålla särskilda insatser för jämställdhet även om huvudsyftet är ett annat. Det ska tydligt beskrivas förväntade resultat kopplat till jämställdhet. Vid ansökningsförfarandet genomförs en jämställdhetsanalys som synkroniseras med övriga hållbarhetsaspekter att ta hänsyn till. Analysen ska visa hur framtagandet av insatser påverkar jämställdheten och det ska finnas minst ett mål som adresserar detsamma. Detta betyder att samtliga insatser i detta särskilda mål minst möter kraven för kod 02 i tabell 8.</w:t>
      </w:r>
    </w:p>
    <w:p w14:paraId="35FC1A6F" w14:textId="77777777" w:rsidR="00102813" w:rsidRPr="00800D1B" w:rsidRDefault="00102813" w:rsidP="00102813">
      <w:pPr>
        <w:pBdr>
          <w:top w:val="single" w:sz="4" w:space="10" w:color="auto"/>
          <w:left w:val="single" w:sz="4" w:space="4" w:color="auto"/>
          <w:bottom w:val="single" w:sz="4" w:space="20" w:color="auto"/>
          <w:right w:val="single" w:sz="4" w:space="4" w:color="auto"/>
        </w:pBdr>
        <w:spacing w:before="100"/>
        <w:ind w:left="101" w:right="115"/>
        <w:rPr>
          <w:color w:val="000000"/>
          <w:lang w:val="sv-SE"/>
        </w:rPr>
      </w:pPr>
      <w:r w:rsidRPr="00800D1B">
        <w:rPr>
          <w:color w:val="000000"/>
          <w:lang w:val="sv-SE"/>
        </w:rPr>
        <w:t>Förutom att alla insatser inom detta särskilda mål ska möta kod 02 ser vi även att flera projekt ska innehålla särskilda insatser för jämställdhet. Särskilda insatser innebär att projektets huvudsakliga mål är att förbättra jämställdhet mellan kvinnor och män. Analysen ska därmed visa hur utmaningar och problem inom jämställdhetsområdet ligger till grund varför projektet behövs och målen tar tydligt fasta på en förflyttning mot ökad jämställdhet. Projekten bidrar därmed direkt till det globala målet 5.</w:t>
      </w:r>
    </w:p>
    <w:p w14:paraId="238EDECE" w14:textId="29620242" w:rsidR="00102813" w:rsidRPr="00800D1B" w:rsidRDefault="00102813" w:rsidP="00102813">
      <w:pPr>
        <w:pBdr>
          <w:top w:val="single" w:sz="4" w:space="10" w:color="auto"/>
          <w:left w:val="single" w:sz="4" w:space="4" w:color="auto"/>
          <w:bottom w:val="single" w:sz="4" w:space="20" w:color="auto"/>
          <w:right w:val="single" w:sz="4" w:space="4" w:color="auto"/>
        </w:pBdr>
        <w:spacing w:before="100"/>
        <w:ind w:left="101" w:right="115"/>
        <w:rPr>
          <w:color w:val="000000"/>
          <w:lang w:val="sv-SE"/>
        </w:rPr>
      </w:pPr>
      <w:r w:rsidRPr="00800D1B">
        <w:rPr>
          <w:color w:val="000000"/>
          <w:lang w:val="sv-SE"/>
        </w:rPr>
        <w:t>Samtliga projekt ska vid rapportering påvisa hur resultatet bidragit till att framsteg gjorts gentemot en ökad jämställdhet.</w:t>
      </w:r>
    </w:p>
    <w:p w14:paraId="376380BF" w14:textId="77777777" w:rsidR="00490513" w:rsidRPr="00800D1B" w:rsidRDefault="00490513" w:rsidP="00490513">
      <w:pPr>
        <w:spacing w:before="360" w:after="120"/>
        <w:rPr>
          <w:lang w:val="sv-SE"/>
        </w:rPr>
      </w:pPr>
      <w:bookmarkStart w:id="80" w:name="_Toc256000321"/>
      <w:r w:rsidRPr="00800D1B">
        <w:rPr>
          <w:lang w:val="sv-SE"/>
        </w:rPr>
        <w:t>Angivande av de specifika målterritorierna, inbegripet planerad användning av territoriella verktyg – artikel 22.3 d v i förordningen om gemensamma bestämmelser</w:t>
      </w:r>
      <w:bookmarkEnd w:id="80"/>
    </w:p>
    <w:p w14:paraId="7F4EFE3E" w14:textId="77777777" w:rsidR="00490513" w:rsidRPr="00800D1B" w:rsidRDefault="00490513" w:rsidP="001C4055">
      <w:pPr>
        <w:pBdr>
          <w:top w:val="single" w:sz="4" w:space="10" w:color="auto"/>
          <w:left w:val="single" w:sz="4" w:space="4" w:color="auto"/>
          <w:bottom w:val="single" w:sz="4" w:space="20" w:color="auto"/>
          <w:right w:val="single" w:sz="4" w:space="4" w:color="auto"/>
        </w:pBdr>
        <w:spacing w:after="120"/>
        <w:ind w:left="90" w:right="62"/>
        <w:rPr>
          <w:lang w:val="sv-SE"/>
        </w:rPr>
      </w:pPr>
      <w:r w:rsidRPr="00800D1B">
        <w:rPr>
          <w:lang w:val="sv-SE"/>
        </w:rPr>
        <w:t>Nej</w:t>
      </w:r>
    </w:p>
    <w:p w14:paraId="2D065E09" w14:textId="476D4C8B" w:rsidR="00A77B3E" w:rsidRPr="00800D1B" w:rsidRDefault="00623E14" w:rsidP="003C32DB">
      <w:pPr>
        <w:spacing w:before="960"/>
        <w:rPr>
          <w:lang w:val="sv-SE"/>
        </w:rPr>
      </w:pPr>
      <w:bookmarkStart w:id="81" w:name="_Toc256000322"/>
      <w:r w:rsidRPr="00800D1B">
        <w:rPr>
          <w:lang w:val="sv-SE"/>
        </w:rPr>
        <w:t>Interregionala, gränsregionala och transnationella åtgärder – artikel 22.3 d vi i förordningen om gemensamma bestämmelser</w:t>
      </w:r>
      <w:bookmarkEnd w:id="81"/>
    </w:p>
    <w:p w14:paraId="429504BF" w14:textId="77777777" w:rsidR="00AF7E30" w:rsidRPr="00800D1B" w:rsidRDefault="00AF7E30" w:rsidP="00AF7E30">
      <w:pPr>
        <w:pBdr>
          <w:top w:val="single" w:sz="4" w:space="10" w:color="auto"/>
          <w:left w:val="single" w:sz="4" w:space="4" w:color="auto"/>
          <w:bottom w:val="single" w:sz="4" w:space="22" w:color="auto"/>
          <w:right w:val="single" w:sz="4" w:space="4" w:color="auto"/>
        </w:pBdr>
        <w:spacing w:before="100"/>
        <w:ind w:left="101" w:right="115"/>
        <w:rPr>
          <w:color w:val="000000"/>
          <w:lang w:val="sv-SE"/>
        </w:rPr>
      </w:pPr>
      <w:r w:rsidRPr="00800D1B">
        <w:rPr>
          <w:color w:val="000000"/>
          <w:lang w:val="sv-SE"/>
        </w:rPr>
        <w:t xml:space="preserve">En intervention får helt eller delvis genomföras i annat land, även utanför EU, under förutsättning att insatsen bidrar till det specifika målet. Samarbete med aktörer i ett eller flera andra länder kan vara integrerat i ett projekt för att stärka arbetet mot projektmålet. För att stärka arbetet mot projektmålet kan samarbete med aktörer i ett eller flera andra länder också läggas till ett redan pågående projekt i form av ett påbyggnadsprojekt. Båda alternativen kan användas för insatser i linje med exempelvis smart specialiseringsstrategier, Agenda 2030 eller EU:s strategi för Östersjöregionen. </w:t>
      </w:r>
    </w:p>
    <w:p w14:paraId="69E3FB89" w14:textId="77777777" w:rsidR="00AF7E30" w:rsidRPr="00800D1B" w:rsidRDefault="00AF7E30" w:rsidP="00AF7E30">
      <w:pPr>
        <w:pBdr>
          <w:top w:val="single" w:sz="4" w:space="10" w:color="auto"/>
          <w:left w:val="single" w:sz="4" w:space="4" w:color="auto"/>
          <w:bottom w:val="single" w:sz="4" w:space="22" w:color="auto"/>
          <w:right w:val="single" w:sz="4" w:space="4" w:color="auto"/>
        </w:pBdr>
        <w:spacing w:before="100"/>
        <w:ind w:left="101" w:right="115"/>
        <w:rPr>
          <w:color w:val="000000"/>
          <w:lang w:val="sv-SE"/>
        </w:rPr>
      </w:pPr>
      <w:r w:rsidRPr="00800D1B">
        <w:rPr>
          <w:color w:val="000000"/>
          <w:lang w:val="sv-SE"/>
        </w:rPr>
        <w:t xml:space="preserve">Regionen samarbetar med omgivande parter i Norge, Nordland och Troms- och Finnmarks fylkeskommuner, Finland med landskapsförbunden för Lappland, Norra Österbotten, Mellersta Österbotten, Österbotten, Södra Österbotten. Samarbetet sker dels direkt, dels via framför allt samverkansorganisationerna Nordkalottrådet, Bottenviksbågen, Kvarkenrådet och Mittskandia. </w:t>
      </w:r>
    </w:p>
    <w:p w14:paraId="6A35A30A" w14:textId="77777777" w:rsidR="00AF7E30" w:rsidRPr="00800D1B" w:rsidRDefault="00AF7E30" w:rsidP="00AF7E30">
      <w:pPr>
        <w:pBdr>
          <w:top w:val="single" w:sz="4" w:space="10" w:color="auto"/>
          <w:left w:val="single" w:sz="4" w:space="4" w:color="auto"/>
          <w:bottom w:val="single" w:sz="4" w:space="22" w:color="auto"/>
          <w:right w:val="single" w:sz="4" w:space="4" w:color="auto"/>
        </w:pBdr>
        <w:spacing w:before="100"/>
        <w:ind w:left="101" w:right="115"/>
        <w:rPr>
          <w:color w:val="000000"/>
          <w:lang w:val="sv-SE"/>
        </w:rPr>
      </w:pPr>
      <w:r w:rsidRPr="00800D1B">
        <w:rPr>
          <w:color w:val="000000"/>
          <w:lang w:val="sv-SE"/>
        </w:rPr>
        <w:t>För att stärka företagens affärsmodeller, utveckling och konkurrenskraft kan samarbete röra nätverksbyggande och kunskapsuppbyggnad via nätverk och kluster. Exempelvis kan det handla om kompetenshöjande utbyten om hur entreprenörskap och företagande kan använda social och miljömässig hållbarhet som drivkraft för affärsutveckling och innovation. </w:t>
      </w:r>
    </w:p>
    <w:p w14:paraId="26BCA288" w14:textId="77777777" w:rsidR="00AF7E30" w:rsidRPr="00800D1B" w:rsidRDefault="00AF7E30" w:rsidP="00AF7E30">
      <w:pPr>
        <w:pBdr>
          <w:top w:val="single" w:sz="4" w:space="10" w:color="auto"/>
          <w:left w:val="single" w:sz="4" w:space="4" w:color="auto"/>
          <w:bottom w:val="single" w:sz="4" w:space="22" w:color="auto"/>
          <w:right w:val="single" w:sz="4" w:space="4" w:color="auto"/>
        </w:pBdr>
        <w:spacing w:before="100"/>
        <w:ind w:left="101" w:right="115"/>
        <w:rPr>
          <w:color w:val="000000"/>
          <w:lang w:val="sv-SE"/>
        </w:rPr>
      </w:pPr>
      <w:r w:rsidRPr="00800D1B">
        <w:rPr>
          <w:color w:val="000000"/>
          <w:lang w:val="sv-SE"/>
        </w:rPr>
        <w:t>EU:s strategi för Östersjöregionen ger en viktig vägledning för valet av insatser och bidrar till att det regionala strukturfondsprogrammet kan användas på ett målmedvetet sätt för att möta gemensamma utmaningar i regionen. De insatser som kommer att stödjas ska ha ett mervärde för programområdet. </w:t>
      </w:r>
    </w:p>
    <w:p w14:paraId="2DB40476" w14:textId="77777777" w:rsidR="00AF7E30" w:rsidRPr="00800D1B" w:rsidRDefault="00AF7E30" w:rsidP="00AF7E30">
      <w:pPr>
        <w:pBdr>
          <w:top w:val="single" w:sz="4" w:space="10" w:color="auto"/>
          <w:left w:val="single" w:sz="4" w:space="4" w:color="auto"/>
          <w:bottom w:val="single" w:sz="4" w:space="22" w:color="auto"/>
          <w:right w:val="single" w:sz="4" w:space="4" w:color="auto"/>
        </w:pBdr>
        <w:spacing w:before="100"/>
        <w:ind w:left="101" w:right="115"/>
        <w:rPr>
          <w:color w:val="000000"/>
          <w:lang w:val="sv-SE"/>
        </w:rPr>
      </w:pPr>
      <w:r w:rsidRPr="00800D1B">
        <w:rPr>
          <w:color w:val="000000"/>
          <w:lang w:val="sv-SE"/>
        </w:rPr>
        <w:t xml:space="preserve">Under kommande år avser regionen att vidmakthålla samma höga ambition att åstadkomma en fungerande gemensam arbetsmarknad på hela Nordkalotten. ÖN ska arbeta för att öka den gränsöverskridande rörligheten och uppmuntra till ett ökat samarbete mellan utbildningsanordnare i regionerna. </w:t>
      </w:r>
    </w:p>
    <w:p w14:paraId="2D065E14" w14:textId="7CDE36F7" w:rsidR="00A77B3E" w:rsidRPr="00800D1B" w:rsidRDefault="00623E14" w:rsidP="003C32DB">
      <w:pPr>
        <w:spacing w:before="360"/>
        <w:rPr>
          <w:lang w:val="sv-SE"/>
        </w:rPr>
      </w:pPr>
      <w:bookmarkStart w:id="82" w:name="_Toc256000323"/>
      <w:r w:rsidRPr="00800D1B">
        <w:rPr>
          <w:lang w:val="sv-SE"/>
        </w:rPr>
        <w:t>Planerad användning av finansieringsinstrument – artikel 22.3 d vii i förordningen om gemensamma bestämmelser</w:t>
      </w:r>
      <w:bookmarkEnd w:id="82"/>
    </w:p>
    <w:p w14:paraId="73EF9890" w14:textId="3CA7A793" w:rsidR="000D6EE3" w:rsidRPr="00800D1B" w:rsidRDefault="000D6EE3" w:rsidP="001C4055">
      <w:pPr>
        <w:pBdr>
          <w:top w:val="single" w:sz="4" w:space="10" w:color="auto"/>
          <w:left w:val="single" w:sz="4" w:space="4" w:color="auto"/>
          <w:bottom w:val="single" w:sz="4" w:space="20" w:color="auto"/>
          <w:right w:val="single" w:sz="4" w:space="4" w:color="auto"/>
          <w:between w:val="single" w:sz="4" w:space="10" w:color="auto"/>
          <w:bar w:val="single" w:sz="4" w:color="auto"/>
        </w:pBdr>
        <w:spacing w:before="120"/>
        <w:ind w:left="101"/>
        <w:rPr>
          <w:lang w:val="sv-SE"/>
        </w:rPr>
      </w:pPr>
      <w:r w:rsidRPr="00800D1B">
        <w:rPr>
          <w:lang w:val="sv-SE"/>
        </w:rPr>
        <w:t>Nej</w:t>
      </w:r>
    </w:p>
    <w:p w14:paraId="2D065E15" w14:textId="77777777" w:rsidR="00A77B3E" w:rsidRPr="00800D1B" w:rsidRDefault="00A77B3E">
      <w:pPr>
        <w:spacing w:before="100"/>
        <w:rPr>
          <w:color w:val="000000"/>
          <w:sz w:val="0"/>
          <w:lang w:val="sv-SE"/>
        </w:rPr>
      </w:pPr>
    </w:p>
    <w:p w14:paraId="2D065E1B" w14:textId="399FC72C" w:rsidR="00A77B3E" w:rsidRPr="00800D1B" w:rsidRDefault="00623E14" w:rsidP="00552F60">
      <w:pPr>
        <w:pStyle w:val="Rubrik6"/>
        <w:numPr>
          <w:ilvl w:val="4"/>
          <w:numId w:val="20"/>
        </w:numPr>
        <w:spacing w:before="360"/>
        <w:ind w:left="360"/>
      </w:pPr>
      <w:bookmarkStart w:id="83" w:name="_Toc256000324"/>
      <w:r w:rsidRPr="00800D1B">
        <w:t>Indikatorer</w:t>
      </w:r>
      <w:bookmarkEnd w:id="83"/>
    </w:p>
    <w:p w14:paraId="2D065E1C" w14:textId="77777777" w:rsidR="00A77B3E" w:rsidRPr="00800D1B" w:rsidRDefault="00A77B3E">
      <w:pPr>
        <w:spacing w:before="100"/>
        <w:rPr>
          <w:color w:val="000000"/>
          <w:sz w:val="0"/>
          <w:lang w:val="sv-SE"/>
        </w:rPr>
      </w:pPr>
    </w:p>
    <w:p w14:paraId="2D065E1D" w14:textId="77777777" w:rsidR="00A77B3E" w:rsidRPr="00800D1B" w:rsidRDefault="00623E14">
      <w:pPr>
        <w:spacing w:before="100"/>
        <w:rPr>
          <w:color w:val="000000"/>
          <w:sz w:val="0"/>
          <w:lang w:val="sv-SE"/>
        </w:rPr>
      </w:pPr>
      <w:r w:rsidRPr="00800D1B">
        <w:rPr>
          <w:color w:val="000000"/>
          <w:lang w:val="sv-SE"/>
        </w:rPr>
        <w:t>Referens: Artikel 22.3 d ii i förordningen om gemensamma bestämmelser och artikel 8 i Eruf-förordningen och förordningen om Sammanhållningsfonden</w:t>
      </w:r>
    </w:p>
    <w:p w14:paraId="2D065E1E" w14:textId="55FB7F7E" w:rsidR="00A77B3E" w:rsidRPr="00800D1B" w:rsidRDefault="00623E14" w:rsidP="003D08B5">
      <w:pPr>
        <w:spacing w:before="100" w:after="100"/>
        <w:rPr>
          <w:lang w:val="sv-SE"/>
        </w:rPr>
      </w:pPr>
      <w:bookmarkStart w:id="84" w:name="_Toc256000325"/>
      <w:r w:rsidRPr="00800D1B">
        <w:rPr>
          <w:lang w:val="sv-SE"/>
        </w:rPr>
        <w:t>Tabell 2: Utfallsindikatorer</w:t>
      </w:r>
      <w:bookmarkEnd w:id="84"/>
    </w:p>
    <w:tbl>
      <w:tblPr>
        <w:tblStyle w:val="Tabellrutnt"/>
        <w:tblW w:w="5000" w:type="pct"/>
        <w:tblLook w:val="04A0" w:firstRow="1" w:lastRow="0" w:firstColumn="1" w:lastColumn="0" w:noHBand="0" w:noVBand="1"/>
        <w:tblDescription w:val="En tabell med nio kolumner: Prioritering; Specifikt mål; Fond; Regionkategori; ID; Indikator; Mätenhet; Delmål (2024); Mål (2029). Tabellen visar information om Utfallsindikatorer."/>
      </w:tblPr>
      <w:tblGrid>
        <w:gridCol w:w="1117"/>
        <w:gridCol w:w="1090"/>
        <w:gridCol w:w="605"/>
        <w:gridCol w:w="1789"/>
        <w:gridCol w:w="905"/>
        <w:gridCol w:w="5005"/>
        <w:gridCol w:w="2090"/>
        <w:gridCol w:w="1228"/>
        <w:gridCol w:w="1343"/>
      </w:tblGrid>
      <w:tr w:rsidR="003422DB" w:rsidRPr="00800D1B" w14:paraId="2D065E29" w14:textId="77777777" w:rsidTr="00E04517">
        <w:tc>
          <w:tcPr>
            <w:tcW w:w="0" w:type="auto"/>
          </w:tcPr>
          <w:p w14:paraId="2D065E20" w14:textId="77777777" w:rsidR="00A77B3E" w:rsidRPr="00800D1B" w:rsidRDefault="00623E14" w:rsidP="00E04517">
            <w:pPr>
              <w:spacing w:before="100" w:after="100"/>
              <w:ind w:left="-72"/>
              <w:jc w:val="center"/>
              <w:rPr>
                <w:color w:val="000000"/>
                <w:sz w:val="20"/>
                <w:lang w:val="sv-SE"/>
              </w:rPr>
            </w:pPr>
            <w:r w:rsidRPr="00800D1B">
              <w:rPr>
                <w:color w:val="000000"/>
                <w:sz w:val="20"/>
                <w:lang w:val="sv-SE"/>
              </w:rPr>
              <w:t>Prioritering</w:t>
            </w:r>
          </w:p>
        </w:tc>
        <w:tc>
          <w:tcPr>
            <w:tcW w:w="0" w:type="auto"/>
          </w:tcPr>
          <w:p w14:paraId="2D065E21" w14:textId="77777777" w:rsidR="00A77B3E" w:rsidRPr="00800D1B" w:rsidRDefault="00623E14" w:rsidP="00E04517">
            <w:pPr>
              <w:spacing w:before="100" w:after="100"/>
              <w:ind w:left="-72"/>
              <w:jc w:val="center"/>
              <w:rPr>
                <w:color w:val="000000"/>
                <w:sz w:val="20"/>
                <w:lang w:val="sv-SE"/>
              </w:rPr>
            </w:pPr>
            <w:r w:rsidRPr="00800D1B">
              <w:rPr>
                <w:color w:val="000000"/>
                <w:sz w:val="20"/>
                <w:lang w:val="sv-SE"/>
              </w:rPr>
              <w:t>Specifikt mål</w:t>
            </w:r>
          </w:p>
        </w:tc>
        <w:tc>
          <w:tcPr>
            <w:tcW w:w="0" w:type="auto"/>
          </w:tcPr>
          <w:p w14:paraId="2D065E22" w14:textId="77777777" w:rsidR="00A77B3E" w:rsidRPr="00800D1B" w:rsidRDefault="00623E14" w:rsidP="00E04517">
            <w:pPr>
              <w:spacing w:before="100" w:after="100"/>
              <w:ind w:left="-72"/>
              <w:jc w:val="center"/>
              <w:rPr>
                <w:color w:val="000000"/>
                <w:sz w:val="20"/>
                <w:lang w:val="sv-SE"/>
              </w:rPr>
            </w:pPr>
            <w:r w:rsidRPr="00800D1B">
              <w:rPr>
                <w:color w:val="000000"/>
                <w:sz w:val="20"/>
                <w:lang w:val="sv-SE"/>
              </w:rPr>
              <w:t>Fond</w:t>
            </w:r>
          </w:p>
        </w:tc>
        <w:tc>
          <w:tcPr>
            <w:tcW w:w="0" w:type="auto"/>
          </w:tcPr>
          <w:p w14:paraId="2D065E23" w14:textId="77777777" w:rsidR="00A77B3E" w:rsidRPr="00800D1B" w:rsidRDefault="00623E14" w:rsidP="00E04517">
            <w:pPr>
              <w:spacing w:before="100" w:after="100"/>
              <w:ind w:left="-72"/>
              <w:jc w:val="center"/>
              <w:rPr>
                <w:color w:val="000000"/>
                <w:sz w:val="20"/>
                <w:lang w:val="sv-SE"/>
              </w:rPr>
            </w:pPr>
            <w:r w:rsidRPr="00800D1B">
              <w:rPr>
                <w:color w:val="000000"/>
                <w:sz w:val="20"/>
                <w:lang w:val="sv-SE"/>
              </w:rPr>
              <w:t>Regionkategori</w:t>
            </w:r>
          </w:p>
        </w:tc>
        <w:tc>
          <w:tcPr>
            <w:tcW w:w="0" w:type="auto"/>
          </w:tcPr>
          <w:p w14:paraId="2D065E24" w14:textId="77777777" w:rsidR="00A77B3E" w:rsidRPr="00800D1B" w:rsidRDefault="00623E14" w:rsidP="00E04517">
            <w:pPr>
              <w:spacing w:before="100" w:after="100"/>
              <w:ind w:left="-72"/>
              <w:jc w:val="center"/>
              <w:rPr>
                <w:color w:val="000000"/>
                <w:sz w:val="20"/>
                <w:lang w:val="sv-SE"/>
              </w:rPr>
            </w:pPr>
            <w:r w:rsidRPr="00800D1B">
              <w:rPr>
                <w:color w:val="000000"/>
                <w:sz w:val="20"/>
                <w:lang w:val="sv-SE"/>
              </w:rPr>
              <w:t>ID</w:t>
            </w:r>
          </w:p>
        </w:tc>
        <w:tc>
          <w:tcPr>
            <w:tcW w:w="0" w:type="auto"/>
          </w:tcPr>
          <w:p w14:paraId="2D065E25" w14:textId="77777777" w:rsidR="00A77B3E" w:rsidRPr="00800D1B" w:rsidRDefault="00623E14" w:rsidP="00E04517">
            <w:pPr>
              <w:spacing w:before="100" w:after="100"/>
              <w:ind w:left="-72"/>
              <w:jc w:val="center"/>
              <w:rPr>
                <w:color w:val="000000"/>
                <w:sz w:val="20"/>
                <w:lang w:val="sv-SE"/>
              </w:rPr>
            </w:pPr>
            <w:r w:rsidRPr="00800D1B">
              <w:rPr>
                <w:color w:val="000000"/>
                <w:sz w:val="20"/>
                <w:lang w:val="sv-SE"/>
              </w:rPr>
              <w:t>Indikator</w:t>
            </w:r>
          </w:p>
        </w:tc>
        <w:tc>
          <w:tcPr>
            <w:tcW w:w="0" w:type="auto"/>
          </w:tcPr>
          <w:p w14:paraId="2D065E26" w14:textId="77777777" w:rsidR="00A77B3E" w:rsidRPr="00800D1B" w:rsidRDefault="00623E14" w:rsidP="00E04517">
            <w:pPr>
              <w:spacing w:before="100" w:after="100"/>
              <w:ind w:left="-72"/>
              <w:jc w:val="center"/>
              <w:rPr>
                <w:color w:val="000000"/>
                <w:sz w:val="20"/>
                <w:lang w:val="sv-SE"/>
              </w:rPr>
            </w:pPr>
            <w:r w:rsidRPr="00800D1B">
              <w:rPr>
                <w:color w:val="000000"/>
                <w:sz w:val="20"/>
                <w:lang w:val="sv-SE"/>
              </w:rPr>
              <w:t>Mätenhet</w:t>
            </w:r>
          </w:p>
        </w:tc>
        <w:tc>
          <w:tcPr>
            <w:tcW w:w="0" w:type="auto"/>
          </w:tcPr>
          <w:p w14:paraId="2D065E27" w14:textId="77777777" w:rsidR="00A77B3E" w:rsidRPr="00800D1B" w:rsidRDefault="00623E14" w:rsidP="00E04517">
            <w:pPr>
              <w:spacing w:before="100" w:after="100"/>
              <w:ind w:left="-72"/>
              <w:jc w:val="center"/>
              <w:rPr>
                <w:color w:val="000000"/>
                <w:sz w:val="20"/>
                <w:lang w:val="sv-SE"/>
              </w:rPr>
            </w:pPr>
            <w:r w:rsidRPr="00800D1B">
              <w:rPr>
                <w:color w:val="000000"/>
                <w:sz w:val="20"/>
                <w:lang w:val="sv-SE"/>
              </w:rPr>
              <w:t>Delmål (2024)</w:t>
            </w:r>
          </w:p>
        </w:tc>
        <w:tc>
          <w:tcPr>
            <w:tcW w:w="0" w:type="auto"/>
          </w:tcPr>
          <w:p w14:paraId="2D065E28" w14:textId="77777777" w:rsidR="00A77B3E" w:rsidRPr="00800D1B" w:rsidRDefault="00623E14" w:rsidP="00E04517">
            <w:pPr>
              <w:spacing w:before="100" w:after="100"/>
              <w:ind w:left="-72"/>
              <w:jc w:val="center"/>
              <w:rPr>
                <w:color w:val="000000"/>
                <w:sz w:val="20"/>
                <w:lang w:val="sv-SE"/>
              </w:rPr>
            </w:pPr>
            <w:r w:rsidRPr="00800D1B">
              <w:rPr>
                <w:color w:val="000000"/>
                <w:sz w:val="20"/>
                <w:lang w:val="sv-SE"/>
              </w:rPr>
              <w:t>Mål (2029)</w:t>
            </w:r>
          </w:p>
        </w:tc>
      </w:tr>
      <w:tr w:rsidR="003422DB" w:rsidRPr="00800D1B" w14:paraId="2D065E33" w14:textId="77777777" w:rsidTr="00E04517">
        <w:tc>
          <w:tcPr>
            <w:tcW w:w="0" w:type="auto"/>
          </w:tcPr>
          <w:p w14:paraId="2D065E2A" w14:textId="77777777" w:rsidR="00A77B3E" w:rsidRPr="00800D1B" w:rsidRDefault="00623E14" w:rsidP="00E04517">
            <w:pPr>
              <w:spacing w:before="100" w:after="100"/>
              <w:ind w:left="-72"/>
              <w:rPr>
                <w:color w:val="000000"/>
                <w:sz w:val="20"/>
                <w:lang w:val="sv-SE"/>
              </w:rPr>
            </w:pPr>
            <w:r w:rsidRPr="00800D1B">
              <w:rPr>
                <w:color w:val="000000"/>
                <w:sz w:val="20"/>
                <w:lang w:val="sv-SE"/>
              </w:rPr>
              <w:t>3</w:t>
            </w:r>
          </w:p>
        </w:tc>
        <w:tc>
          <w:tcPr>
            <w:tcW w:w="0" w:type="auto"/>
          </w:tcPr>
          <w:p w14:paraId="2D065E2B" w14:textId="77777777" w:rsidR="00A77B3E" w:rsidRPr="00800D1B" w:rsidRDefault="00623E14" w:rsidP="00E04517">
            <w:pPr>
              <w:spacing w:before="100" w:after="100"/>
              <w:ind w:left="-72"/>
              <w:rPr>
                <w:color w:val="000000"/>
                <w:sz w:val="20"/>
                <w:lang w:val="sv-SE"/>
              </w:rPr>
            </w:pPr>
            <w:r w:rsidRPr="00800D1B">
              <w:rPr>
                <w:color w:val="000000"/>
                <w:sz w:val="20"/>
                <w:lang w:val="sv-SE"/>
              </w:rPr>
              <w:t>RSO1.4</w:t>
            </w:r>
          </w:p>
        </w:tc>
        <w:tc>
          <w:tcPr>
            <w:tcW w:w="0" w:type="auto"/>
          </w:tcPr>
          <w:p w14:paraId="2D065E2C" w14:textId="77777777" w:rsidR="00A77B3E" w:rsidRPr="00800D1B" w:rsidRDefault="00623E14" w:rsidP="00E04517">
            <w:pPr>
              <w:spacing w:before="100" w:after="100"/>
              <w:ind w:left="-72"/>
              <w:rPr>
                <w:color w:val="000000"/>
                <w:sz w:val="20"/>
                <w:lang w:val="sv-SE"/>
              </w:rPr>
            </w:pPr>
            <w:r w:rsidRPr="00800D1B">
              <w:rPr>
                <w:color w:val="000000"/>
                <w:sz w:val="20"/>
                <w:lang w:val="sv-SE"/>
              </w:rPr>
              <w:t>Eruf</w:t>
            </w:r>
          </w:p>
        </w:tc>
        <w:tc>
          <w:tcPr>
            <w:tcW w:w="0" w:type="auto"/>
          </w:tcPr>
          <w:p w14:paraId="2D065E2D" w14:textId="77777777" w:rsidR="00A77B3E" w:rsidRPr="00800D1B" w:rsidRDefault="00623E14" w:rsidP="00E04517">
            <w:pPr>
              <w:spacing w:before="100" w:after="100"/>
              <w:ind w:left="-72"/>
              <w:rPr>
                <w:color w:val="000000"/>
                <w:sz w:val="20"/>
                <w:lang w:val="sv-SE"/>
              </w:rPr>
            </w:pPr>
            <w:r w:rsidRPr="00800D1B">
              <w:rPr>
                <w:color w:val="000000"/>
                <w:sz w:val="20"/>
                <w:lang w:val="sv-SE"/>
              </w:rPr>
              <w:t>Mer utvecklade regioner</w:t>
            </w:r>
          </w:p>
        </w:tc>
        <w:tc>
          <w:tcPr>
            <w:tcW w:w="0" w:type="auto"/>
          </w:tcPr>
          <w:p w14:paraId="2D065E2E" w14:textId="77777777" w:rsidR="00A77B3E" w:rsidRPr="00800D1B" w:rsidRDefault="00623E14" w:rsidP="00E04517">
            <w:pPr>
              <w:spacing w:before="100" w:after="100"/>
              <w:ind w:left="-72"/>
              <w:rPr>
                <w:color w:val="000000"/>
                <w:sz w:val="20"/>
                <w:lang w:val="sv-SE"/>
              </w:rPr>
            </w:pPr>
            <w:r w:rsidRPr="00800D1B">
              <w:rPr>
                <w:color w:val="000000"/>
                <w:sz w:val="20"/>
                <w:lang w:val="sv-SE"/>
              </w:rPr>
              <w:t>RCO01</w:t>
            </w:r>
          </w:p>
        </w:tc>
        <w:tc>
          <w:tcPr>
            <w:tcW w:w="0" w:type="auto"/>
          </w:tcPr>
          <w:p w14:paraId="2D065E2F" w14:textId="77777777" w:rsidR="00A77B3E" w:rsidRPr="00800D1B" w:rsidRDefault="00623E14" w:rsidP="00E04517">
            <w:pPr>
              <w:spacing w:before="100" w:after="100"/>
              <w:ind w:left="-72"/>
              <w:rPr>
                <w:color w:val="000000"/>
                <w:sz w:val="20"/>
                <w:lang w:val="sv-SE"/>
              </w:rPr>
            </w:pPr>
            <w:r w:rsidRPr="00800D1B">
              <w:rPr>
                <w:color w:val="000000"/>
                <w:sz w:val="20"/>
                <w:lang w:val="sv-SE"/>
              </w:rPr>
              <w:t>Företag som får stöd (varav mikroföretag, små företag, medelstora företag, stora företag)</w:t>
            </w:r>
          </w:p>
        </w:tc>
        <w:tc>
          <w:tcPr>
            <w:tcW w:w="0" w:type="auto"/>
          </w:tcPr>
          <w:p w14:paraId="2D065E30" w14:textId="77777777" w:rsidR="00A77B3E" w:rsidRPr="00800D1B" w:rsidRDefault="00623E14" w:rsidP="00E04517">
            <w:pPr>
              <w:spacing w:before="100" w:after="100"/>
              <w:ind w:left="-72"/>
              <w:rPr>
                <w:color w:val="000000"/>
                <w:sz w:val="20"/>
                <w:lang w:val="sv-SE"/>
              </w:rPr>
            </w:pPr>
            <w:r w:rsidRPr="00800D1B">
              <w:rPr>
                <w:color w:val="000000"/>
                <w:sz w:val="20"/>
                <w:lang w:val="sv-SE"/>
              </w:rPr>
              <w:t>företag</w:t>
            </w:r>
          </w:p>
        </w:tc>
        <w:tc>
          <w:tcPr>
            <w:tcW w:w="0" w:type="auto"/>
          </w:tcPr>
          <w:p w14:paraId="2D065E31" w14:textId="77777777" w:rsidR="00A77B3E" w:rsidRPr="00800D1B" w:rsidRDefault="00623E14" w:rsidP="00E04517">
            <w:pPr>
              <w:spacing w:before="100" w:after="100"/>
              <w:ind w:left="-72"/>
              <w:jc w:val="right"/>
              <w:rPr>
                <w:color w:val="000000"/>
                <w:sz w:val="20"/>
                <w:lang w:val="sv-SE"/>
              </w:rPr>
            </w:pPr>
            <w:r w:rsidRPr="00800D1B">
              <w:rPr>
                <w:color w:val="000000"/>
                <w:sz w:val="20"/>
                <w:lang w:val="sv-SE"/>
              </w:rPr>
              <w:t>5,00</w:t>
            </w:r>
          </w:p>
        </w:tc>
        <w:tc>
          <w:tcPr>
            <w:tcW w:w="0" w:type="auto"/>
          </w:tcPr>
          <w:p w14:paraId="2D065E32" w14:textId="77777777" w:rsidR="00A77B3E" w:rsidRPr="00800D1B" w:rsidRDefault="00623E14" w:rsidP="00E04517">
            <w:pPr>
              <w:spacing w:before="100" w:after="100"/>
              <w:ind w:left="-72"/>
              <w:jc w:val="right"/>
              <w:rPr>
                <w:color w:val="000000"/>
                <w:sz w:val="20"/>
                <w:lang w:val="sv-SE"/>
              </w:rPr>
            </w:pPr>
            <w:r w:rsidRPr="00800D1B">
              <w:rPr>
                <w:color w:val="000000"/>
                <w:sz w:val="20"/>
                <w:lang w:val="sv-SE"/>
              </w:rPr>
              <w:t>99,00</w:t>
            </w:r>
          </w:p>
        </w:tc>
      </w:tr>
      <w:tr w:rsidR="003422DB" w:rsidRPr="00800D1B" w14:paraId="2D065E3D" w14:textId="77777777" w:rsidTr="00E04517">
        <w:tc>
          <w:tcPr>
            <w:tcW w:w="0" w:type="auto"/>
          </w:tcPr>
          <w:p w14:paraId="2D065E34" w14:textId="77777777" w:rsidR="00A77B3E" w:rsidRPr="00800D1B" w:rsidRDefault="00623E14" w:rsidP="00E04517">
            <w:pPr>
              <w:spacing w:before="100" w:after="100"/>
              <w:ind w:left="-72"/>
              <w:rPr>
                <w:color w:val="000000"/>
                <w:sz w:val="20"/>
                <w:lang w:val="sv-SE"/>
              </w:rPr>
            </w:pPr>
            <w:r w:rsidRPr="00800D1B">
              <w:rPr>
                <w:color w:val="000000"/>
                <w:sz w:val="20"/>
                <w:lang w:val="sv-SE"/>
              </w:rPr>
              <w:t>3</w:t>
            </w:r>
          </w:p>
        </w:tc>
        <w:tc>
          <w:tcPr>
            <w:tcW w:w="0" w:type="auto"/>
          </w:tcPr>
          <w:p w14:paraId="2D065E35" w14:textId="77777777" w:rsidR="00A77B3E" w:rsidRPr="00800D1B" w:rsidRDefault="00623E14" w:rsidP="00E04517">
            <w:pPr>
              <w:spacing w:before="100" w:after="100"/>
              <w:ind w:left="-72"/>
              <w:rPr>
                <w:color w:val="000000"/>
                <w:sz w:val="20"/>
                <w:lang w:val="sv-SE"/>
              </w:rPr>
            </w:pPr>
            <w:r w:rsidRPr="00800D1B">
              <w:rPr>
                <w:color w:val="000000"/>
                <w:sz w:val="20"/>
                <w:lang w:val="sv-SE"/>
              </w:rPr>
              <w:t>RSO1.4</w:t>
            </w:r>
          </w:p>
        </w:tc>
        <w:tc>
          <w:tcPr>
            <w:tcW w:w="0" w:type="auto"/>
          </w:tcPr>
          <w:p w14:paraId="2D065E36" w14:textId="77777777" w:rsidR="00A77B3E" w:rsidRPr="00800D1B" w:rsidRDefault="00623E14" w:rsidP="00E04517">
            <w:pPr>
              <w:spacing w:before="100" w:after="100"/>
              <w:ind w:left="-72"/>
              <w:rPr>
                <w:color w:val="000000"/>
                <w:sz w:val="20"/>
                <w:lang w:val="sv-SE"/>
              </w:rPr>
            </w:pPr>
            <w:r w:rsidRPr="00800D1B">
              <w:rPr>
                <w:color w:val="000000"/>
                <w:sz w:val="20"/>
                <w:lang w:val="sv-SE"/>
              </w:rPr>
              <w:t>Eruf</w:t>
            </w:r>
          </w:p>
        </w:tc>
        <w:tc>
          <w:tcPr>
            <w:tcW w:w="0" w:type="auto"/>
          </w:tcPr>
          <w:p w14:paraId="2D065E37" w14:textId="77777777" w:rsidR="00A77B3E" w:rsidRPr="00800D1B" w:rsidRDefault="00623E14" w:rsidP="00E04517">
            <w:pPr>
              <w:spacing w:before="100" w:after="100"/>
              <w:ind w:left="-72"/>
              <w:rPr>
                <w:color w:val="000000"/>
                <w:sz w:val="20"/>
                <w:lang w:val="sv-SE"/>
              </w:rPr>
            </w:pPr>
            <w:r w:rsidRPr="00800D1B">
              <w:rPr>
                <w:color w:val="000000"/>
                <w:sz w:val="20"/>
                <w:lang w:val="sv-SE"/>
              </w:rPr>
              <w:t>Mer utvecklade regioner</w:t>
            </w:r>
          </w:p>
        </w:tc>
        <w:tc>
          <w:tcPr>
            <w:tcW w:w="0" w:type="auto"/>
          </w:tcPr>
          <w:p w14:paraId="2D065E38" w14:textId="77777777" w:rsidR="00A77B3E" w:rsidRPr="00800D1B" w:rsidRDefault="00623E14" w:rsidP="00E04517">
            <w:pPr>
              <w:spacing w:before="100" w:after="100"/>
              <w:ind w:left="-72"/>
              <w:rPr>
                <w:color w:val="000000"/>
                <w:sz w:val="20"/>
                <w:lang w:val="sv-SE"/>
              </w:rPr>
            </w:pPr>
            <w:r w:rsidRPr="00800D1B">
              <w:rPr>
                <w:color w:val="000000"/>
                <w:sz w:val="20"/>
                <w:lang w:val="sv-SE"/>
              </w:rPr>
              <w:t>RCO04</w:t>
            </w:r>
          </w:p>
        </w:tc>
        <w:tc>
          <w:tcPr>
            <w:tcW w:w="0" w:type="auto"/>
          </w:tcPr>
          <w:p w14:paraId="2D065E39" w14:textId="77777777" w:rsidR="00A77B3E" w:rsidRPr="00800D1B" w:rsidRDefault="00623E14" w:rsidP="00E04517">
            <w:pPr>
              <w:spacing w:before="100" w:after="100"/>
              <w:ind w:left="-72"/>
              <w:rPr>
                <w:color w:val="000000"/>
                <w:sz w:val="20"/>
                <w:lang w:val="sv-SE"/>
              </w:rPr>
            </w:pPr>
            <w:r w:rsidRPr="00800D1B">
              <w:rPr>
                <w:color w:val="000000"/>
                <w:sz w:val="20"/>
                <w:lang w:val="sv-SE"/>
              </w:rPr>
              <w:t>Företag som får icke-finansiellt stöd</w:t>
            </w:r>
          </w:p>
        </w:tc>
        <w:tc>
          <w:tcPr>
            <w:tcW w:w="0" w:type="auto"/>
          </w:tcPr>
          <w:p w14:paraId="2D065E3A" w14:textId="77777777" w:rsidR="00A77B3E" w:rsidRPr="00800D1B" w:rsidRDefault="00623E14" w:rsidP="00E04517">
            <w:pPr>
              <w:spacing w:before="100" w:after="100"/>
              <w:ind w:left="-72"/>
              <w:rPr>
                <w:color w:val="000000"/>
                <w:sz w:val="20"/>
                <w:lang w:val="sv-SE"/>
              </w:rPr>
            </w:pPr>
            <w:r w:rsidRPr="00800D1B">
              <w:rPr>
                <w:color w:val="000000"/>
                <w:sz w:val="20"/>
                <w:lang w:val="sv-SE"/>
              </w:rPr>
              <w:t>företag</w:t>
            </w:r>
          </w:p>
        </w:tc>
        <w:tc>
          <w:tcPr>
            <w:tcW w:w="0" w:type="auto"/>
          </w:tcPr>
          <w:p w14:paraId="2D065E3B" w14:textId="77777777" w:rsidR="00A77B3E" w:rsidRPr="00800D1B" w:rsidRDefault="00623E14" w:rsidP="00E04517">
            <w:pPr>
              <w:spacing w:before="100" w:after="100"/>
              <w:ind w:left="-72"/>
              <w:jc w:val="right"/>
              <w:rPr>
                <w:color w:val="000000"/>
                <w:sz w:val="20"/>
                <w:lang w:val="sv-SE"/>
              </w:rPr>
            </w:pPr>
            <w:r w:rsidRPr="00800D1B">
              <w:rPr>
                <w:color w:val="000000"/>
                <w:sz w:val="20"/>
                <w:lang w:val="sv-SE"/>
              </w:rPr>
              <w:t>5,00</w:t>
            </w:r>
          </w:p>
        </w:tc>
        <w:tc>
          <w:tcPr>
            <w:tcW w:w="0" w:type="auto"/>
          </w:tcPr>
          <w:p w14:paraId="2D065E3C" w14:textId="77777777" w:rsidR="00A77B3E" w:rsidRPr="00800D1B" w:rsidRDefault="00623E14" w:rsidP="00E04517">
            <w:pPr>
              <w:spacing w:before="100" w:after="100"/>
              <w:ind w:left="-72"/>
              <w:jc w:val="right"/>
              <w:rPr>
                <w:color w:val="000000"/>
                <w:sz w:val="20"/>
                <w:lang w:val="sv-SE"/>
              </w:rPr>
            </w:pPr>
            <w:r w:rsidRPr="00800D1B">
              <w:rPr>
                <w:color w:val="000000"/>
                <w:sz w:val="20"/>
                <w:lang w:val="sv-SE"/>
              </w:rPr>
              <w:t>99,00</w:t>
            </w:r>
          </w:p>
        </w:tc>
      </w:tr>
      <w:tr w:rsidR="003422DB" w:rsidRPr="00800D1B" w14:paraId="2D065E47" w14:textId="77777777" w:rsidTr="00E04517">
        <w:tc>
          <w:tcPr>
            <w:tcW w:w="0" w:type="auto"/>
          </w:tcPr>
          <w:p w14:paraId="2D065E3E" w14:textId="77777777" w:rsidR="00A77B3E" w:rsidRPr="00800D1B" w:rsidRDefault="00623E14" w:rsidP="00E04517">
            <w:pPr>
              <w:spacing w:before="100" w:after="100"/>
              <w:ind w:left="-72"/>
              <w:rPr>
                <w:color w:val="000000"/>
                <w:sz w:val="20"/>
                <w:lang w:val="sv-SE"/>
              </w:rPr>
            </w:pPr>
            <w:r w:rsidRPr="00800D1B">
              <w:rPr>
                <w:color w:val="000000"/>
                <w:sz w:val="20"/>
                <w:lang w:val="sv-SE"/>
              </w:rPr>
              <w:t>3</w:t>
            </w:r>
          </w:p>
        </w:tc>
        <w:tc>
          <w:tcPr>
            <w:tcW w:w="0" w:type="auto"/>
          </w:tcPr>
          <w:p w14:paraId="2D065E3F" w14:textId="77777777" w:rsidR="00A77B3E" w:rsidRPr="00800D1B" w:rsidRDefault="00623E14" w:rsidP="00E04517">
            <w:pPr>
              <w:spacing w:before="100" w:after="100"/>
              <w:ind w:left="-72"/>
              <w:rPr>
                <w:color w:val="000000"/>
                <w:sz w:val="20"/>
                <w:lang w:val="sv-SE"/>
              </w:rPr>
            </w:pPr>
            <w:r w:rsidRPr="00800D1B">
              <w:rPr>
                <w:color w:val="000000"/>
                <w:sz w:val="20"/>
                <w:lang w:val="sv-SE"/>
              </w:rPr>
              <w:t>RSO1.4</w:t>
            </w:r>
          </w:p>
        </w:tc>
        <w:tc>
          <w:tcPr>
            <w:tcW w:w="0" w:type="auto"/>
          </w:tcPr>
          <w:p w14:paraId="2D065E40" w14:textId="77777777" w:rsidR="00A77B3E" w:rsidRPr="00800D1B" w:rsidRDefault="00623E14" w:rsidP="00E04517">
            <w:pPr>
              <w:spacing w:before="100" w:after="100"/>
              <w:ind w:left="-72"/>
              <w:rPr>
                <w:color w:val="000000"/>
                <w:sz w:val="20"/>
                <w:lang w:val="sv-SE"/>
              </w:rPr>
            </w:pPr>
            <w:r w:rsidRPr="00800D1B">
              <w:rPr>
                <w:color w:val="000000"/>
                <w:sz w:val="20"/>
                <w:lang w:val="sv-SE"/>
              </w:rPr>
              <w:t>Eruf</w:t>
            </w:r>
          </w:p>
        </w:tc>
        <w:tc>
          <w:tcPr>
            <w:tcW w:w="0" w:type="auto"/>
          </w:tcPr>
          <w:p w14:paraId="2D065E41" w14:textId="77777777" w:rsidR="00A77B3E" w:rsidRPr="00800D1B" w:rsidRDefault="00623E14" w:rsidP="00E04517">
            <w:pPr>
              <w:spacing w:before="100" w:after="100"/>
              <w:ind w:left="-72"/>
              <w:rPr>
                <w:color w:val="000000"/>
                <w:sz w:val="20"/>
                <w:lang w:val="sv-SE"/>
              </w:rPr>
            </w:pPr>
            <w:r w:rsidRPr="00800D1B">
              <w:rPr>
                <w:color w:val="000000"/>
                <w:sz w:val="20"/>
                <w:lang w:val="sv-SE"/>
              </w:rPr>
              <w:t>Mer utvecklade regioner</w:t>
            </w:r>
          </w:p>
        </w:tc>
        <w:tc>
          <w:tcPr>
            <w:tcW w:w="0" w:type="auto"/>
          </w:tcPr>
          <w:p w14:paraId="2D065E42" w14:textId="77777777" w:rsidR="00A77B3E" w:rsidRPr="00800D1B" w:rsidRDefault="00623E14" w:rsidP="00E04517">
            <w:pPr>
              <w:spacing w:before="100" w:after="100"/>
              <w:ind w:left="-72"/>
              <w:rPr>
                <w:color w:val="000000"/>
                <w:sz w:val="20"/>
                <w:lang w:val="sv-SE"/>
              </w:rPr>
            </w:pPr>
            <w:r w:rsidRPr="00800D1B">
              <w:rPr>
                <w:color w:val="000000"/>
                <w:sz w:val="20"/>
                <w:lang w:val="sv-SE"/>
              </w:rPr>
              <w:t>RCO16</w:t>
            </w:r>
          </w:p>
        </w:tc>
        <w:tc>
          <w:tcPr>
            <w:tcW w:w="0" w:type="auto"/>
          </w:tcPr>
          <w:p w14:paraId="2D065E43" w14:textId="77777777" w:rsidR="00A77B3E" w:rsidRPr="00800D1B" w:rsidRDefault="00623E14" w:rsidP="00E04517">
            <w:pPr>
              <w:spacing w:before="100" w:after="100"/>
              <w:ind w:left="-72"/>
              <w:rPr>
                <w:color w:val="000000"/>
                <w:sz w:val="20"/>
                <w:lang w:val="sv-SE"/>
              </w:rPr>
            </w:pPr>
            <w:r w:rsidRPr="00800D1B">
              <w:rPr>
                <w:color w:val="000000"/>
                <w:sz w:val="20"/>
                <w:lang w:val="sv-SE"/>
              </w:rPr>
              <w:t>Deltaganden av institutionella intressenter i entreprenörsprocessen</w:t>
            </w:r>
          </w:p>
        </w:tc>
        <w:tc>
          <w:tcPr>
            <w:tcW w:w="0" w:type="auto"/>
          </w:tcPr>
          <w:p w14:paraId="2D065E44" w14:textId="77777777" w:rsidR="00A77B3E" w:rsidRPr="00800D1B" w:rsidRDefault="00623E14" w:rsidP="00E04517">
            <w:pPr>
              <w:spacing w:before="100" w:after="100"/>
              <w:ind w:left="-72"/>
              <w:rPr>
                <w:color w:val="000000"/>
                <w:sz w:val="20"/>
                <w:lang w:val="sv-SE"/>
              </w:rPr>
            </w:pPr>
            <w:r w:rsidRPr="00800D1B">
              <w:rPr>
                <w:color w:val="000000"/>
                <w:sz w:val="20"/>
                <w:lang w:val="sv-SE"/>
              </w:rPr>
              <w:t>institutionella aktörers deltagande</w:t>
            </w:r>
          </w:p>
        </w:tc>
        <w:tc>
          <w:tcPr>
            <w:tcW w:w="0" w:type="auto"/>
          </w:tcPr>
          <w:p w14:paraId="2D065E45" w14:textId="77777777" w:rsidR="00A77B3E" w:rsidRPr="00800D1B" w:rsidRDefault="00623E14" w:rsidP="00E04517">
            <w:pPr>
              <w:spacing w:before="100" w:after="100"/>
              <w:ind w:left="-72"/>
              <w:jc w:val="right"/>
              <w:rPr>
                <w:color w:val="000000"/>
                <w:sz w:val="20"/>
                <w:lang w:val="sv-SE"/>
              </w:rPr>
            </w:pPr>
            <w:r w:rsidRPr="00800D1B">
              <w:rPr>
                <w:color w:val="000000"/>
                <w:sz w:val="20"/>
                <w:lang w:val="sv-SE"/>
              </w:rPr>
              <w:t>4,00</w:t>
            </w:r>
          </w:p>
        </w:tc>
        <w:tc>
          <w:tcPr>
            <w:tcW w:w="0" w:type="auto"/>
          </w:tcPr>
          <w:p w14:paraId="2D065E46" w14:textId="77777777" w:rsidR="00A77B3E" w:rsidRPr="00800D1B" w:rsidRDefault="00623E14" w:rsidP="00E04517">
            <w:pPr>
              <w:spacing w:before="100" w:after="100"/>
              <w:ind w:left="-72"/>
              <w:jc w:val="right"/>
              <w:rPr>
                <w:color w:val="000000"/>
                <w:sz w:val="20"/>
                <w:lang w:val="sv-SE"/>
              </w:rPr>
            </w:pPr>
            <w:r w:rsidRPr="00800D1B">
              <w:rPr>
                <w:color w:val="000000"/>
                <w:sz w:val="20"/>
                <w:lang w:val="sv-SE"/>
              </w:rPr>
              <w:t>84,00</w:t>
            </w:r>
          </w:p>
        </w:tc>
      </w:tr>
      <w:tr w:rsidR="003422DB" w:rsidRPr="00800D1B" w14:paraId="2D065E51" w14:textId="77777777" w:rsidTr="00E04517">
        <w:tc>
          <w:tcPr>
            <w:tcW w:w="0" w:type="auto"/>
          </w:tcPr>
          <w:p w14:paraId="2D065E48" w14:textId="77777777" w:rsidR="00A77B3E" w:rsidRPr="00800D1B" w:rsidRDefault="00623E14" w:rsidP="00E04517">
            <w:pPr>
              <w:spacing w:before="100" w:after="100"/>
              <w:ind w:left="-72"/>
              <w:rPr>
                <w:color w:val="000000"/>
                <w:sz w:val="20"/>
                <w:lang w:val="sv-SE"/>
              </w:rPr>
            </w:pPr>
            <w:r w:rsidRPr="00800D1B">
              <w:rPr>
                <w:color w:val="000000"/>
                <w:sz w:val="20"/>
                <w:lang w:val="sv-SE"/>
              </w:rPr>
              <w:t>3</w:t>
            </w:r>
          </w:p>
        </w:tc>
        <w:tc>
          <w:tcPr>
            <w:tcW w:w="0" w:type="auto"/>
          </w:tcPr>
          <w:p w14:paraId="2D065E49" w14:textId="77777777" w:rsidR="00A77B3E" w:rsidRPr="00800D1B" w:rsidRDefault="00623E14" w:rsidP="00E04517">
            <w:pPr>
              <w:spacing w:before="100" w:after="100"/>
              <w:ind w:left="-72"/>
              <w:rPr>
                <w:color w:val="000000"/>
                <w:sz w:val="20"/>
                <w:lang w:val="sv-SE"/>
              </w:rPr>
            </w:pPr>
            <w:r w:rsidRPr="00800D1B">
              <w:rPr>
                <w:color w:val="000000"/>
                <w:sz w:val="20"/>
                <w:lang w:val="sv-SE"/>
              </w:rPr>
              <w:t>RSO1.4</w:t>
            </w:r>
          </w:p>
        </w:tc>
        <w:tc>
          <w:tcPr>
            <w:tcW w:w="0" w:type="auto"/>
          </w:tcPr>
          <w:p w14:paraId="2D065E4A" w14:textId="77777777" w:rsidR="00A77B3E" w:rsidRPr="00800D1B" w:rsidRDefault="00623E14" w:rsidP="00E04517">
            <w:pPr>
              <w:spacing w:before="100" w:after="100"/>
              <w:ind w:left="-72"/>
              <w:rPr>
                <w:color w:val="000000"/>
                <w:sz w:val="20"/>
                <w:lang w:val="sv-SE"/>
              </w:rPr>
            </w:pPr>
            <w:r w:rsidRPr="00800D1B">
              <w:rPr>
                <w:color w:val="000000"/>
                <w:sz w:val="20"/>
                <w:lang w:val="sv-SE"/>
              </w:rPr>
              <w:t>Eruf</w:t>
            </w:r>
          </w:p>
        </w:tc>
        <w:tc>
          <w:tcPr>
            <w:tcW w:w="0" w:type="auto"/>
          </w:tcPr>
          <w:p w14:paraId="2D065E4B" w14:textId="77777777" w:rsidR="00A77B3E" w:rsidRPr="00800D1B" w:rsidRDefault="00623E14" w:rsidP="00E04517">
            <w:pPr>
              <w:spacing w:before="100" w:after="100"/>
              <w:ind w:left="-72"/>
              <w:rPr>
                <w:color w:val="000000"/>
                <w:sz w:val="20"/>
                <w:lang w:val="sv-SE"/>
              </w:rPr>
            </w:pPr>
            <w:r w:rsidRPr="00800D1B">
              <w:rPr>
                <w:color w:val="000000"/>
                <w:sz w:val="20"/>
                <w:lang w:val="sv-SE"/>
              </w:rPr>
              <w:t>Mer utvecklade regioner</w:t>
            </w:r>
          </w:p>
        </w:tc>
        <w:tc>
          <w:tcPr>
            <w:tcW w:w="0" w:type="auto"/>
          </w:tcPr>
          <w:p w14:paraId="2D065E4C" w14:textId="77777777" w:rsidR="00A77B3E" w:rsidRPr="00800D1B" w:rsidRDefault="00623E14" w:rsidP="00E04517">
            <w:pPr>
              <w:spacing w:before="100" w:after="100"/>
              <w:ind w:left="-72"/>
              <w:rPr>
                <w:color w:val="000000"/>
                <w:sz w:val="20"/>
                <w:lang w:val="sv-SE"/>
              </w:rPr>
            </w:pPr>
            <w:r w:rsidRPr="00800D1B">
              <w:rPr>
                <w:color w:val="000000"/>
                <w:sz w:val="20"/>
                <w:lang w:val="sv-SE"/>
              </w:rPr>
              <w:t>RCO101</w:t>
            </w:r>
          </w:p>
        </w:tc>
        <w:tc>
          <w:tcPr>
            <w:tcW w:w="0" w:type="auto"/>
          </w:tcPr>
          <w:p w14:paraId="2D065E4D" w14:textId="77777777" w:rsidR="00A77B3E" w:rsidRPr="00800D1B" w:rsidRDefault="00623E14" w:rsidP="00E04517">
            <w:pPr>
              <w:spacing w:before="100" w:after="100"/>
              <w:ind w:left="-72"/>
              <w:rPr>
                <w:color w:val="000000"/>
                <w:sz w:val="20"/>
                <w:lang w:val="sv-SE"/>
              </w:rPr>
            </w:pPr>
            <w:r w:rsidRPr="00800D1B">
              <w:rPr>
                <w:color w:val="000000"/>
                <w:sz w:val="20"/>
                <w:lang w:val="sv-SE"/>
              </w:rPr>
              <w:t>SMF som investerar i kompetens för smart specialisering, industriomställning och entreprenörskap</w:t>
            </w:r>
          </w:p>
        </w:tc>
        <w:tc>
          <w:tcPr>
            <w:tcW w:w="0" w:type="auto"/>
          </w:tcPr>
          <w:p w14:paraId="2D065E4E" w14:textId="77777777" w:rsidR="00A77B3E" w:rsidRPr="00800D1B" w:rsidRDefault="00623E14" w:rsidP="00E04517">
            <w:pPr>
              <w:spacing w:before="100" w:after="100"/>
              <w:ind w:left="-72"/>
              <w:rPr>
                <w:color w:val="000000"/>
                <w:sz w:val="20"/>
                <w:lang w:val="sv-SE"/>
              </w:rPr>
            </w:pPr>
            <w:r w:rsidRPr="00800D1B">
              <w:rPr>
                <w:color w:val="000000"/>
                <w:sz w:val="20"/>
                <w:lang w:val="sv-SE"/>
              </w:rPr>
              <w:t>företag</w:t>
            </w:r>
          </w:p>
        </w:tc>
        <w:tc>
          <w:tcPr>
            <w:tcW w:w="0" w:type="auto"/>
          </w:tcPr>
          <w:p w14:paraId="2D065E4F" w14:textId="77777777" w:rsidR="00A77B3E" w:rsidRPr="00800D1B" w:rsidRDefault="00623E14" w:rsidP="00E04517">
            <w:pPr>
              <w:spacing w:before="100" w:after="100"/>
              <w:ind w:left="-72"/>
              <w:jc w:val="right"/>
              <w:rPr>
                <w:color w:val="000000"/>
                <w:sz w:val="20"/>
                <w:lang w:val="sv-SE"/>
              </w:rPr>
            </w:pPr>
            <w:r w:rsidRPr="00800D1B">
              <w:rPr>
                <w:color w:val="000000"/>
                <w:sz w:val="20"/>
                <w:lang w:val="sv-SE"/>
              </w:rPr>
              <w:t>5,00</w:t>
            </w:r>
          </w:p>
        </w:tc>
        <w:tc>
          <w:tcPr>
            <w:tcW w:w="0" w:type="auto"/>
          </w:tcPr>
          <w:p w14:paraId="2D065E50" w14:textId="77777777" w:rsidR="00A77B3E" w:rsidRPr="00800D1B" w:rsidRDefault="00623E14" w:rsidP="00E04517">
            <w:pPr>
              <w:spacing w:before="100" w:after="100"/>
              <w:ind w:left="-72"/>
              <w:jc w:val="right"/>
              <w:rPr>
                <w:color w:val="000000"/>
                <w:sz w:val="20"/>
                <w:lang w:val="sv-SE"/>
              </w:rPr>
            </w:pPr>
            <w:r w:rsidRPr="00800D1B">
              <w:rPr>
                <w:color w:val="000000"/>
                <w:sz w:val="20"/>
                <w:lang w:val="sv-SE"/>
              </w:rPr>
              <w:t>99,00</w:t>
            </w:r>
          </w:p>
        </w:tc>
      </w:tr>
      <w:tr w:rsidR="003422DB" w:rsidRPr="00800D1B" w14:paraId="2D065E5B" w14:textId="77777777" w:rsidTr="00E04517">
        <w:tc>
          <w:tcPr>
            <w:tcW w:w="0" w:type="auto"/>
          </w:tcPr>
          <w:p w14:paraId="2D065E52" w14:textId="77777777" w:rsidR="00A77B3E" w:rsidRPr="00800D1B" w:rsidRDefault="00623E14" w:rsidP="00E04517">
            <w:pPr>
              <w:spacing w:before="100" w:after="100"/>
              <w:ind w:left="-72"/>
              <w:rPr>
                <w:color w:val="000000"/>
                <w:sz w:val="20"/>
                <w:lang w:val="sv-SE"/>
              </w:rPr>
            </w:pPr>
            <w:r w:rsidRPr="00800D1B">
              <w:rPr>
                <w:color w:val="000000"/>
                <w:sz w:val="20"/>
                <w:lang w:val="sv-SE"/>
              </w:rPr>
              <w:t>3</w:t>
            </w:r>
          </w:p>
        </w:tc>
        <w:tc>
          <w:tcPr>
            <w:tcW w:w="0" w:type="auto"/>
          </w:tcPr>
          <w:p w14:paraId="2D065E53" w14:textId="77777777" w:rsidR="00A77B3E" w:rsidRPr="00800D1B" w:rsidRDefault="00623E14" w:rsidP="00E04517">
            <w:pPr>
              <w:spacing w:before="100" w:after="100"/>
              <w:ind w:left="-72"/>
              <w:rPr>
                <w:color w:val="000000"/>
                <w:sz w:val="20"/>
                <w:lang w:val="sv-SE"/>
              </w:rPr>
            </w:pPr>
            <w:r w:rsidRPr="00800D1B">
              <w:rPr>
                <w:color w:val="000000"/>
                <w:sz w:val="20"/>
                <w:lang w:val="sv-SE"/>
              </w:rPr>
              <w:t>RSO1.4</w:t>
            </w:r>
          </w:p>
        </w:tc>
        <w:tc>
          <w:tcPr>
            <w:tcW w:w="0" w:type="auto"/>
          </w:tcPr>
          <w:p w14:paraId="2D065E54" w14:textId="77777777" w:rsidR="00A77B3E" w:rsidRPr="00800D1B" w:rsidRDefault="00623E14" w:rsidP="00E04517">
            <w:pPr>
              <w:spacing w:before="100" w:after="100"/>
              <w:ind w:left="-72"/>
              <w:rPr>
                <w:color w:val="000000"/>
                <w:sz w:val="20"/>
                <w:lang w:val="sv-SE"/>
              </w:rPr>
            </w:pPr>
            <w:r w:rsidRPr="00800D1B">
              <w:rPr>
                <w:color w:val="000000"/>
                <w:sz w:val="20"/>
                <w:lang w:val="sv-SE"/>
              </w:rPr>
              <w:t>Eruf</w:t>
            </w:r>
          </w:p>
        </w:tc>
        <w:tc>
          <w:tcPr>
            <w:tcW w:w="0" w:type="auto"/>
          </w:tcPr>
          <w:p w14:paraId="2D065E55" w14:textId="77777777" w:rsidR="00A77B3E" w:rsidRPr="00800D1B" w:rsidRDefault="00623E14" w:rsidP="00E04517">
            <w:pPr>
              <w:spacing w:before="100" w:after="100"/>
              <w:ind w:left="-72"/>
              <w:rPr>
                <w:color w:val="000000"/>
                <w:sz w:val="20"/>
                <w:lang w:val="sv-SE"/>
              </w:rPr>
            </w:pPr>
            <w:r w:rsidRPr="00800D1B">
              <w:rPr>
                <w:color w:val="000000"/>
                <w:sz w:val="20"/>
                <w:lang w:val="sv-SE"/>
              </w:rPr>
              <w:t>Mer utvecklade regioner</w:t>
            </w:r>
          </w:p>
        </w:tc>
        <w:tc>
          <w:tcPr>
            <w:tcW w:w="0" w:type="auto"/>
          </w:tcPr>
          <w:p w14:paraId="2D065E56" w14:textId="77777777" w:rsidR="00A77B3E" w:rsidRPr="00800D1B" w:rsidRDefault="00623E14" w:rsidP="00E04517">
            <w:pPr>
              <w:spacing w:before="100" w:after="100"/>
              <w:ind w:left="-72"/>
              <w:rPr>
                <w:color w:val="000000"/>
                <w:sz w:val="20"/>
                <w:lang w:val="sv-SE"/>
              </w:rPr>
            </w:pPr>
            <w:r w:rsidRPr="00800D1B">
              <w:rPr>
                <w:color w:val="000000"/>
                <w:sz w:val="20"/>
                <w:lang w:val="sv-SE"/>
              </w:rPr>
              <w:t>SWO02</w:t>
            </w:r>
          </w:p>
        </w:tc>
        <w:tc>
          <w:tcPr>
            <w:tcW w:w="0" w:type="auto"/>
          </w:tcPr>
          <w:p w14:paraId="2D065E57" w14:textId="77777777" w:rsidR="00A77B3E" w:rsidRPr="00800D1B" w:rsidRDefault="00623E14" w:rsidP="00E04517">
            <w:pPr>
              <w:spacing w:before="100" w:after="100"/>
              <w:ind w:left="-72"/>
              <w:rPr>
                <w:color w:val="000000"/>
                <w:sz w:val="20"/>
                <w:lang w:val="sv-SE"/>
              </w:rPr>
            </w:pPr>
            <w:r w:rsidRPr="00800D1B">
              <w:rPr>
                <w:color w:val="000000"/>
                <w:sz w:val="20"/>
                <w:lang w:val="sv-SE"/>
              </w:rPr>
              <w:t>Investeringar i euro</w:t>
            </w:r>
          </w:p>
        </w:tc>
        <w:tc>
          <w:tcPr>
            <w:tcW w:w="0" w:type="auto"/>
          </w:tcPr>
          <w:p w14:paraId="2D065E58" w14:textId="77777777" w:rsidR="00A77B3E" w:rsidRPr="00800D1B" w:rsidRDefault="00623E14" w:rsidP="00E04517">
            <w:pPr>
              <w:spacing w:before="100" w:after="100"/>
              <w:ind w:left="-72"/>
              <w:rPr>
                <w:color w:val="000000"/>
                <w:sz w:val="20"/>
                <w:lang w:val="sv-SE"/>
              </w:rPr>
            </w:pPr>
            <w:r w:rsidRPr="00800D1B">
              <w:rPr>
                <w:color w:val="000000"/>
                <w:sz w:val="20"/>
                <w:lang w:val="sv-SE"/>
              </w:rPr>
              <w:t>euro</w:t>
            </w:r>
          </w:p>
        </w:tc>
        <w:tc>
          <w:tcPr>
            <w:tcW w:w="0" w:type="auto"/>
          </w:tcPr>
          <w:p w14:paraId="2D065E59" w14:textId="77777777" w:rsidR="00A77B3E" w:rsidRPr="00800D1B" w:rsidRDefault="00623E14" w:rsidP="00E04517">
            <w:pPr>
              <w:spacing w:before="100" w:after="100"/>
              <w:ind w:left="-72"/>
              <w:jc w:val="right"/>
              <w:rPr>
                <w:color w:val="000000"/>
                <w:sz w:val="20"/>
                <w:lang w:val="sv-SE"/>
              </w:rPr>
            </w:pPr>
            <w:r w:rsidRPr="00800D1B">
              <w:rPr>
                <w:color w:val="000000"/>
                <w:sz w:val="20"/>
                <w:lang w:val="sv-SE"/>
              </w:rPr>
              <w:t>536 074,00</w:t>
            </w:r>
          </w:p>
        </w:tc>
        <w:tc>
          <w:tcPr>
            <w:tcW w:w="0" w:type="auto"/>
          </w:tcPr>
          <w:p w14:paraId="2D065E5A" w14:textId="77777777" w:rsidR="00A77B3E" w:rsidRPr="00800D1B" w:rsidRDefault="00623E14" w:rsidP="00E04517">
            <w:pPr>
              <w:spacing w:before="100" w:after="100"/>
              <w:ind w:left="-72"/>
              <w:jc w:val="right"/>
              <w:rPr>
                <w:color w:val="000000"/>
                <w:sz w:val="20"/>
                <w:lang w:val="sv-SE"/>
              </w:rPr>
            </w:pPr>
            <w:r w:rsidRPr="00800D1B">
              <w:rPr>
                <w:color w:val="000000"/>
                <w:sz w:val="20"/>
                <w:lang w:val="sv-SE"/>
              </w:rPr>
              <w:t>10 721 478,00</w:t>
            </w:r>
          </w:p>
        </w:tc>
      </w:tr>
    </w:tbl>
    <w:p w14:paraId="2D065E5D" w14:textId="77777777" w:rsidR="00A77B3E" w:rsidRPr="00800D1B" w:rsidRDefault="00623E14" w:rsidP="00552F60">
      <w:pPr>
        <w:spacing w:before="300"/>
        <w:rPr>
          <w:color w:val="000000"/>
          <w:sz w:val="0"/>
          <w:lang w:val="sv-SE"/>
        </w:rPr>
      </w:pPr>
      <w:r w:rsidRPr="00800D1B">
        <w:rPr>
          <w:color w:val="000000"/>
          <w:lang w:val="sv-SE"/>
        </w:rPr>
        <w:t>Referens: Artikel 22.3 d ii i förordningen om gemensamma bestämmelser</w:t>
      </w:r>
    </w:p>
    <w:p w14:paraId="2D065E5E" w14:textId="53205771" w:rsidR="00A77B3E" w:rsidRPr="00800D1B" w:rsidRDefault="00623E14" w:rsidP="003D08B5">
      <w:pPr>
        <w:spacing w:before="100" w:after="100"/>
        <w:rPr>
          <w:lang w:val="sv-SE"/>
        </w:rPr>
      </w:pPr>
      <w:bookmarkStart w:id="85" w:name="_Toc256000326"/>
      <w:r w:rsidRPr="00800D1B">
        <w:rPr>
          <w:lang w:val="sv-SE"/>
        </w:rPr>
        <w:t>Tabell 3: Resultatindikatorer</w:t>
      </w:r>
      <w:bookmarkEnd w:id="85"/>
    </w:p>
    <w:tbl>
      <w:tblPr>
        <w:tblStyle w:val="Tabellrutnt"/>
        <w:tblW w:w="5000" w:type="pct"/>
        <w:tblLook w:val="04A0" w:firstRow="1" w:lastRow="0" w:firstColumn="1" w:lastColumn="0" w:noHBand="0" w:noVBand="1"/>
        <w:tblDescription w:val="En tabell med tolv kolumner: Prioritering; Specifikt mål; Fond; Regionkategori; ID; Indikator; Mätenhet; Utgångsvärde eller referensvärde; Referensår; Mål (2029); Datakälla; Kommentarer. Tabellen visar information om Resultatindikatorer."/>
      </w:tblPr>
      <w:tblGrid>
        <w:gridCol w:w="1079"/>
        <w:gridCol w:w="924"/>
        <w:gridCol w:w="569"/>
        <w:gridCol w:w="1484"/>
        <w:gridCol w:w="791"/>
        <w:gridCol w:w="3857"/>
        <w:gridCol w:w="1035"/>
        <w:gridCol w:w="1465"/>
        <w:gridCol w:w="1024"/>
        <w:gridCol w:w="752"/>
        <w:gridCol w:w="924"/>
        <w:gridCol w:w="1268"/>
      </w:tblGrid>
      <w:tr w:rsidR="003422DB" w:rsidRPr="00800D1B" w14:paraId="2D065E6C" w14:textId="77777777" w:rsidTr="00E04517">
        <w:tc>
          <w:tcPr>
            <w:tcW w:w="0" w:type="auto"/>
          </w:tcPr>
          <w:p w14:paraId="2D065E60" w14:textId="77777777" w:rsidR="00A77B3E" w:rsidRPr="00800D1B" w:rsidRDefault="00623E14" w:rsidP="00E04517">
            <w:pPr>
              <w:spacing w:before="100" w:after="100"/>
              <w:ind w:left="-72"/>
              <w:jc w:val="center"/>
              <w:rPr>
                <w:color w:val="000000"/>
                <w:sz w:val="20"/>
                <w:lang w:val="sv-SE"/>
              </w:rPr>
            </w:pPr>
            <w:r w:rsidRPr="00800D1B">
              <w:rPr>
                <w:color w:val="000000"/>
                <w:sz w:val="20"/>
                <w:lang w:val="sv-SE"/>
              </w:rPr>
              <w:t>Prioritering</w:t>
            </w:r>
          </w:p>
        </w:tc>
        <w:tc>
          <w:tcPr>
            <w:tcW w:w="0" w:type="auto"/>
          </w:tcPr>
          <w:p w14:paraId="2D065E61" w14:textId="77777777" w:rsidR="00A77B3E" w:rsidRPr="00800D1B" w:rsidRDefault="00623E14" w:rsidP="00E04517">
            <w:pPr>
              <w:spacing w:before="100" w:after="100"/>
              <w:ind w:left="-72"/>
              <w:jc w:val="center"/>
              <w:rPr>
                <w:color w:val="000000"/>
                <w:sz w:val="20"/>
                <w:lang w:val="sv-SE"/>
              </w:rPr>
            </w:pPr>
            <w:r w:rsidRPr="00800D1B">
              <w:rPr>
                <w:color w:val="000000"/>
                <w:sz w:val="20"/>
                <w:lang w:val="sv-SE"/>
              </w:rPr>
              <w:t>Specifikt mål</w:t>
            </w:r>
          </w:p>
        </w:tc>
        <w:tc>
          <w:tcPr>
            <w:tcW w:w="0" w:type="auto"/>
          </w:tcPr>
          <w:p w14:paraId="2D065E62" w14:textId="77777777" w:rsidR="00A77B3E" w:rsidRPr="00800D1B" w:rsidRDefault="00623E14" w:rsidP="00E04517">
            <w:pPr>
              <w:spacing w:before="100" w:after="100"/>
              <w:ind w:left="-72"/>
              <w:jc w:val="center"/>
              <w:rPr>
                <w:color w:val="000000"/>
                <w:sz w:val="20"/>
                <w:lang w:val="sv-SE"/>
              </w:rPr>
            </w:pPr>
            <w:r w:rsidRPr="00800D1B">
              <w:rPr>
                <w:color w:val="000000"/>
                <w:sz w:val="20"/>
                <w:lang w:val="sv-SE"/>
              </w:rPr>
              <w:t>Fond</w:t>
            </w:r>
          </w:p>
        </w:tc>
        <w:tc>
          <w:tcPr>
            <w:tcW w:w="0" w:type="auto"/>
          </w:tcPr>
          <w:p w14:paraId="2D065E63" w14:textId="77777777" w:rsidR="00A77B3E" w:rsidRPr="00800D1B" w:rsidRDefault="00623E14" w:rsidP="00E04517">
            <w:pPr>
              <w:spacing w:before="100" w:after="100"/>
              <w:ind w:left="-72"/>
              <w:jc w:val="center"/>
              <w:rPr>
                <w:color w:val="000000"/>
                <w:sz w:val="20"/>
                <w:lang w:val="sv-SE"/>
              </w:rPr>
            </w:pPr>
            <w:r w:rsidRPr="00800D1B">
              <w:rPr>
                <w:color w:val="000000"/>
                <w:sz w:val="20"/>
                <w:lang w:val="sv-SE"/>
              </w:rPr>
              <w:t>Regionkategori</w:t>
            </w:r>
          </w:p>
        </w:tc>
        <w:tc>
          <w:tcPr>
            <w:tcW w:w="0" w:type="auto"/>
          </w:tcPr>
          <w:p w14:paraId="2D065E64" w14:textId="77777777" w:rsidR="00A77B3E" w:rsidRPr="00800D1B" w:rsidRDefault="00623E14" w:rsidP="00E04517">
            <w:pPr>
              <w:spacing w:before="100" w:after="100"/>
              <w:ind w:left="-72"/>
              <w:jc w:val="center"/>
              <w:rPr>
                <w:color w:val="000000"/>
                <w:sz w:val="20"/>
                <w:lang w:val="sv-SE"/>
              </w:rPr>
            </w:pPr>
            <w:r w:rsidRPr="00800D1B">
              <w:rPr>
                <w:color w:val="000000"/>
                <w:sz w:val="20"/>
                <w:lang w:val="sv-SE"/>
              </w:rPr>
              <w:t>ID</w:t>
            </w:r>
          </w:p>
        </w:tc>
        <w:tc>
          <w:tcPr>
            <w:tcW w:w="0" w:type="auto"/>
          </w:tcPr>
          <w:p w14:paraId="2D065E65" w14:textId="77777777" w:rsidR="00A77B3E" w:rsidRPr="00800D1B" w:rsidRDefault="00623E14" w:rsidP="00E04517">
            <w:pPr>
              <w:spacing w:before="100" w:after="100"/>
              <w:ind w:left="-72"/>
              <w:jc w:val="center"/>
              <w:rPr>
                <w:color w:val="000000"/>
                <w:sz w:val="20"/>
                <w:lang w:val="sv-SE"/>
              </w:rPr>
            </w:pPr>
            <w:r w:rsidRPr="00800D1B">
              <w:rPr>
                <w:color w:val="000000"/>
                <w:sz w:val="20"/>
                <w:lang w:val="sv-SE"/>
              </w:rPr>
              <w:t>Indikator</w:t>
            </w:r>
          </w:p>
        </w:tc>
        <w:tc>
          <w:tcPr>
            <w:tcW w:w="0" w:type="auto"/>
          </w:tcPr>
          <w:p w14:paraId="2D065E66" w14:textId="77777777" w:rsidR="00A77B3E" w:rsidRPr="00800D1B" w:rsidRDefault="00623E14" w:rsidP="00E04517">
            <w:pPr>
              <w:spacing w:before="100" w:after="100"/>
              <w:ind w:left="-72"/>
              <w:jc w:val="center"/>
              <w:rPr>
                <w:color w:val="000000"/>
                <w:sz w:val="20"/>
                <w:lang w:val="sv-SE"/>
              </w:rPr>
            </w:pPr>
            <w:r w:rsidRPr="00800D1B">
              <w:rPr>
                <w:color w:val="000000"/>
                <w:sz w:val="20"/>
                <w:lang w:val="sv-SE"/>
              </w:rPr>
              <w:t>Mätenhet</w:t>
            </w:r>
          </w:p>
        </w:tc>
        <w:tc>
          <w:tcPr>
            <w:tcW w:w="0" w:type="auto"/>
          </w:tcPr>
          <w:p w14:paraId="2D065E67" w14:textId="77777777" w:rsidR="00A77B3E" w:rsidRPr="00800D1B" w:rsidRDefault="00623E14" w:rsidP="00E04517">
            <w:pPr>
              <w:spacing w:before="100" w:after="100"/>
              <w:ind w:left="-72"/>
              <w:jc w:val="center"/>
              <w:rPr>
                <w:color w:val="000000"/>
                <w:sz w:val="20"/>
                <w:lang w:val="sv-SE"/>
              </w:rPr>
            </w:pPr>
            <w:r w:rsidRPr="00800D1B">
              <w:rPr>
                <w:color w:val="000000"/>
                <w:sz w:val="20"/>
                <w:lang w:val="sv-SE"/>
              </w:rPr>
              <w:t>Utgångsvärde eller referensvärde</w:t>
            </w:r>
          </w:p>
        </w:tc>
        <w:tc>
          <w:tcPr>
            <w:tcW w:w="0" w:type="auto"/>
          </w:tcPr>
          <w:p w14:paraId="2D065E68" w14:textId="77777777" w:rsidR="00A77B3E" w:rsidRPr="00800D1B" w:rsidRDefault="00623E14" w:rsidP="00E04517">
            <w:pPr>
              <w:spacing w:before="100" w:after="100"/>
              <w:ind w:left="-72"/>
              <w:jc w:val="center"/>
              <w:rPr>
                <w:color w:val="000000"/>
                <w:sz w:val="20"/>
                <w:lang w:val="sv-SE"/>
              </w:rPr>
            </w:pPr>
            <w:r w:rsidRPr="00800D1B">
              <w:rPr>
                <w:color w:val="000000"/>
                <w:sz w:val="20"/>
                <w:lang w:val="sv-SE"/>
              </w:rPr>
              <w:t>Referensår</w:t>
            </w:r>
          </w:p>
        </w:tc>
        <w:tc>
          <w:tcPr>
            <w:tcW w:w="0" w:type="auto"/>
          </w:tcPr>
          <w:p w14:paraId="2D065E69" w14:textId="77777777" w:rsidR="00A77B3E" w:rsidRPr="00800D1B" w:rsidRDefault="00623E14" w:rsidP="00E04517">
            <w:pPr>
              <w:spacing w:before="100" w:after="100"/>
              <w:ind w:left="-72"/>
              <w:jc w:val="center"/>
              <w:rPr>
                <w:color w:val="000000"/>
                <w:sz w:val="20"/>
                <w:lang w:val="sv-SE"/>
              </w:rPr>
            </w:pPr>
            <w:r w:rsidRPr="00800D1B">
              <w:rPr>
                <w:color w:val="000000"/>
                <w:sz w:val="20"/>
                <w:lang w:val="sv-SE"/>
              </w:rPr>
              <w:t>Mål (2029)</w:t>
            </w:r>
          </w:p>
        </w:tc>
        <w:tc>
          <w:tcPr>
            <w:tcW w:w="0" w:type="auto"/>
          </w:tcPr>
          <w:p w14:paraId="2D065E6A" w14:textId="77777777" w:rsidR="00A77B3E" w:rsidRPr="00800D1B" w:rsidRDefault="00623E14" w:rsidP="00E04517">
            <w:pPr>
              <w:spacing w:before="100" w:after="100"/>
              <w:ind w:left="-72"/>
              <w:jc w:val="center"/>
              <w:rPr>
                <w:color w:val="000000"/>
                <w:sz w:val="20"/>
                <w:lang w:val="sv-SE"/>
              </w:rPr>
            </w:pPr>
            <w:r w:rsidRPr="00800D1B">
              <w:rPr>
                <w:color w:val="000000"/>
                <w:sz w:val="20"/>
                <w:lang w:val="sv-SE"/>
              </w:rPr>
              <w:t>Datakälla</w:t>
            </w:r>
          </w:p>
        </w:tc>
        <w:tc>
          <w:tcPr>
            <w:tcW w:w="0" w:type="auto"/>
          </w:tcPr>
          <w:p w14:paraId="2D065E6B" w14:textId="77777777" w:rsidR="00A77B3E" w:rsidRPr="00800D1B" w:rsidRDefault="00623E14" w:rsidP="00E04517">
            <w:pPr>
              <w:spacing w:before="100" w:after="100"/>
              <w:ind w:left="-72"/>
              <w:jc w:val="center"/>
              <w:rPr>
                <w:color w:val="000000"/>
                <w:sz w:val="20"/>
                <w:lang w:val="sv-SE"/>
              </w:rPr>
            </w:pPr>
            <w:r w:rsidRPr="00800D1B">
              <w:rPr>
                <w:color w:val="000000"/>
                <w:sz w:val="20"/>
                <w:lang w:val="sv-SE"/>
              </w:rPr>
              <w:t>Kommentarer</w:t>
            </w:r>
          </w:p>
        </w:tc>
      </w:tr>
      <w:tr w:rsidR="003422DB" w:rsidRPr="00800D1B" w14:paraId="2D065E79" w14:textId="77777777" w:rsidTr="00E04517">
        <w:tc>
          <w:tcPr>
            <w:tcW w:w="0" w:type="auto"/>
          </w:tcPr>
          <w:p w14:paraId="2D065E6D" w14:textId="77777777" w:rsidR="00A77B3E" w:rsidRPr="00800D1B" w:rsidRDefault="00623E14" w:rsidP="00E04517">
            <w:pPr>
              <w:spacing w:before="100" w:after="100"/>
              <w:ind w:left="-72"/>
              <w:rPr>
                <w:color w:val="000000"/>
                <w:sz w:val="20"/>
                <w:lang w:val="sv-SE"/>
              </w:rPr>
            </w:pPr>
            <w:r w:rsidRPr="00800D1B">
              <w:rPr>
                <w:color w:val="000000"/>
                <w:sz w:val="20"/>
                <w:lang w:val="sv-SE"/>
              </w:rPr>
              <w:t>3</w:t>
            </w:r>
          </w:p>
        </w:tc>
        <w:tc>
          <w:tcPr>
            <w:tcW w:w="0" w:type="auto"/>
          </w:tcPr>
          <w:p w14:paraId="2D065E6E" w14:textId="77777777" w:rsidR="00A77B3E" w:rsidRPr="00800D1B" w:rsidRDefault="00623E14" w:rsidP="00E04517">
            <w:pPr>
              <w:spacing w:before="100" w:after="100"/>
              <w:ind w:left="-72"/>
              <w:rPr>
                <w:color w:val="000000"/>
                <w:sz w:val="20"/>
                <w:lang w:val="sv-SE"/>
              </w:rPr>
            </w:pPr>
            <w:r w:rsidRPr="00800D1B">
              <w:rPr>
                <w:color w:val="000000"/>
                <w:sz w:val="20"/>
                <w:lang w:val="sv-SE"/>
              </w:rPr>
              <w:t>RSO1.4</w:t>
            </w:r>
          </w:p>
        </w:tc>
        <w:tc>
          <w:tcPr>
            <w:tcW w:w="0" w:type="auto"/>
          </w:tcPr>
          <w:p w14:paraId="2D065E6F" w14:textId="77777777" w:rsidR="00A77B3E" w:rsidRPr="00800D1B" w:rsidRDefault="00623E14" w:rsidP="00E04517">
            <w:pPr>
              <w:spacing w:before="100" w:after="100"/>
              <w:ind w:left="-72"/>
              <w:rPr>
                <w:color w:val="000000"/>
                <w:sz w:val="20"/>
                <w:lang w:val="sv-SE"/>
              </w:rPr>
            </w:pPr>
            <w:r w:rsidRPr="00800D1B">
              <w:rPr>
                <w:color w:val="000000"/>
                <w:sz w:val="20"/>
                <w:lang w:val="sv-SE"/>
              </w:rPr>
              <w:t>Eruf</w:t>
            </w:r>
          </w:p>
        </w:tc>
        <w:tc>
          <w:tcPr>
            <w:tcW w:w="0" w:type="auto"/>
          </w:tcPr>
          <w:p w14:paraId="2D065E70" w14:textId="77777777" w:rsidR="00A77B3E" w:rsidRPr="00800D1B" w:rsidRDefault="00623E14" w:rsidP="00E04517">
            <w:pPr>
              <w:spacing w:before="100" w:after="100"/>
              <w:ind w:left="-72"/>
              <w:rPr>
                <w:color w:val="000000"/>
                <w:sz w:val="20"/>
                <w:lang w:val="sv-SE"/>
              </w:rPr>
            </w:pPr>
            <w:r w:rsidRPr="00800D1B">
              <w:rPr>
                <w:color w:val="000000"/>
                <w:sz w:val="20"/>
                <w:lang w:val="sv-SE"/>
              </w:rPr>
              <w:t>Mer utvecklade regioner</w:t>
            </w:r>
          </w:p>
        </w:tc>
        <w:tc>
          <w:tcPr>
            <w:tcW w:w="0" w:type="auto"/>
          </w:tcPr>
          <w:p w14:paraId="2D065E71" w14:textId="77777777" w:rsidR="00A77B3E" w:rsidRPr="00800D1B" w:rsidRDefault="00623E14" w:rsidP="00E04517">
            <w:pPr>
              <w:spacing w:before="100" w:after="100"/>
              <w:ind w:left="-72"/>
              <w:rPr>
                <w:color w:val="000000"/>
                <w:sz w:val="20"/>
                <w:lang w:val="sv-SE"/>
              </w:rPr>
            </w:pPr>
            <w:r w:rsidRPr="00800D1B">
              <w:rPr>
                <w:color w:val="000000"/>
                <w:sz w:val="20"/>
                <w:lang w:val="sv-SE"/>
              </w:rPr>
              <w:t>RCR98</w:t>
            </w:r>
          </w:p>
        </w:tc>
        <w:tc>
          <w:tcPr>
            <w:tcW w:w="0" w:type="auto"/>
          </w:tcPr>
          <w:p w14:paraId="2D065E72" w14:textId="77777777" w:rsidR="00A77B3E" w:rsidRPr="00800D1B" w:rsidRDefault="00623E14" w:rsidP="00E04517">
            <w:pPr>
              <w:spacing w:before="100" w:after="100"/>
              <w:ind w:left="-72"/>
              <w:rPr>
                <w:color w:val="000000"/>
                <w:sz w:val="20"/>
                <w:lang w:val="sv-SE"/>
              </w:rPr>
            </w:pPr>
            <w:r w:rsidRPr="00800D1B">
              <w:rPr>
                <w:color w:val="000000"/>
                <w:sz w:val="20"/>
                <w:lang w:val="sv-SE"/>
              </w:rPr>
              <w:t>Personal i små och medelstora företag som avslutar kompetensutveckling för smart specialisering, industriomställning och entreprenörskap (per färdighet: teknik, förvaltning, entreprenörskap, grön kompetens, annan)</w:t>
            </w:r>
          </w:p>
        </w:tc>
        <w:tc>
          <w:tcPr>
            <w:tcW w:w="0" w:type="auto"/>
          </w:tcPr>
          <w:p w14:paraId="2D065E73" w14:textId="77777777" w:rsidR="00A77B3E" w:rsidRPr="00800D1B" w:rsidRDefault="00623E14" w:rsidP="00E04517">
            <w:pPr>
              <w:spacing w:before="100" w:after="100"/>
              <w:ind w:left="-72"/>
              <w:rPr>
                <w:color w:val="000000"/>
                <w:sz w:val="20"/>
                <w:lang w:val="sv-SE"/>
              </w:rPr>
            </w:pPr>
            <w:r w:rsidRPr="00800D1B">
              <w:rPr>
                <w:color w:val="000000"/>
                <w:sz w:val="20"/>
                <w:lang w:val="sv-SE"/>
              </w:rPr>
              <w:t>deltagare</w:t>
            </w:r>
          </w:p>
        </w:tc>
        <w:tc>
          <w:tcPr>
            <w:tcW w:w="0" w:type="auto"/>
          </w:tcPr>
          <w:p w14:paraId="2D065E74" w14:textId="77777777" w:rsidR="00A77B3E" w:rsidRPr="00800D1B" w:rsidRDefault="00623E14" w:rsidP="00E04517">
            <w:pPr>
              <w:spacing w:before="100" w:after="100"/>
              <w:ind w:left="-72"/>
              <w:jc w:val="right"/>
              <w:rPr>
                <w:color w:val="000000"/>
                <w:sz w:val="20"/>
                <w:lang w:val="sv-SE"/>
              </w:rPr>
            </w:pPr>
            <w:r w:rsidRPr="00800D1B">
              <w:rPr>
                <w:color w:val="000000"/>
                <w:sz w:val="20"/>
                <w:lang w:val="sv-SE"/>
              </w:rPr>
              <w:t>0,00</w:t>
            </w:r>
          </w:p>
        </w:tc>
        <w:tc>
          <w:tcPr>
            <w:tcW w:w="0" w:type="auto"/>
          </w:tcPr>
          <w:p w14:paraId="2D065E75" w14:textId="77777777" w:rsidR="00A77B3E" w:rsidRPr="00800D1B" w:rsidRDefault="00623E14" w:rsidP="00E04517">
            <w:pPr>
              <w:spacing w:before="100" w:after="100"/>
              <w:ind w:left="-72"/>
              <w:jc w:val="center"/>
              <w:rPr>
                <w:color w:val="000000"/>
                <w:sz w:val="20"/>
                <w:lang w:val="sv-SE"/>
              </w:rPr>
            </w:pPr>
            <w:r w:rsidRPr="00800D1B">
              <w:rPr>
                <w:color w:val="000000"/>
                <w:sz w:val="20"/>
                <w:lang w:val="sv-SE"/>
              </w:rPr>
              <w:t>2021</w:t>
            </w:r>
          </w:p>
        </w:tc>
        <w:tc>
          <w:tcPr>
            <w:tcW w:w="0" w:type="auto"/>
          </w:tcPr>
          <w:p w14:paraId="2D065E76" w14:textId="77777777" w:rsidR="00A77B3E" w:rsidRPr="00800D1B" w:rsidRDefault="00623E14" w:rsidP="00E04517">
            <w:pPr>
              <w:spacing w:before="100" w:after="100"/>
              <w:ind w:left="-72"/>
              <w:jc w:val="right"/>
              <w:rPr>
                <w:color w:val="000000"/>
                <w:sz w:val="20"/>
                <w:lang w:val="sv-SE"/>
              </w:rPr>
            </w:pPr>
            <w:r w:rsidRPr="00800D1B">
              <w:rPr>
                <w:color w:val="000000"/>
                <w:sz w:val="20"/>
                <w:lang w:val="sv-SE"/>
              </w:rPr>
              <w:t>296,00</w:t>
            </w:r>
          </w:p>
        </w:tc>
        <w:tc>
          <w:tcPr>
            <w:tcW w:w="0" w:type="auto"/>
          </w:tcPr>
          <w:p w14:paraId="2D065E77" w14:textId="77777777" w:rsidR="00A77B3E" w:rsidRPr="00800D1B" w:rsidRDefault="00623E14" w:rsidP="00E04517">
            <w:pPr>
              <w:spacing w:before="100" w:after="100"/>
              <w:ind w:left="-72"/>
              <w:rPr>
                <w:color w:val="000000"/>
                <w:sz w:val="20"/>
                <w:lang w:val="sv-SE"/>
              </w:rPr>
            </w:pPr>
            <w:r w:rsidRPr="00800D1B">
              <w:rPr>
                <w:color w:val="000000"/>
                <w:sz w:val="20"/>
                <w:lang w:val="sv-SE"/>
              </w:rPr>
              <w:t>Projekt</w:t>
            </w:r>
          </w:p>
        </w:tc>
        <w:tc>
          <w:tcPr>
            <w:tcW w:w="0" w:type="auto"/>
          </w:tcPr>
          <w:p w14:paraId="2D065E78" w14:textId="77777777" w:rsidR="00A77B3E" w:rsidRPr="00800D1B" w:rsidRDefault="00A77B3E" w:rsidP="00E04517">
            <w:pPr>
              <w:spacing w:before="100" w:after="100"/>
              <w:ind w:left="-72"/>
              <w:rPr>
                <w:color w:val="000000"/>
                <w:sz w:val="20"/>
                <w:lang w:val="sv-SE"/>
              </w:rPr>
            </w:pPr>
          </w:p>
        </w:tc>
      </w:tr>
      <w:tr w:rsidR="003422DB" w:rsidRPr="00800D1B" w14:paraId="2D065E86" w14:textId="77777777" w:rsidTr="00E04517">
        <w:tc>
          <w:tcPr>
            <w:tcW w:w="0" w:type="auto"/>
          </w:tcPr>
          <w:p w14:paraId="2D065E7A" w14:textId="77777777" w:rsidR="00A77B3E" w:rsidRPr="00800D1B" w:rsidRDefault="00623E14" w:rsidP="00E04517">
            <w:pPr>
              <w:spacing w:before="100" w:after="100"/>
              <w:ind w:left="-72"/>
              <w:rPr>
                <w:color w:val="000000"/>
                <w:sz w:val="20"/>
                <w:lang w:val="sv-SE"/>
              </w:rPr>
            </w:pPr>
            <w:r w:rsidRPr="00800D1B">
              <w:rPr>
                <w:color w:val="000000"/>
                <w:sz w:val="20"/>
                <w:lang w:val="sv-SE"/>
              </w:rPr>
              <w:t>3</w:t>
            </w:r>
          </w:p>
        </w:tc>
        <w:tc>
          <w:tcPr>
            <w:tcW w:w="0" w:type="auto"/>
          </w:tcPr>
          <w:p w14:paraId="2D065E7B" w14:textId="77777777" w:rsidR="00A77B3E" w:rsidRPr="00800D1B" w:rsidRDefault="00623E14" w:rsidP="00E04517">
            <w:pPr>
              <w:spacing w:before="100" w:after="100"/>
              <w:ind w:left="-72"/>
              <w:rPr>
                <w:color w:val="000000"/>
                <w:sz w:val="20"/>
                <w:lang w:val="sv-SE"/>
              </w:rPr>
            </w:pPr>
            <w:r w:rsidRPr="00800D1B">
              <w:rPr>
                <w:color w:val="000000"/>
                <w:sz w:val="20"/>
                <w:lang w:val="sv-SE"/>
              </w:rPr>
              <w:t>RSO1.4</w:t>
            </w:r>
          </w:p>
        </w:tc>
        <w:tc>
          <w:tcPr>
            <w:tcW w:w="0" w:type="auto"/>
          </w:tcPr>
          <w:p w14:paraId="2D065E7C" w14:textId="77777777" w:rsidR="00A77B3E" w:rsidRPr="00800D1B" w:rsidRDefault="00623E14" w:rsidP="00E04517">
            <w:pPr>
              <w:spacing w:before="100" w:after="100"/>
              <w:ind w:left="-72"/>
              <w:rPr>
                <w:color w:val="000000"/>
                <w:sz w:val="20"/>
                <w:lang w:val="sv-SE"/>
              </w:rPr>
            </w:pPr>
            <w:r w:rsidRPr="00800D1B">
              <w:rPr>
                <w:color w:val="000000"/>
                <w:sz w:val="20"/>
                <w:lang w:val="sv-SE"/>
              </w:rPr>
              <w:t>Eruf</w:t>
            </w:r>
          </w:p>
        </w:tc>
        <w:tc>
          <w:tcPr>
            <w:tcW w:w="0" w:type="auto"/>
          </w:tcPr>
          <w:p w14:paraId="2D065E7D" w14:textId="77777777" w:rsidR="00A77B3E" w:rsidRPr="00800D1B" w:rsidRDefault="00623E14" w:rsidP="00E04517">
            <w:pPr>
              <w:spacing w:before="100" w:after="100"/>
              <w:ind w:left="-72"/>
              <w:rPr>
                <w:color w:val="000000"/>
                <w:sz w:val="20"/>
                <w:lang w:val="sv-SE"/>
              </w:rPr>
            </w:pPr>
            <w:r w:rsidRPr="00800D1B">
              <w:rPr>
                <w:color w:val="000000"/>
                <w:sz w:val="20"/>
                <w:lang w:val="sv-SE"/>
              </w:rPr>
              <w:t>Mer utvecklade regioner</w:t>
            </w:r>
          </w:p>
        </w:tc>
        <w:tc>
          <w:tcPr>
            <w:tcW w:w="0" w:type="auto"/>
          </w:tcPr>
          <w:p w14:paraId="2D065E7E" w14:textId="77777777" w:rsidR="00A77B3E" w:rsidRPr="00800D1B" w:rsidRDefault="00623E14" w:rsidP="00E04517">
            <w:pPr>
              <w:spacing w:before="100" w:after="100"/>
              <w:ind w:left="-72"/>
              <w:rPr>
                <w:color w:val="000000"/>
                <w:sz w:val="20"/>
                <w:lang w:val="sv-SE"/>
              </w:rPr>
            </w:pPr>
            <w:r w:rsidRPr="00800D1B">
              <w:rPr>
                <w:color w:val="000000"/>
                <w:sz w:val="20"/>
                <w:lang w:val="sv-SE"/>
              </w:rPr>
              <w:t>SWR03</w:t>
            </w:r>
          </w:p>
        </w:tc>
        <w:tc>
          <w:tcPr>
            <w:tcW w:w="0" w:type="auto"/>
          </w:tcPr>
          <w:p w14:paraId="2D065E7F" w14:textId="77777777" w:rsidR="00A77B3E" w:rsidRPr="00800D1B" w:rsidRDefault="00623E14" w:rsidP="00E04517">
            <w:pPr>
              <w:spacing w:before="100" w:after="100"/>
              <w:ind w:left="-72"/>
              <w:rPr>
                <w:color w:val="000000"/>
                <w:sz w:val="20"/>
                <w:lang w:val="sv-SE"/>
              </w:rPr>
            </w:pPr>
            <w:r w:rsidRPr="00800D1B">
              <w:rPr>
                <w:color w:val="000000"/>
                <w:sz w:val="20"/>
                <w:lang w:val="sv-SE"/>
              </w:rPr>
              <w:t xml:space="preserve"> Antal användare av implementerade stödstrukturer</w:t>
            </w:r>
          </w:p>
        </w:tc>
        <w:tc>
          <w:tcPr>
            <w:tcW w:w="0" w:type="auto"/>
          </w:tcPr>
          <w:p w14:paraId="2D065E80" w14:textId="77777777" w:rsidR="00A77B3E" w:rsidRPr="00800D1B" w:rsidRDefault="00623E14" w:rsidP="00E04517">
            <w:pPr>
              <w:spacing w:before="100" w:after="100"/>
              <w:ind w:left="-72"/>
              <w:rPr>
                <w:color w:val="000000"/>
                <w:sz w:val="20"/>
                <w:lang w:val="sv-SE"/>
              </w:rPr>
            </w:pPr>
            <w:r w:rsidRPr="00800D1B">
              <w:rPr>
                <w:color w:val="000000"/>
                <w:sz w:val="20"/>
                <w:lang w:val="sv-SE"/>
              </w:rPr>
              <w:t>Användare</w:t>
            </w:r>
          </w:p>
        </w:tc>
        <w:tc>
          <w:tcPr>
            <w:tcW w:w="0" w:type="auto"/>
          </w:tcPr>
          <w:p w14:paraId="2D065E81" w14:textId="77777777" w:rsidR="00A77B3E" w:rsidRPr="00800D1B" w:rsidRDefault="00623E14" w:rsidP="00E04517">
            <w:pPr>
              <w:spacing w:before="100" w:after="100"/>
              <w:ind w:left="-72"/>
              <w:jc w:val="right"/>
              <w:rPr>
                <w:color w:val="000000"/>
                <w:sz w:val="20"/>
                <w:lang w:val="sv-SE"/>
              </w:rPr>
            </w:pPr>
            <w:r w:rsidRPr="00800D1B">
              <w:rPr>
                <w:color w:val="000000"/>
                <w:sz w:val="20"/>
                <w:lang w:val="sv-SE"/>
              </w:rPr>
              <w:t>0,00</w:t>
            </w:r>
          </w:p>
        </w:tc>
        <w:tc>
          <w:tcPr>
            <w:tcW w:w="0" w:type="auto"/>
          </w:tcPr>
          <w:p w14:paraId="2D065E82" w14:textId="77777777" w:rsidR="00A77B3E" w:rsidRPr="00800D1B" w:rsidRDefault="00623E14" w:rsidP="00E04517">
            <w:pPr>
              <w:spacing w:before="100" w:after="100"/>
              <w:ind w:left="-72"/>
              <w:jc w:val="center"/>
              <w:rPr>
                <w:color w:val="000000"/>
                <w:sz w:val="20"/>
                <w:lang w:val="sv-SE"/>
              </w:rPr>
            </w:pPr>
            <w:r w:rsidRPr="00800D1B">
              <w:rPr>
                <w:color w:val="000000"/>
                <w:sz w:val="20"/>
                <w:lang w:val="sv-SE"/>
              </w:rPr>
              <w:t>2021</w:t>
            </w:r>
          </w:p>
        </w:tc>
        <w:tc>
          <w:tcPr>
            <w:tcW w:w="0" w:type="auto"/>
          </w:tcPr>
          <w:p w14:paraId="2D065E83" w14:textId="77777777" w:rsidR="00A77B3E" w:rsidRPr="00800D1B" w:rsidRDefault="00623E14" w:rsidP="00E04517">
            <w:pPr>
              <w:spacing w:before="100" w:after="100"/>
              <w:ind w:left="-72"/>
              <w:jc w:val="right"/>
              <w:rPr>
                <w:color w:val="000000"/>
                <w:sz w:val="20"/>
                <w:lang w:val="sv-SE"/>
              </w:rPr>
            </w:pPr>
            <w:r w:rsidRPr="00800D1B">
              <w:rPr>
                <w:color w:val="000000"/>
                <w:sz w:val="20"/>
                <w:lang w:val="sv-SE"/>
              </w:rPr>
              <w:t>84,00</w:t>
            </w:r>
          </w:p>
        </w:tc>
        <w:tc>
          <w:tcPr>
            <w:tcW w:w="0" w:type="auto"/>
          </w:tcPr>
          <w:p w14:paraId="2D065E84" w14:textId="77777777" w:rsidR="00A77B3E" w:rsidRPr="00800D1B" w:rsidRDefault="00623E14" w:rsidP="00E04517">
            <w:pPr>
              <w:spacing w:before="100" w:after="100"/>
              <w:ind w:left="-72"/>
              <w:rPr>
                <w:color w:val="000000"/>
                <w:sz w:val="20"/>
                <w:lang w:val="sv-SE"/>
              </w:rPr>
            </w:pPr>
            <w:r w:rsidRPr="00800D1B">
              <w:rPr>
                <w:color w:val="000000"/>
                <w:sz w:val="20"/>
                <w:lang w:val="sv-SE"/>
              </w:rPr>
              <w:t>Projekt</w:t>
            </w:r>
          </w:p>
        </w:tc>
        <w:tc>
          <w:tcPr>
            <w:tcW w:w="0" w:type="auto"/>
          </w:tcPr>
          <w:p w14:paraId="2D065E85" w14:textId="77777777" w:rsidR="00A77B3E" w:rsidRPr="00800D1B" w:rsidRDefault="00A77B3E" w:rsidP="00E04517">
            <w:pPr>
              <w:spacing w:before="100" w:after="100"/>
              <w:ind w:left="-72"/>
              <w:rPr>
                <w:color w:val="000000"/>
                <w:sz w:val="20"/>
                <w:lang w:val="sv-SE"/>
              </w:rPr>
            </w:pPr>
          </w:p>
        </w:tc>
      </w:tr>
      <w:tr w:rsidR="003422DB" w:rsidRPr="00800D1B" w14:paraId="2D065E93" w14:textId="77777777" w:rsidTr="00E04517">
        <w:tc>
          <w:tcPr>
            <w:tcW w:w="0" w:type="auto"/>
          </w:tcPr>
          <w:p w14:paraId="2D065E87" w14:textId="77777777" w:rsidR="00A77B3E" w:rsidRPr="00800D1B" w:rsidRDefault="00623E14" w:rsidP="00E04517">
            <w:pPr>
              <w:spacing w:before="100" w:after="100"/>
              <w:ind w:left="-72"/>
              <w:rPr>
                <w:color w:val="000000"/>
                <w:sz w:val="20"/>
                <w:lang w:val="sv-SE"/>
              </w:rPr>
            </w:pPr>
            <w:r w:rsidRPr="00800D1B">
              <w:rPr>
                <w:color w:val="000000"/>
                <w:sz w:val="20"/>
                <w:lang w:val="sv-SE"/>
              </w:rPr>
              <w:t>3</w:t>
            </w:r>
          </w:p>
        </w:tc>
        <w:tc>
          <w:tcPr>
            <w:tcW w:w="0" w:type="auto"/>
          </w:tcPr>
          <w:p w14:paraId="2D065E88" w14:textId="77777777" w:rsidR="00A77B3E" w:rsidRPr="00800D1B" w:rsidRDefault="00623E14" w:rsidP="00E04517">
            <w:pPr>
              <w:spacing w:before="100" w:after="100"/>
              <w:ind w:left="-72"/>
              <w:rPr>
                <w:color w:val="000000"/>
                <w:sz w:val="20"/>
                <w:lang w:val="sv-SE"/>
              </w:rPr>
            </w:pPr>
            <w:r w:rsidRPr="00800D1B">
              <w:rPr>
                <w:color w:val="000000"/>
                <w:sz w:val="20"/>
                <w:lang w:val="sv-SE"/>
              </w:rPr>
              <w:t>RSO1.4</w:t>
            </w:r>
          </w:p>
        </w:tc>
        <w:tc>
          <w:tcPr>
            <w:tcW w:w="0" w:type="auto"/>
          </w:tcPr>
          <w:p w14:paraId="2D065E89" w14:textId="77777777" w:rsidR="00A77B3E" w:rsidRPr="00800D1B" w:rsidRDefault="00623E14" w:rsidP="00E04517">
            <w:pPr>
              <w:spacing w:before="100" w:after="100"/>
              <w:ind w:left="-72"/>
              <w:rPr>
                <w:color w:val="000000"/>
                <w:sz w:val="20"/>
                <w:lang w:val="sv-SE"/>
              </w:rPr>
            </w:pPr>
            <w:r w:rsidRPr="00800D1B">
              <w:rPr>
                <w:color w:val="000000"/>
                <w:sz w:val="20"/>
                <w:lang w:val="sv-SE"/>
              </w:rPr>
              <w:t>Eruf</w:t>
            </w:r>
          </w:p>
        </w:tc>
        <w:tc>
          <w:tcPr>
            <w:tcW w:w="0" w:type="auto"/>
          </w:tcPr>
          <w:p w14:paraId="2D065E8A" w14:textId="77777777" w:rsidR="00A77B3E" w:rsidRPr="00800D1B" w:rsidRDefault="00623E14" w:rsidP="00E04517">
            <w:pPr>
              <w:spacing w:before="100" w:after="100"/>
              <w:ind w:left="-72"/>
              <w:rPr>
                <w:color w:val="000000"/>
                <w:sz w:val="20"/>
                <w:lang w:val="sv-SE"/>
              </w:rPr>
            </w:pPr>
            <w:r w:rsidRPr="00800D1B">
              <w:rPr>
                <w:color w:val="000000"/>
                <w:sz w:val="20"/>
                <w:lang w:val="sv-SE"/>
              </w:rPr>
              <w:t>Mer utvecklade regioner</w:t>
            </w:r>
          </w:p>
        </w:tc>
        <w:tc>
          <w:tcPr>
            <w:tcW w:w="0" w:type="auto"/>
          </w:tcPr>
          <w:p w14:paraId="2D065E8B" w14:textId="77777777" w:rsidR="00A77B3E" w:rsidRPr="00800D1B" w:rsidRDefault="00623E14" w:rsidP="00E04517">
            <w:pPr>
              <w:spacing w:before="100" w:after="100"/>
              <w:ind w:left="-72"/>
              <w:rPr>
                <w:color w:val="000000"/>
                <w:sz w:val="20"/>
                <w:lang w:val="sv-SE"/>
              </w:rPr>
            </w:pPr>
            <w:r w:rsidRPr="00800D1B">
              <w:rPr>
                <w:color w:val="000000"/>
                <w:sz w:val="20"/>
                <w:lang w:val="sv-SE"/>
              </w:rPr>
              <w:t>SWR05</w:t>
            </w:r>
          </w:p>
        </w:tc>
        <w:tc>
          <w:tcPr>
            <w:tcW w:w="0" w:type="auto"/>
          </w:tcPr>
          <w:p w14:paraId="2D065E8C" w14:textId="77777777" w:rsidR="00A77B3E" w:rsidRPr="00800D1B" w:rsidRDefault="00623E14" w:rsidP="00E04517">
            <w:pPr>
              <w:spacing w:before="100" w:after="100"/>
              <w:ind w:left="-72"/>
              <w:rPr>
                <w:color w:val="000000"/>
                <w:sz w:val="20"/>
                <w:lang w:val="sv-SE"/>
              </w:rPr>
            </w:pPr>
            <w:r w:rsidRPr="00800D1B">
              <w:rPr>
                <w:color w:val="000000"/>
                <w:sz w:val="20"/>
                <w:lang w:val="sv-SE"/>
              </w:rPr>
              <w:t>Användare av färdigställd miljö/infrastruktur</w:t>
            </w:r>
          </w:p>
        </w:tc>
        <w:tc>
          <w:tcPr>
            <w:tcW w:w="0" w:type="auto"/>
          </w:tcPr>
          <w:p w14:paraId="2D065E8D" w14:textId="77777777" w:rsidR="00A77B3E" w:rsidRPr="00800D1B" w:rsidRDefault="00623E14" w:rsidP="00E04517">
            <w:pPr>
              <w:spacing w:before="100" w:after="100"/>
              <w:ind w:left="-72"/>
              <w:rPr>
                <w:color w:val="000000"/>
                <w:sz w:val="20"/>
                <w:lang w:val="sv-SE"/>
              </w:rPr>
            </w:pPr>
            <w:r w:rsidRPr="00800D1B">
              <w:rPr>
                <w:color w:val="000000"/>
                <w:sz w:val="20"/>
                <w:lang w:val="sv-SE"/>
              </w:rPr>
              <w:t>Användare</w:t>
            </w:r>
          </w:p>
        </w:tc>
        <w:tc>
          <w:tcPr>
            <w:tcW w:w="0" w:type="auto"/>
          </w:tcPr>
          <w:p w14:paraId="2D065E8E" w14:textId="77777777" w:rsidR="00A77B3E" w:rsidRPr="00800D1B" w:rsidRDefault="00623E14" w:rsidP="00E04517">
            <w:pPr>
              <w:spacing w:before="100" w:after="100"/>
              <w:ind w:left="-72"/>
              <w:jc w:val="right"/>
              <w:rPr>
                <w:color w:val="000000"/>
                <w:sz w:val="20"/>
                <w:lang w:val="sv-SE"/>
              </w:rPr>
            </w:pPr>
            <w:r w:rsidRPr="00800D1B">
              <w:rPr>
                <w:color w:val="000000"/>
                <w:sz w:val="20"/>
                <w:lang w:val="sv-SE"/>
              </w:rPr>
              <w:t>0,00</w:t>
            </w:r>
          </w:p>
        </w:tc>
        <w:tc>
          <w:tcPr>
            <w:tcW w:w="0" w:type="auto"/>
          </w:tcPr>
          <w:p w14:paraId="2D065E8F" w14:textId="77777777" w:rsidR="00A77B3E" w:rsidRPr="00800D1B" w:rsidRDefault="00623E14" w:rsidP="00E04517">
            <w:pPr>
              <w:spacing w:before="100" w:after="100"/>
              <w:ind w:left="-72"/>
              <w:jc w:val="center"/>
              <w:rPr>
                <w:color w:val="000000"/>
                <w:sz w:val="20"/>
                <w:lang w:val="sv-SE"/>
              </w:rPr>
            </w:pPr>
            <w:r w:rsidRPr="00800D1B">
              <w:rPr>
                <w:color w:val="000000"/>
                <w:sz w:val="20"/>
                <w:lang w:val="sv-SE"/>
              </w:rPr>
              <w:t>2021</w:t>
            </w:r>
          </w:p>
        </w:tc>
        <w:tc>
          <w:tcPr>
            <w:tcW w:w="0" w:type="auto"/>
          </w:tcPr>
          <w:p w14:paraId="2D065E90" w14:textId="77777777" w:rsidR="00A77B3E" w:rsidRPr="00800D1B" w:rsidRDefault="00623E14" w:rsidP="00E04517">
            <w:pPr>
              <w:spacing w:before="100" w:after="100"/>
              <w:ind w:left="-72"/>
              <w:jc w:val="right"/>
              <w:rPr>
                <w:color w:val="000000"/>
                <w:sz w:val="20"/>
                <w:lang w:val="sv-SE"/>
              </w:rPr>
            </w:pPr>
            <w:r w:rsidRPr="00800D1B">
              <w:rPr>
                <w:color w:val="000000"/>
                <w:sz w:val="20"/>
                <w:lang w:val="sv-SE"/>
              </w:rPr>
              <w:t>10,00</w:t>
            </w:r>
          </w:p>
        </w:tc>
        <w:tc>
          <w:tcPr>
            <w:tcW w:w="0" w:type="auto"/>
          </w:tcPr>
          <w:p w14:paraId="2D065E91" w14:textId="77777777" w:rsidR="00A77B3E" w:rsidRPr="00800D1B" w:rsidRDefault="00623E14" w:rsidP="00E04517">
            <w:pPr>
              <w:spacing w:before="100" w:after="100"/>
              <w:ind w:left="-72"/>
              <w:rPr>
                <w:color w:val="000000"/>
                <w:sz w:val="20"/>
                <w:lang w:val="sv-SE"/>
              </w:rPr>
            </w:pPr>
            <w:r w:rsidRPr="00800D1B">
              <w:rPr>
                <w:color w:val="000000"/>
                <w:sz w:val="20"/>
                <w:lang w:val="sv-SE"/>
              </w:rPr>
              <w:t>Projekt</w:t>
            </w:r>
          </w:p>
        </w:tc>
        <w:tc>
          <w:tcPr>
            <w:tcW w:w="0" w:type="auto"/>
          </w:tcPr>
          <w:p w14:paraId="2D065E92" w14:textId="77777777" w:rsidR="00A77B3E" w:rsidRPr="00800D1B" w:rsidRDefault="00A77B3E" w:rsidP="00E04517">
            <w:pPr>
              <w:spacing w:before="100" w:after="100"/>
              <w:ind w:left="-72"/>
              <w:rPr>
                <w:color w:val="000000"/>
                <w:sz w:val="20"/>
                <w:lang w:val="sv-SE"/>
              </w:rPr>
            </w:pPr>
          </w:p>
        </w:tc>
      </w:tr>
    </w:tbl>
    <w:p w14:paraId="2D065E95" w14:textId="16A841DF" w:rsidR="00A77B3E" w:rsidRPr="00800D1B" w:rsidRDefault="00623E14" w:rsidP="00552F60">
      <w:pPr>
        <w:pStyle w:val="Rubrik6"/>
        <w:numPr>
          <w:ilvl w:val="4"/>
          <w:numId w:val="21"/>
        </w:numPr>
        <w:spacing w:before="300"/>
        <w:ind w:left="360"/>
      </w:pPr>
      <w:bookmarkStart w:id="86" w:name="_Toc256000327"/>
      <w:r w:rsidRPr="00800D1B">
        <w:t>Preliminär fördelning av anslagna (EU-)medel efter interventionstyp</w:t>
      </w:r>
      <w:bookmarkEnd w:id="86"/>
    </w:p>
    <w:p w14:paraId="2D065E97" w14:textId="77777777" w:rsidR="00A77B3E" w:rsidRPr="00800D1B" w:rsidRDefault="00623E14">
      <w:pPr>
        <w:spacing w:before="100"/>
        <w:rPr>
          <w:color w:val="000000"/>
          <w:sz w:val="0"/>
          <w:lang w:val="sv-SE"/>
        </w:rPr>
      </w:pPr>
      <w:r w:rsidRPr="00800D1B">
        <w:rPr>
          <w:color w:val="000000"/>
          <w:lang w:val="sv-SE"/>
        </w:rPr>
        <w:t>Referens: artikel 22.3 d viii i förordningen om gemensamma bestämmelser</w:t>
      </w:r>
    </w:p>
    <w:p w14:paraId="2D065E98" w14:textId="20B4CA5E" w:rsidR="00A77B3E" w:rsidRPr="00800D1B" w:rsidRDefault="00623E14" w:rsidP="00431BFA">
      <w:pPr>
        <w:spacing w:before="200" w:after="100"/>
        <w:rPr>
          <w:lang w:val="sv-SE"/>
        </w:rPr>
      </w:pPr>
      <w:bookmarkStart w:id="87" w:name="_Toc256000328"/>
      <w:r w:rsidRPr="00800D1B">
        <w:rPr>
          <w:lang w:val="sv-SE"/>
        </w:rPr>
        <w:t>Tabell 4: Dimension 1 – interventionsområde</w:t>
      </w:r>
      <w:bookmarkEnd w:id="87"/>
    </w:p>
    <w:p w14:paraId="2D065E99" w14:textId="77777777" w:rsidR="00A77B3E" w:rsidRPr="00800D1B" w:rsidRDefault="00A77B3E">
      <w:pPr>
        <w:spacing w:before="100"/>
        <w:rPr>
          <w:color w:val="000000"/>
          <w:sz w:val="0"/>
          <w:lang w:val="sv-SE"/>
        </w:rPr>
      </w:pPr>
    </w:p>
    <w:tbl>
      <w:tblPr>
        <w:tblStyle w:val="Tabellrutnt"/>
        <w:tblW w:w="5000" w:type="pct"/>
        <w:tblLook w:val="04A0" w:firstRow="1" w:lastRow="0" w:firstColumn="1" w:lastColumn="0" w:noHBand="0" w:noVBand="1"/>
        <w:tblDescription w:val="En tabell med sex kolumner: Prioritering; Specifikt mål; Fond; Regionkategori; Kod; Belopp (euro). Tabellen visar information om interventionsområde."/>
      </w:tblPr>
      <w:tblGrid>
        <w:gridCol w:w="1138"/>
        <w:gridCol w:w="1188"/>
        <w:gridCol w:w="694"/>
        <w:gridCol w:w="1974"/>
        <w:gridCol w:w="8812"/>
        <w:gridCol w:w="1366"/>
      </w:tblGrid>
      <w:tr w:rsidR="003422DB" w:rsidRPr="00800D1B" w14:paraId="2D065EA0" w14:textId="77777777" w:rsidTr="00E04517">
        <w:tc>
          <w:tcPr>
            <w:tcW w:w="0" w:type="auto"/>
          </w:tcPr>
          <w:p w14:paraId="2D065E9A" w14:textId="77777777" w:rsidR="00A77B3E" w:rsidRPr="00800D1B" w:rsidRDefault="00623E14" w:rsidP="00E04517">
            <w:pPr>
              <w:spacing w:before="100" w:after="100"/>
              <w:ind w:left="-72"/>
              <w:jc w:val="center"/>
              <w:rPr>
                <w:color w:val="000000"/>
                <w:sz w:val="20"/>
                <w:lang w:val="sv-SE"/>
              </w:rPr>
            </w:pPr>
            <w:r w:rsidRPr="00800D1B">
              <w:rPr>
                <w:color w:val="000000"/>
                <w:sz w:val="20"/>
                <w:lang w:val="sv-SE"/>
              </w:rPr>
              <w:t>Prioritering</w:t>
            </w:r>
          </w:p>
        </w:tc>
        <w:tc>
          <w:tcPr>
            <w:tcW w:w="0" w:type="auto"/>
          </w:tcPr>
          <w:p w14:paraId="2D065E9B" w14:textId="77777777" w:rsidR="00A77B3E" w:rsidRPr="00800D1B" w:rsidRDefault="00623E14" w:rsidP="00E04517">
            <w:pPr>
              <w:spacing w:before="100" w:after="100"/>
              <w:ind w:left="-72"/>
              <w:jc w:val="center"/>
              <w:rPr>
                <w:color w:val="000000"/>
                <w:sz w:val="20"/>
                <w:lang w:val="sv-SE"/>
              </w:rPr>
            </w:pPr>
            <w:r w:rsidRPr="00800D1B">
              <w:rPr>
                <w:color w:val="000000"/>
                <w:sz w:val="20"/>
                <w:lang w:val="sv-SE"/>
              </w:rPr>
              <w:t>Specifikt mål</w:t>
            </w:r>
          </w:p>
        </w:tc>
        <w:tc>
          <w:tcPr>
            <w:tcW w:w="0" w:type="auto"/>
          </w:tcPr>
          <w:p w14:paraId="2D065E9C" w14:textId="77777777" w:rsidR="00A77B3E" w:rsidRPr="00800D1B" w:rsidRDefault="00623E14" w:rsidP="00E04517">
            <w:pPr>
              <w:spacing w:before="100" w:after="100"/>
              <w:ind w:left="-72"/>
              <w:jc w:val="center"/>
              <w:rPr>
                <w:color w:val="000000"/>
                <w:sz w:val="20"/>
                <w:lang w:val="sv-SE"/>
              </w:rPr>
            </w:pPr>
            <w:r w:rsidRPr="00800D1B">
              <w:rPr>
                <w:color w:val="000000"/>
                <w:sz w:val="20"/>
                <w:lang w:val="sv-SE"/>
              </w:rPr>
              <w:t>Fond</w:t>
            </w:r>
          </w:p>
        </w:tc>
        <w:tc>
          <w:tcPr>
            <w:tcW w:w="0" w:type="auto"/>
          </w:tcPr>
          <w:p w14:paraId="2D065E9D" w14:textId="77777777" w:rsidR="00A77B3E" w:rsidRPr="00800D1B" w:rsidRDefault="00623E14" w:rsidP="00E04517">
            <w:pPr>
              <w:spacing w:before="100" w:after="100"/>
              <w:ind w:left="-72"/>
              <w:jc w:val="center"/>
              <w:rPr>
                <w:color w:val="000000"/>
                <w:sz w:val="20"/>
                <w:lang w:val="sv-SE"/>
              </w:rPr>
            </w:pPr>
            <w:r w:rsidRPr="00800D1B">
              <w:rPr>
                <w:color w:val="000000"/>
                <w:sz w:val="20"/>
                <w:lang w:val="sv-SE"/>
              </w:rPr>
              <w:t>Regionkategori</w:t>
            </w:r>
          </w:p>
        </w:tc>
        <w:tc>
          <w:tcPr>
            <w:tcW w:w="0" w:type="auto"/>
          </w:tcPr>
          <w:p w14:paraId="2D065E9E" w14:textId="77777777" w:rsidR="00A77B3E" w:rsidRPr="00800D1B" w:rsidRDefault="00623E14" w:rsidP="00E04517">
            <w:pPr>
              <w:spacing w:before="100" w:after="100"/>
              <w:ind w:left="-72"/>
              <w:jc w:val="center"/>
              <w:rPr>
                <w:color w:val="000000"/>
                <w:sz w:val="20"/>
                <w:lang w:val="sv-SE"/>
              </w:rPr>
            </w:pPr>
            <w:r w:rsidRPr="00800D1B">
              <w:rPr>
                <w:color w:val="000000"/>
                <w:sz w:val="20"/>
                <w:lang w:val="sv-SE"/>
              </w:rPr>
              <w:t>Kod</w:t>
            </w:r>
          </w:p>
        </w:tc>
        <w:tc>
          <w:tcPr>
            <w:tcW w:w="0" w:type="auto"/>
          </w:tcPr>
          <w:p w14:paraId="2D065E9F" w14:textId="77777777" w:rsidR="00A77B3E" w:rsidRPr="00800D1B" w:rsidRDefault="00623E14" w:rsidP="00E04517">
            <w:pPr>
              <w:spacing w:before="100" w:after="100"/>
              <w:ind w:left="-72"/>
              <w:jc w:val="center"/>
              <w:rPr>
                <w:color w:val="000000"/>
                <w:sz w:val="20"/>
                <w:lang w:val="sv-SE"/>
              </w:rPr>
            </w:pPr>
            <w:r w:rsidRPr="00800D1B">
              <w:rPr>
                <w:color w:val="000000"/>
                <w:sz w:val="20"/>
                <w:lang w:val="sv-SE"/>
              </w:rPr>
              <w:t>Belopp (euro)</w:t>
            </w:r>
          </w:p>
        </w:tc>
      </w:tr>
      <w:tr w:rsidR="003422DB" w:rsidRPr="00800D1B" w14:paraId="2D065EA7" w14:textId="77777777" w:rsidTr="00E04517">
        <w:tc>
          <w:tcPr>
            <w:tcW w:w="0" w:type="auto"/>
          </w:tcPr>
          <w:p w14:paraId="2D065EA1" w14:textId="77777777" w:rsidR="00A77B3E" w:rsidRPr="00800D1B" w:rsidRDefault="00623E14" w:rsidP="00E04517">
            <w:pPr>
              <w:spacing w:before="100" w:after="100"/>
              <w:ind w:left="-72"/>
              <w:rPr>
                <w:color w:val="000000"/>
                <w:sz w:val="20"/>
                <w:lang w:val="sv-SE"/>
              </w:rPr>
            </w:pPr>
            <w:r w:rsidRPr="00800D1B">
              <w:rPr>
                <w:color w:val="000000"/>
                <w:sz w:val="20"/>
                <w:lang w:val="sv-SE"/>
              </w:rPr>
              <w:t>3</w:t>
            </w:r>
          </w:p>
        </w:tc>
        <w:tc>
          <w:tcPr>
            <w:tcW w:w="0" w:type="auto"/>
          </w:tcPr>
          <w:p w14:paraId="2D065EA2" w14:textId="77777777" w:rsidR="00A77B3E" w:rsidRPr="00800D1B" w:rsidRDefault="00623E14" w:rsidP="00E04517">
            <w:pPr>
              <w:spacing w:before="100" w:after="100"/>
              <w:ind w:left="-72"/>
              <w:rPr>
                <w:color w:val="000000"/>
                <w:sz w:val="20"/>
                <w:lang w:val="sv-SE"/>
              </w:rPr>
            </w:pPr>
            <w:r w:rsidRPr="00800D1B">
              <w:rPr>
                <w:color w:val="000000"/>
                <w:sz w:val="20"/>
                <w:lang w:val="sv-SE"/>
              </w:rPr>
              <w:t>RSO1.4</w:t>
            </w:r>
          </w:p>
        </w:tc>
        <w:tc>
          <w:tcPr>
            <w:tcW w:w="0" w:type="auto"/>
          </w:tcPr>
          <w:p w14:paraId="2D065EA3" w14:textId="77777777" w:rsidR="00A77B3E" w:rsidRPr="00800D1B" w:rsidRDefault="00623E14" w:rsidP="00E04517">
            <w:pPr>
              <w:spacing w:before="100" w:after="100"/>
              <w:ind w:left="-72"/>
              <w:rPr>
                <w:color w:val="000000"/>
                <w:sz w:val="20"/>
                <w:lang w:val="sv-SE"/>
              </w:rPr>
            </w:pPr>
            <w:r w:rsidRPr="00800D1B">
              <w:rPr>
                <w:color w:val="000000"/>
                <w:sz w:val="20"/>
                <w:lang w:val="sv-SE"/>
              </w:rPr>
              <w:t>Eruf</w:t>
            </w:r>
          </w:p>
        </w:tc>
        <w:tc>
          <w:tcPr>
            <w:tcW w:w="0" w:type="auto"/>
          </w:tcPr>
          <w:p w14:paraId="2D065EA4" w14:textId="77777777" w:rsidR="00A77B3E" w:rsidRPr="00800D1B" w:rsidRDefault="00623E14" w:rsidP="00E04517">
            <w:pPr>
              <w:spacing w:before="100" w:after="100"/>
              <w:ind w:left="-72"/>
              <w:rPr>
                <w:color w:val="000000"/>
                <w:sz w:val="20"/>
                <w:lang w:val="sv-SE"/>
              </w:rPr>
            </w:pPr>
            <w:r w:rsidRPr="00800D1B">
              <w:rPr>
                <w:color w:val="000000"/>
                <w:sz w:val="20"/>
                <w:lang w:val="sv-SE"/>
              </w:rPr>
              <w:t>Mer utvecklade regioner</w:t>
            </w:r>
          </w:p>
        </w:tc>
        <w:tc>
          <w:tcPr>
            <w:tcW w:w="0" w:type="auto"/>
          </w:tcPr>
          <w:p w14:paraId="2D065EA5" w14:textId="77777777" w:rsidR="00A77B3E" w:rsidRPr="00800D1B" w:rsidRDefault="00623E14" w:rsidP="00E04517">
            <w:pPr>
              <w:spacing w:before="100" w:after="100"/>
              <w:ind w:left="-72"/>
              <w:rPr>
                <w:color w:val="000000"/>
                <w:sz w:val="20"/>
                <w:lang w:val="sv-SE"/>
              </w:rPr>
            </w:pPr>
            <w:r w:rsidRPr="00800D1B">
              <w:rPr>
                <w:color w:val="000000"/>
                <w:sz w:val="20"/>
                <w:lang w:val="sv-SE"/>
              </w:rPr>
              <w:t>020. Näringslivsinfrastruktur för små och medelstora företag (inbegripet industriparker och industriområden)</w:t>
            </w:r>
          </w:p>
        </w:tc>
        <w:tc>
          <w:tcPr>
            <w:tcW w:w="0" w:type="auto"/>
          </w:tcPr>
          <w:p w14:paraId="2D065EA6" w14:textId="77777777" w:rsidR="00A77B3E" w:rsidRPr="00800D1B" w:rsidRDefault="00623E14" w:rsidP="00E04517">
            <w:pPr>
              <w:spacing w:before="100" w:after="100"/>
              <w:ind w:left="-72"/>
              <w:jc w:val="right"/>
              <w:rPr>
                <w:color w:val="000000"/>
                <w:sz w:val="20"/>
                <w:lang w:val="sv-SE"/>
              </w:rPr>
            </w:pPr>
            <w:r w:rsidRPr="00800D1B">
              <w:rPr>
                <w:color w:val="000000"/>
                <w:sz w:val="20"/>
                <w:lang w:val="sv-SE"/>
              </w:rPr>
              <w:t>4 288 591,00</w:t>
            </w:r>
          </w:p>
        </w:tc>
      </w:tr>
      <w:tr w:rsidR="003422DB" w:rsidRPr="00800D1B" w14:paraId="2D065EAE" w14:textId="77777777" w:rsidTr="00E04517">
        <w:tc>
          <w:tcPr>
            <w:tcW w:w="0" w:type="auto"/>
          </w:tcPr>
          <w:p w14:paraId="2D065EA8" w14:textId="77777777" w:rsidR="00A77B3E" w:rsidRPr="00800D1B" w:rsidRDefault="00623E14" w:rsidP="00E04517">
            <w:pPr>
              <w:spacing w:before="100" w:after="100"/>
              <w:ind w:left="-72"/>
              <w:rPr>
                <w:color w:val="000000"/>
                <w:sz w:val="20"/>
                <w:lang w:val="sv-SE"/>
              </w:rPr>
            </w:pPr>
            <w:r w:rsidRPr="00800D1B">
              <w:rPr>
                <w:color w:val="000000"/>
                <w:sz w:val="20"/>
                <w:lang w:val="sv-SE"/>
              </w:rPr>
              <w:t>3</w:t>
            </w:r>
          </w:p>
        </w:tc>
        <w:tc>
          <w:tcPr>
            <w:tcW w:w="0" w:type="auto"/>
          </w:tcPr>
          <w:p w14:paraId="2D065EA9" w14:textId="77777777" w:rsidR="00A77B3E" w:rsidRPr="00800D1B" w:rsidRDefault="00623E14" w:rsidP="00E04517">
            <w:pPr>
              <w:spacing w:before="100" w:after="100"/>
              <w:ind w:left="-72"/>
              <w:rPr>
                <w:color w:val="000000"/>
                <w:sz w:val="20"/>
                <w:lang w:val="sv-SE"/>
              </w:rPr>
            </w:pPr>
            <w:r w:rsidRPr="00800D1B">
              <w:rPr>
                <w:color w:val="000000"/>
                <w:sz w:val="20"/>
                <w:lang w:val="sv-SE"/>
              </w:rPr>
              <w:t>RSO1.4</w:t>
            </w:r>
          </w:p>
        </w:tc>
        <w:tc>
          <w:tcPr>
            <w:tcW w:w="0" w:type="auto"/>
          </w:tcPr>
          <w:p w14:paraId="2D065EAA" w14:textId="77777777" w:rsidR="00A77B3E" w:rsidRPr="00800D1B" w:rsidRDefault="00623E14" w:rsidP="00E04517">
            <w:pPr>
              <w:spacing w:before="100" w:after="100"/>
              <w:ind w:left="-72"/>
              <w:rPr>
                <w:color w:val="000000"/>
                <w:sz w:val="20"/>
                <w:lang w:val="sv-SE"/>
              </w:rPr>
            </w:pPr>
            <w:r w:rsidRPr="00800D1B">
              <w:rPr>
                <w:color w:val="000000"/>
                <w:sz w:val="20"/>
                <w:lang w:val="sv-SE"/>
              </w:rPr>
              <w:t>Eruf</w:t>
            </w:r>
          </w:p>
        </w:tc>
        <w:tc>
          <w:tcPr>
            <w:tcW w:w="0" w:type="auto"/>
          </w:tcPr>
          <w:p w14:paraId="2D065EAB" w14:textId="77777777" w:rsidR="00A77B3E" w:rsidRPr="00800D1B" w:rsidRDefault="00623E14" w:rsidP="00E04517">
            <w:pPr>
              <w:spacing w:before="100" w:after="100"/>
              <w:ind w:left="-72"/>
              <w:rPr>
                <w:color w:val="000000"/>
                <w:sz w:val="20"/>
                <w:lang w:val="sv-SE"/>
              </w:rPr>
            </w:pPr>
            <w:r w:rsidRPr="00800D1B">
              <w:rPr>
                <w:color w:val="000000"/>
                <w:sz w:val="20"/>
                <w:lang w:val="sv-SE"/>
              </w:rPr>
              <w:t>Mer utvecklade regioner</w:t>
            </w:r>
          </w:p>
        </w:tc>
        <w:tc>
          <w:tcPr>
            <w:tcW w:w="0" w:type="auto"/>
          </w:tcPr>
          <w:p w14:paraId="2D065EAC" w14:textId="77777777" w:rsidR="00A77B3E" w:rsidRPr="00800D1B" w:rsidRDefault="00623E14" w:rsidP="00E04517">
            <w:pPr>
              <w:spacing w:before="100" w:after="100"/>
              <w:ind w:left="-72"/>
              <w:rPr>
                <w:color w:val="000000"/>
                <w:sz w:val="20"/>
                <w:lang w:val="sv-SE"/>
              </w:rPr>
            </w:pPr>
            <w:r w:rsidRPr="00800D1B">
              <w:rPr>
                <w:color w:val="000000"/>
                <w:sz w:val="20"/>
                <w:lang w:val="sv-SE"/>
              </w:rPr>
              <w:t>023. Utveckling av färdigheter för smart specialisering, industriell omvandling, entreprenörskap och företags anpassningsförmåga</w:t>
            </w:r>
          </w:p>
        </w:tc>
        <w:tc>
          <w:tcPr>
            <w:tcW w:w="0" w:type="auto"/>
          </w:tcPr>
          <w:p w14:paraId="2D065EAD" w14:textId="77777777" w:rsidR="00A77B3E" w:rsidRPr="00800D1B" w:rsidRDefault="00623E14" w:rsidP="00E04517">
            <w:pPr>
              <w:spacing w:before="100" w:after="100"/>
              <w:ind w:left="-72"/>
              <w:jc w:val="right"/>
              <w:rPr>
                <w:color w:val="000000"/>
                <w:sz w:val="20"/>
                <w:lang w:val="sv-SE"/>
              </w:rPr>
            </w:pPr>
            <w:r w:rsidRPr="00800D1B">
              <w:rPr>
                <w:color w:val="000000"/>
                <w:sz w:val="20"/>
                <w:lang w:val="sv-SE"/>
              </w:rPr>
              <w:t>5 718 122,00</w:t>
            </w:r>
          </w:p>
        </w:tc>
      </w:tr>
      <w:tr w:rsidR="003422DB" w:rsidRPr="00800D1B" w14:paraId="2D065EB5" w14:textId="77777777" w:rsidTr="00E04517">
        <w:tc>
          <w:tcPr>
            <w:tcW w:w="0" w:type="auto"/>
          </w:tcPr>
          <w:p w14:paraId="2D065EAF" w14:textId="77777777" w:rsidR="00A77B3E" w:rsidRPr="00800D1B" w:rsidRDefault="00623E14" w:rsidP="00E04517">
            <w:pPr>
              <w:spacing w:before="100" w:after="100"/>
              <w:ind w:left="-72"/>
              <w:rPr>
                <w:color w:val="000000"/>
                <w:sz w:val="20"/>
                <w:lang w:val="sv-SE"/>
              </w:rPr>
            </w:pPr>
            <w:r w:rsidRPr="00800D1B">
              <w:rPr>
                <w:color w:val="000000"/>
                <w:sz w:val="20"/>
                <w:lang w:val="sv-SE"/>
              </w:rPr>
              <w:t>3</w:t>
            </w:r>
          </w:p>
        </w:tc>
        <w:tc>
          <w:tcPr>
            <w:tcW w:w="0" w:type="auto"/>
          </w:tcPr>
          <w:p w14:paraId="2D065EB0" w14:textId="77777777" w:rsidR="00A77B3E" w:rsidRPr="00800D1B" w:rsidRDefault="00623E14" w:rsidP="00E04517">
            <w:pPr>
              <w:spacing w:before="100" w:after="100"/>
              <w:ind w:left="-72"/>
              <w:rPr>
                <w:color w:val="000000"/>
                <w:sz w:val="20"/>
                <w:lang w:val="sv-SE"/>
              </w:rPr>
            </w:pPr>
            <w:r w:rsidRPr="00800D1B">
              <w:rPr>
                <w:color w:val="000000"/>
                <w:sz w:val="20"/>
                <w:lang w:val="sv-SE"/>
              </w:rPr>
              <w:t>RSO1.4</w:t>
            </w:r>
          </w:p>
        </w:tc>
        <w:tc>
          <w:tcPr>
            <w:tcW w:w="0" w:type="auto"/>
          </w:tcPr>
          <w:p w14:paraId="2D065EB1" w14:textId="77777777" w:rsidR="00A77B3E" w:rsidRPr="00800D1B" w:rsidRDefault="00623E14" w:rsidP="00E04517">
            <w:pPr>
              <w:spacing w:before="100" w:after="100"/>
              <w:ind w:left="-72"/>
              <w:rPr>
                <w:color w:val="000000"/>
                <w:sz w:val="20"/>
                <w:lang w:val="sv-SE"/>
              </w:rPr>
            </w:pPr>
            <w:r w:rsidRPr="00800D1B">
              <w:rPr>
                <w:color w:val="000000"/>
                <w:sz w:val="20"/>
                <w:lang w:val="sv-SE"/>
              </w:rPr>
              <w:t>Eruf</w:t>
            </w:r>
          </w:p>
        </w:tc>
        <w:tc>
          <w:tcPr>
            <w:tcW w:w="0" w:type="auto"/>
          </w:tcPr>
          <w:p w14:paraId="2D065EB2" w14:textId="77777777" w:rsidR="00A77B3E" w:rsidRPr="00800D1B" w:rsidRDefault="00623E14" w:rsidP="00E04517">
            <w:pPr>
              <w:spacing w:before="100" w:after="100"/>
              <w:ind w:left="-72"/>
              <w:rPr>
                <w:color w:val="000000"/>
                <w:sz w:val="20"/>
                <w:lang w:val="sv-SE"/>
              </w:rPr>
            </w:pPr>
            <w:r w:rsidRPr="00800D1B">
              <w:rPr>
                <w:color w:val="000000"/>
                <w:sz w:val="20"/>
                <w:lang w:val="sv-SE"/>
              </w:rPr>
              <w:t>Mer utvecklade regioner</w:t>
            </w:r>
          </w:p>
        </w:tc>
        <w:tc>
          <w:tcPr>
            <w:tcW w:w="0" w:type="auto"/>
          </w:tcPr>
          <w:p w14:paraId="2D065EB3" w14:textId="77777777" w:rsidR="00A77B3E" w:rsidRPr="00800D1B" w:rsidRDefault="00623E14" w:rsidP="00E04517">
            <w:pPr>
              <w:spacing w:before="100" w:after="100"/>
              <w:ind w:left="-72"/>
              <w:rPr>
                <w:color w:val="000000"/>
                <w:sz w:val="20"/>
                <w:lang w:val="sv-SE"/>
              </w:rPr>
            </w:pPr>
            <w:r w:rsidRPr="00800D1B">
              <w:rPr>
                <w:color w:val="000000"/>
                <w:sz w:val="20"/>
                <w:lang w:val="sv-SE"/>
              </w:rPr>
              <w:t>024. Avancerade stödtjänster för små och medelstora företag och grupper av sådana företag (inbegripet ledning, marknadsföring och design)</w:t>
            </w:r>
          </w:p>
        </w:tc>
        <w:tc>
          <w:tcPr>
            <w:tcW w:w="0" w:type="auto"/>
          </w:tcPr>
          <w:p w14:paraId="2D065EB4" w14:textId="77777777" w:rsidR="00A77B3E" w:rsidRPr="00800D1B" w:rsidRDefault="00623E14" w:rsidP="00E04517">
            <w:pPr>
              <w:spacing w:before="100" w:after="100"/>
              <w:ind w:left="-72"/>
              <w:jc w:val="right"/>
              <w:rPr>
                <w:color w:val="000000"/>
                <w:sz w:val="20"/>
                <w:lang w:val="sv-SE"/>
              </w:rPr>
            </w:pPr>
            <w:r w:rsidRPr="00800D1B">
              <w:rPr>
                <w:color w:val="000000"/>
                <w:sz w:val="20"/>
                <w:lang w:val="sv-SE"/>
              </w:rPr>
              <w:t>4 288 591,00</w:t>
            </w:r>
          </w:p>
        </w:tc>
      </w:tr>
      <w:tr w:rsidR="003422DB" w:rsidRPr="00800D1B" w14:paraId="2D065EBC" w14:textId="77777777" w:rsidTr="00E04517">
        <w:tc>
          <w:tcPr>
            <w:tcW w:w="0" w:type="auto"/>
          </w:tcPr>
          <w:p w14:paraId="2D065EB6" w14:textId="77777777" w:rsidR="00A77B3E" w:rsidRPr="00800D1B" w:rsidRDefault="00623E14" w:rsidP="00E04517">
            <w:pPr>
              <w:spacing w:before="100" w:after="100"/>
              <w:ind w:left="-72"/>
              <w:rPr>
                <w:color w:val="000000"/>
                <w:sz w:val="20"/>
                <w:lang w:val="sv-SE"/>
              </w:rPr>
            </w:pPr>
            <w:r w:rsidRPr="00800D1B">
              <w:rPr>
                <w:color w:val="000000"/>
                <w:sz w:val="20"/>
                <w:lang w:val="sv-SE"/>
              </w:rPr>
              <w:t>3</w:t>
            </w:r>
          </w:p>
        </w:tc>
        <w:tc>
          <w:tcPr>
            <w:tcW w:w="0" w:type="auto"/>
          </w:tcPr>
          <w:p w14:paraId="2D065EB7" w14:textId="77777777" w:rsidR="00A77B3E" w:rsidRPr="00800D1B" w:rsidRDefault="00623E14" w:rsidP="00E04517">
            <w:pPr>
              <w:spacing w:before="100" w:after="100"/>
              <w:ind w:left="-72"/>
              <w:rPr>
                <w:color w:val="000000"/>
                <w:sz w:val="20"/>
                <w:lang w:val="sv-SE"/>
              </w:rPr>
            </w:pPr>
            <w:r w:rsidRPr="00800D1B">
              <w:rPr>
                <w:color w:val="000000"/>
                <w:sz w:val="20"/>
                <w:lang w:val="sv-SE"/>
              </w:rPr>
              <w:t>RSO1.4</w:t>
            </w:r>
          </w:p>
        </w:tc>
        <w:tc>
          <w:tcPr>
            <w:tcW w:w="0" w:type="auto"/>
          </w:tcPr>
          <w:p w14:paraId="2D065EB8" w14:textId="77777777" w:rsidR="00A77B3E" w:rsidRPr="00800D1B" w:rsidRDefault="00623E14" w:rsidP="00E04517">
            <w:pPr>
              <w:spacing w:before="100" w:after="100"/>
              <w:ind w:left="-72"/>
              <w:rPr>
                <w:color w:val="000000"/>
                <w:sz w:val="20"/>
                <w:lang w:val="sv-SE"/>
              </w:rPr>
            </w:pPr>
            <w:r w:rsidRPr="00800D1B">
              <w:rPr>
                <w:color w:val="000000"/>
                <w:sz w:val="20"/>
                <w:lang w:val="sv-SE"/>
              </w:rPr>
              <w:t>Totalt</w:t>
            </w:r>
          </w:p>
        </w:tc>
        <w:tc>
          <w:tcPr>
            <w:tcW w:w="0" w:type="auto"/>
          </w:tcPr>
          <w:p w14:paraId="2D065EB9" w14:textId="77777777" w:rsidR="00A77B3E" w:rsidRPr="00800D1B" w:rsidRDefault="00A77B3E" w:rsidP="00E04517">
            <w:pPr>
              <w:spacing w:before="100" w:after="100"/>
              <w:ind w:left="-72"/>
              <w:rPr>
                <w:color w:val="000000"/>
                <w:sz w:val="20"/>
                <w:lang w:val="sv-SE"/>
              </w:rPr>
            </w:pPr>
          </w:p>
        </w:tc>
        <w:tc>
          <w:tcPr>
            <w:tcW w:w="0" w:type="auto"/>
          </w:tcPr>
          <w:p w14:paraId="2D065EBA" w14:textId="77777777" w:rsidR="00A77B3E" w:rsidRPr="00800D1B" w:rsidRDefault="00A77B3E" w:rsidP="00E04517">
            <w:pPr>
              <w:spacing w:before="100" w:after="100"/>
              <w:ind w:left="-72"/>
              <w:rPr>
                <w:color w:val="000000"/>
                <w:sz w:val="20"/>
                <w:lang w:val="sv-SE"/>
              </w:rPr>
            </w:pPr>
          </w:p>
        </w:tc>
        <w:tc>
          <w:tcPr>
            <w:tcW w:w="0" w:type="auto"/>
          </w:tcPr>
          <w:p w14:paraId="2D065EBB" w14:textId="77777777" w:rsidR="00A77B3E" w:rsidRPr="00800D1B" w:rsidRDefault="00623E14" w:rsidP="00E04517">
            <w:pPr>
              <w:spacing w:before="100" w:after="100"/>
              <w:ind w:left="-72"/>
              <w:jc w:val="right"/>
              <w:rPr>
                <w:color w:val="000000"/>
                <w:sz w:val="20"/>
                <w:lang w:val="sv-SE"/>
              </w:rPr>
            </w:pPr>
            <w:r w:rsidRPr="00800D1B">
              <w:rPr>
                <w:color w:val="000000"/>
                <w:sz w:val="20"/>
                <w:lang w:val="sv-SE"/>
              </w:rPr>
              <w:t>14 295 304,00</w:t>
            </w:r>
          </w:p>
        </w:tc>
      </w:tr>
    </w:tbl>
    <w:p w14:paraId="2D065EBE" w14:textId="57892AFE" w:rsidR="00A77B3E" w:rsidRPr="00800D1B" w:rsidRDefault="00623E14" w:rsidP="00552F60">
      <w:pPr>
        <w:spacing w:before="300" w:after="100"/>
        <w:rPr>
          <w:lang w:val="sv-SE"/>
        </w:rPr>
      </w:pPr>
      <w:bookmarkStart w:id="88" w:name="_Toc256000329"/>
      <w:r w:rsidRPr="00800D1B">
        <w:rPr>
          <w:lang w:val="sv-SE"/>
        </w:rPr>
        <w:t>Tabell 5: Dimension 2 – finansieringsform</w:t>
      </w:r>
      <w:bookmarkEnd w:id="88"/>
    </w:p>
    <w:tbl>
      <w:tblPr>
        <w:tblStyle w:val="Tabellrutnt"/>
        <w:tblW w:w="5000" w:type="pct"/>
        <w:tblLook w:val="04A0" w:firstRow="1" w:lastRow="0" w:firstColumn="1" w:lastColumn="0" w:noHBand="0" w:noVBand="1"/>
        <w:tblDescription w:val="En tabell med sex kolumner: Prioritering; Specifikt mål; Fond; Regionkategori; Kod; Belopp (euro). Tabellen visar information om finansieringsform."/>
      </w:tblPr>
      <w:tblGrid>
        <w:gridCol w:w="2232"/>
        <w:gridCol w:w="2518"/>
        <w:gridCol w:w="1381"/>
        <w:gridCol w:w="4228"/>
        <w:gridCol w:w="2146"/>
        <w:gridCol w:w="2667"/>
      </w:tblGrid>
      <w:tr w:rsidR="003422DB" w:rsidRPr="00800D1B" w14:paraId="2D065EC6" w14:textId="77777777" w:rsidTr="00E04517">
        <w:tc>
          <w:tcPr>
            <w:tcW w:w="0" w:type="auto"/>
          </w:tcPr>
          <w:p w14:paraId="2D065EC0" w14:textId="77777777" w:rsidR="00A77B3E" w:rsidRPr="00800D1B" w:rsidRDefault="00623E14" w:rsidP="00E04517">
            <w:pPr>
              <w:spacing w:before="100" w:after="100"/>
              <w:ind w:left="-72"/>
              <w:jc w:val="center"/>
              <w:rPr>
                <w:color w:val="000000"/>
                <w:sz w:val="20"/>
                <w:lang w:val="sv-SE"/>
              </w:rPr>
            </w:pPr>
            <w:r w:rsidRPr="00800D1B">
              <w:rPr>
                <w:color w:val="000000"/>
                <w:sz w:val="20"/>
                <w:lang w:val="sv-SE"/>
              </w:rPr>
              <w:t>Prioritering</w:t>
            </w:r>
          </w:p>
        </w:tc>
        <w:tc>
          <w:tcPr>
            <w:tcW w:w="0" w:type="auto"/>
          </w:tcPr>
          <w:p w14:paraId="2D065EC1" w14:textId="77777777" w:rsidR="00A77B3E" w:rsidRPr="00800D1B" w:rsidRDefault="00623E14" w:rsidP="00E04517">
            <w:pPr>
              <w:spacing w:before="100" w:after="100"/>
              <w:ind w:left="-72"/>
              <w:jc w:val="center"/>
              <w:rPr>
                <w:color w:val="000000"/>
                <w:sz w:val="20"/>
                <w:lang w:val="sv-SE"/>
              </w:rPr>
            </w:pPr>
            <w:r w:rsidRPr="00800D1B">
              <w:rPr>
                <w:color w:val="000000"/>
                <w:sz w:val="20"/>
                <w:lang w:val="sv-SE"/>
              </w:rPr>
              <w:t>Specifikt mål</w:t>
            </w:r>
          </w:p>
        </w:tc>
        <w:tc>
          <w:tcPr>
            <w:tcW w:w="0" w:type="auto"/>
          </w:tcPr>
          <w:p w14:paraId="2D065EC2" w14:textId="77777777" w:rsidR="00A77B3E" w:rsidRPr="00800D1B" w:rsidRDefault="00623E14" w:rsidP="00E04517">
            <w:pPr>
              <w:spacing w:before="100" w:after="100"/>
              <w:ind w:left="-72"/>
              <w:jc w:val="center"/>
              <w:rPr>
                <w:color w:val="000000"/>
                <w:sz w:val="20"/>
                <w:lang w:val="sv-SE"/>
              </w:rPr>
            </w:pPr>
            <w:r w:rsidRPr="00800D1B">
              <w:rPr>
                <w:color w:val="000000"/>
                <w:sz w:val="20"/>
                <w:lang w:val="sv-SE"/>
              </w:rPr>
              <w:t>Fond</w:t>
            </w:r>
          </w:p>
        </w:tc>
        <w:tc>
          <w:tcPr>
            <w:tcW w:w="0" w:type="auto"/>
          </w:tcPr>
          <w:p w14:paraId="2D065EC3" w14:textId="77777777" w:rsidR="00A77B3E" w:rsidRPr="00800D1B" w:rsidRDefault="00623E14" w:rsidP="00E04517">
            <w:pPr>
              <w:spacing w:before="100" w:after="100"/>
              <w:ind w:left="-72"/>
              <w:jc w:val="center"/>
              <w:rPr>
                <w:color w:val="000000"/>
                <w:sz w:val="20"/>
                <w:lang w:val="sv-SE"/>
              </w:rPr>
            </w:pPr>
            <w:r w:rsidRPr="00800D1B">
              <w:rPr>
                <w:color w:val="000000"/>
                <w:sz w:val="20"/>
                <w:lang w:val="sv-SE"/>
              </w:rPr>
              <w:t>Regionkategori</w:t>
            </w:r>
          </w:p>
        </w:tc>
        <w:tc>
          <w:tcPr>
            <w:tcW w:w="0" w:type="auto"/>
          </w:tcPr>
          <w:p w14:paraId="2D065EC4" w14:textId="77777777" w:rsidR="00A77B3E" w:rsidRPr="00800D1B" w:rsidRDefault="00623E14" w:rsidP="00E04517">
            <w:pPr>
              <w:spacing w:before="100" w:after="100"/>
              <w:ind w:left="-72"/>
              <w:jc w:val="center"/>
              <w:rPr>
                <w:color w:val="000000"/>
                <w:sz w:val="20"/>
                <w:lang w:val="sv-SE"/>
              </w:rPr>
            </w:pPr>
            <w:r w:rsidRPr="00800D1B">
              <w:rPr>
                <w:color w:val="000000"/>
                <w:sz w:val="20"/>
                <w:lang w:val="sv-SE"/>
              </w:rPr>
              <w:t>Kod</w:t>
            </w:r>
          </w:p>
        </w:tc>
        <w:tc>
          <w:tcPr>
            <w:tcW w:w="0" w:type="auto"/>
          </w:tcPr>
          <w:p w14:paraId="2D065EC5" w14:textId="77777777" w:rsidR="00A77B3E" w:rsidRPr="00800D1B" w:rsidRDefault="00623E14" w:rsidP="00E04517">
            <w:pPr>
              <w:spacing w:before="100" w:after="100"/>
              <w:ind w:left="-72"/>
              <w:jc w:val="center"/>
              <w:rPr>
                <w:color w:val="000000"/>
                <w:sz w:val="20"/>
                <w:lang w:val="sv-SE"/>
              </w:rPr>
            </w:pPr>
            <w:r w:rsidRPr="00800D1B">
              <w:rPr>
                <w:color w:val="000000"/>
                <w:sz w:val="20"/>
                <w:lang w:val="sv-SE"/>
              </w:rPr>
              <w:t>Belopp (euro)</w:t>
            </w:r>
          </w:p>
        </w:tc>
      </w:tr>
      <w:tr w:rsidR="003422DB" w:rsidRPr="00800D1B" w14:paraId="2D065ECD" w14:textId="77777777" w:rsidTr="00E04517">
        <w:tc>
          <w:tcPr>
            <w:tcW w:w="0" w:type="auto"/>
          </w:tcPr>
          <w:p w14:paraId="2D065EC7" w14:textId="77777777" w:rsidR="00A77B3E" w:rsidRPr="00800D1B" w:rsidRDefault="00623E14" w:rsidP="00E04517">
            <w:pPr>
              <w:spacing w:before="100" w:after="100"/>
              <w:ind w:left="-72"/>
              <w:rPr>
                <w:color w:val="000000"/>
                <w:sz w:val="20"/>
                <w:lang w:val="sv-SE"/>
              </w:rPr>
            </w:pPr>
            <w:r w:rsidRPr="00800D1B">
              <w:rPr>
                <w:color w:val="000000"/>
                <w:sz w:val="20"/>
                <w:lang w:val="sv-SE"/>
              </w:rPr>
              <w:t>3</w:t>
            </w:r>
          </w:p>
        </w:tc>
        <w:tc>
          <w:tcPr>
            <w:tcW w:w="0" w:type="auto"/>
          </w:tcPr>
          <w:p w14:paraId="2D065EC8" w14:textId="77777777" w:rsidR="00A77B3E" w:rsidRPr="00800D1B" w:rsidRDefault="00623E14" w:rsidP="00E04517">
            <w:pPr>
              <w:spacing w:before="100" w:after="100"/>
              <w:ind w:left="-72"/>
              <w:rPr>
                <w:color w:val="000000"/>
                <w:sz w:val="20"/>
                <w:lang w:val="sv-SE"/>
              </w:rPr>
            </w:pPr>
            <w:r w:rsidRPr="00800D1B">
              <w:rPr>
                <w:color w:val="000000"/>
                <w:sz w:val="20"/>
                <w:lang w:val="sv-SE"/>
              </w:rPr>
              <w:t>RSO1.4</w:t>
            </w:r>
          </w:p>
        </w:tc>
        <w:tc>
          <w:tcPr>
            <w:tcW w:w="0" w:type="auto"/>
          </w:tcPr>
          <w:p w14:paraId="2D065EC9" w14:textId="77777777" w:rsidR="00A77B3E" w:rsidRPr="00800D1B" w:rsidRDefault="00623E14" w:rsidP="00E04517">
            <w:pPr>
              <w:spacing w:before="100" w:after="100"/>
              <w:ind w:left="-72"/>
              <w:rPr>
                <w:color w:val="000000"/>
                <w:sz w:val="20"/>
                <w:lang w:val="sv-SE"/>
              </w:rPr>
            </w:pPr>
            <w:r w:rsidRPr="00800D1B">
              <w:rPr>
                <w:color w:val="000000"/>
                <w:sz w:val="20"/>
                <w:lang w:val="sv-SE"/>
              </w:rPr>
              <w:t>Eruf</w:t>
            </w:r>
          </w:p>
        </w:tc>
        <w:tc>
          <w:tcPr>
            <w:tcW w:w="0" w:type="auto"/>
          </w:tcPr>
          <w:p w14:paraId="2D065ECA" w14:textId="77777777" w:rsidR="00A77B3E" w:rsidRPr="00800D1B" w:rsidRDefault="00623E14" w:rsidP="00E04517">
            <w:pPr>
              <w:spacing w:before="100" w:after="100"/>
              <w:ind w:left="-72"/>
              <w:rPr>
                <w:color w:val="000000"/>
                <w:sz w:val="20"/>
                <w:lang w:val="sv-SE"/>
              </w:rPr>
            </w:pPr>
            <w:r w:rsidRPr="00800D1B">
              <w:rPr>
                <w:color w:val="000000"/>
                <w:sz w:val="20"/>
                <w:lang w:val="sv-SE"/>
              </w:rPr>
              <w:t>Mer utvecklade regioner</w:t>
            </w:r>
          </w:p>
        </w:tc>
        <w:tc>
          <w:tcPr>
            <w:tcW w:w="0" w:type="auto"/>
          </w:tcPr>
          <w:p w14:paraId="2D065ECB" w14:textId="77777777" w:rsidR="00A77B3E" w:rsidRPr="00800D1B" w:rsidRDefault="00623E14" w:rsidP="00E04517">
            <w:pPr>
              <w:spacing w:before="100" w:after="100"/>
              <w:ind w:left="-72"/>
              <w:rPr>
                <w:color w:val="000000"/>
                <w:sz w:val="20"/>
                <w:lang w:val="sv-SE"/>
              </w:rPr>
            </w:pPr>
            <w:r w:rsidRPr="00800D1B">
              <w:rPr>
                <w:color w:val="000000"/>
                <w:sz w:val="20"/>
                <w:lang w:val="sv-SE"/>
              </w:rPr>
              <w:t>01. Bevilja</w:t>
            </w:r>
          </w:p>
        </w:tc>
        <w:tc>
          <w:tcPr>
            <w:tcW w:w="0" w:type="auto"/>
          </w:tcPr>
          <w:p w14:paraId="2D065ECC" w14:textId="77777777" w:rsidR="00A77B3E" w:rsidRPr="00800D1B" w:rsidRDefault="00623E14" w:rsidP="00E04517">
            <w:pPr>
              <w:spacing w:before="100" w:after="100"/>
              <w:ind w:left="-72"/>
              <w:jc w:val="right"/>
              <w:rPr>
                <w:color w:val="000000"/>
                <w:sz w:val="20"/>
                <w:lang w:val="sv-SE"/>
              </w:rPr>
            </w:pPr>
            <w:r w:rsidRPr="00800D1B">
              <w:rPr>
                <w:color w:val="000000"/>
                <w:sz w:val="20"/>
                <w:lang w:val="sv-SE"/>
              </w:rPr>
              <w:t>14 295 304,00</w:t>
            </w:r>
          </w:p>
        </w:tc>
      </w:tr>
      <w:tr w:rsidR="003422DB" w:rsidRPr="00800D1B" w14:paraId="2D065ED4" w14:textId="77777777" w:rsidTr="00E04517">
        <w:tc>
          <w:tcPr>
            <w:tcW w:w="0" w:type="auto"/>
          </w:tcPr>
          <w:p w14:paraId="2D065ECE" w14:textId="77777777" w:rsidR="00A77B3E" w:rsidRPr="00800D1B" w:rsidRDefault="00623E14" w:rsidP="00E04517">
            <w:pPr>
              <w:spacing w:before="100" w:after="100"/>
              <w:ind w:left="-72"/>
              <w:rPr>
                <w:color w:val="000000"/>
                <w:sz w:val="20"/>
                <w:lang w:val="sv-SE"/>
              </w:rPr>
            </w:pPr>
            <w:r w:rsidRPr="00800D1B">
              <w:rPr>
                <w:color w:val="000000"/>
                <w:sz w:val="20"/>
                <w:lang w:val="sv-SE"/>
              </w:rPr>
              <w:t>3</w:t>
            </w:r>
          </w:p>
        </w:tc>
        <w:tc>
          <w:tcPr>
            <w:tcW w:w="0" w:type="auto"/>
          </w:tcPr>
          <w:p w14:paraId="2D065ECF" w14:textId="77777777" w:rsidR="00A77B3E" w:rsidRPr="00800D1B" w:rsidRDefault="00623E14" w:rsidP="00E04517">
            <w:pPr>
              <w:spacing w:before="100" w:after="100"/>
              <w:ind w:left="-72"/>
              <w:rPr>
                <w:color w:val="000000"/>
                <w:sz w:val="20"/>
                <w:lang w:val="sv-SE"/>
              </w:rPr>
            </w:pPr>
            <w:r w:rsidRPr="00800D1B">
              <w:rPr>
                <w:color w:val="000000"/>
                <w:sz w:val="20"/>
                <w:lang w:val="sv-SE"/>
              </w:rPr>
              <w:t>RSO1.4</w:t>
            </w:r>
          </w:p>
        </w:tc>
        <w:tc>
          <w:tcPr>
            <w:tcW w:w="0" w:type="auto"/>
          </w:tcPr>
          <w:p w14:paraId="2D065ED0" w14:textId="77777777" w:rsidR="00A77B3E" w:rsidRPr="00800D1B" w:rsidRDefault="00623E14" w:rsidP="00E04517">
            <w:pPr>
              <w:spacing w:before="100" w:after="100"/>
              <w:ind w:left="-72"/>
              <w:rPr>
                <w:color w:val="000000"/>
                <w:sz w:val="20"/>
                <w:lang w:val="sv-SE"/>
              </w:rPr>
            </w:pPr>
            <w:r w:rsidRPr="00800D1B">
              <w:rPr>
                <w:color w:val="000000"/>
                <w:sz w:val="20"/>
                <w:lang w:val="sv-SE"/>
              </w:rPr>
              <w:t>Totalt</w:t>
            </w:r>
          </w:p>
        </w:tc>
        <w:tc>
          <w:tcPr>
            <w:tcW w:w="0" w:type="auto"/>
          </w:tcPr>
          <w:p w14:paraId="2D065ED1" w14:textId="77777777" w:rsidR="00A77B3E" w:rsidRPr="00800D1B" w:rsidRDefault="00A77B3E" w:rsidP="00E04517">
            <w:pPr>
              <w:spacing w:before="100" w:after="100"/>
              <w:ind w:left="-72"/>
              <w:rPr>
                <w:color w:val="000000"/>
                <w:sz w:val="20"/>
                <w:lang w:val="sv-SE"/>
              </w:rPr>
            </w:pPr>
          </w:p>
        </w:tc>
        <w:tc>
          <w:tcPr>
            <w:tcW w:w="0" w:type="auto"/>
          </w:tcPr>
          <w:p w14:paraId="2D065ED2" w14:textId="77777777" w:rsidR="00A77B3E" w:rsidRPr="00800D1B" w:rsidRDefault="00A77B3E" w:rsidP="00E04517">
            <w:pPr>
              <w:spacing w:before="100" w:after="100"/>
              <w:ind w:left="-72"/>
              <w:rPr>
                <w:color w:val="000000"/>
                <w:sz w:val="20"/>
                <w:lang w:val="sv-SE"/>
              </w:rPr>
            </w:pPr>
          </w:p>
        </w:tc>
        <w:tc>
          <w:tcPr>
            <w:tcW w:w="0" w:type="auto"/>
          </w:tcPr>
          <w:p w14:paraId="2D065ED3" w14:textId="77777777" w:rsidR="00A77B3E" w:rsidRPr="00800D1B" w:rsidRDefault="00623E14" w:rsidP="00E04517">
            <w:pPr>
              <w:spacing w:before="100" w:after="100"/>
              <w:ind w:left="-72"/>
              <w:jc w:val="right"/>
              <w:rPr>
                <w:color w:val="000000"/>
                <w:sz w:val="20"/>
                <w:lang w:val="sv-SE"/>
              </w:rPr>
            </w:pPr>
            <w:r w:rsidRPr="00800D1B">
              <w:rPr>
                <w:color w:val="000000"/>
                <w:sz w:val="20"/>
                <w:lang w:val="sv-SE"/>
              </w:rPr>
              <w:t>14 295 304,00</w:t>
            </w:r>
          </w:p>
        </w:tc>
      </w:tr>
    </w:tbl>
    <w:p w14:paraId="2D065ED6" w14:textId="2FD55A51" w:rsidR="00A77B3E" w:rsidRPr="00800D1B" w:rsidRDefault="00623E14" w:rsidP="00552F60">
      <w:pPr>
        <w:spacing w:before="300" w:after="100"/>
        <w:rPr>
          <w:lang w:val="sv-SE"/>
        </w:rPr>
      </w:pPr>
      <w:bookmarkStart w:id="89" w:name="_Toc256000330"/>
      <w:r w:rsidRPr="00800D1B">
        <w:rPr>
          <w:lang w:val="sv-SE"/>
        </w:rPr>
        <w:t>Tabell 6: Dimension 3 – territoriell genomförandemetod och territoriellt fokus</w:t>
      </w:r>
      <w:bookmarkEnd w:id="89"/>
    </w:p>
    <w:tbl>
      <w:tblPr>
        <w:tblStyle w:val="Tabellrutnt"/>
        <w:tblW w:w="5000" w:type="pct"/>
        <w:tblLook w:val="04A0" w:firstRow="1" w:lastRow="0" w:firstColumn="1" w:lastColumn="0" w:noHBand="0" w:noVBand="1"/>
        <w:tblDescription w:val="En tabell med sex kolumner: Prioritering; Specifikt mål; Fond; Regionkategori; Kod; Belopp (euro). Tabellen visar information om territoriell genomförandemetod och territoriellt fokus."/>
      </w:tblPr>
      <w:tblGrid>
        <w:gridCol w:w="1567"/>
        <w:gridCol w:w="1767"/>
        <w:gridCol w:w="969"/>
        <w:gridCol w:w="2967"/>
        <w:gridCol w:w="6031"/>
        <w:gridCol w:w="1871"/>
      </w:tblGrid>
      <w:tr w:rsidR="003422DB" w:rsidRPr="00800D1B" w14:paraId="2D065EDE" w14:textId="77777777" w:rsidTr="00E04517">
        <w:tc>
          <w:tcPr>
            <w:tcW w:w="0" w:type="auto"/>
          </w:tcPr>
          <w:p w14:paraId="2D065ED8" w14:textId="77777777" w:rsidR="00A77B3E" w:rsidRPr="00800D1B" w:rsidRDefault="00623E14" w:rsidP="00E04517">
            <w:pPr>
              <w:spacing w:before="100" w:after="100"/>
              <w:ind w:left="-72"/>
              <w:jc w:val="center"/>
              <w:rPr>
                <w:color w:val="000000"/>
                <w:sz w:val="20"/>
                <w:lang w:val="sv-SE"/>
              </w:rPr>
            </w:pPr>
            <w:r w:rsidRPr="00800D1B">
              <w:rPr>
                <w:color w:val="000000"/>
                <w:sz w:val="20"/>
                <w:lang w:val="sv-SE"/>
              </w:rPr>
              <w:t>Prioritering</w:t>
            </w:r>
          </w:p>
        </w:tc>
        <w:tc>
          <w:tcPr>
            <w:tcW w:w="0" w:type="auto"/>
          </w:tcPr>
          <w:p w14:paraId="2D065ED9" w14:textId="77777777" w:rsidR="00A77B3E" w:rsidRPr="00800D1B" w:rsidRDefault="00623E14" w:rsidP="00E04517">
            <w:pPr>
              <w:spacing w:before="100" w:after="100"/>
              <w:ind w:left="-72"/>
              <w:jc w:val="center"/>
              <w:rPr>
                <w:color w:val="000000"/>
                <w:sz w:val="20"/>
                <w:lang w:val="sv-SE"/>
              </w:rPr>
            </w:pPr>
            <w:r w:rsidRPr="00800D1B">
              <w:rPr>
                <w:color w:val="000000"/>
                <w:sz w:val="20"/>
                <w:lang w:val="sv-SE"/>
              </w:rPr>
              <w:t>Specifikt mål</w:t>
            </w:r>
          </w:p>
        </w:tc>
        <w:tc>
          <w:tcPr>
            <w:tcW w:w="0" w:type="auto"/>
          </w:tcPr>
          <w:p w14:paraId="2D065EDA" w14:textId="77777777" w:rsidR="00A77B3E" w:rsidRPr="00800D1B" w:rsidRDefault="00623E14" w:rsidP="00E04517">
            <w:pPr>
              <w:spacing w:before="100" w:after="100"/>
              <w:ind w:left="-72"/>
              <w:jc w:val="center"/>
              <w:rPr>
                <w:color w:val="000000"/>
                <w:sz w:val="20"/>
                <w:lang w:val="sv-SE"/>
              </w:rPr>
            </w:pPr>
            <w:r w:rsidRPr="00800D1B">
              <w:rPr>
                <w:color w:val="000000"/>
                <w:sz w:val="20"/>
                <w:lang w:val="sv-SE"/>
              </w:rPr>
              <w:t>Fond</w:t>
            </w:r>
          </w:p>
        </w:tc>
        <w:tc>
          <w:tcPr>
            <w:tcW w:w="0" w:type="auto"/>
          </w:tcPr>
          <w:p w14:paraId="2D065EDB" w14:textId="77777777" w:rsidR="00A77B3E" w:rsidRPr="00800D1B" w:rsidRDefault="00623E14" w:rsidP="00E04517">
            <w:pPr>
              <w:spacing w:before="100" w:after="100"/>
              <w:ind w:left="-72"/>
              <w:jc w:val="center"/>
              <w:rPr>
                <w:color w:val="000000"/>
                <w:sz w:val="20"/>
                <w:lang w:val="sv-SE"/>
              </w:rPr>
            </w:pPr>
            <w:r w:rsidRPr="00800D1B">
              <w:rPr>
                <w:color w:val="000000"/>
                <w:sz w:val="20"/>
                <w:lang w:val="sv-SE"/>
              </w:rPr>
              <w:t>Regionkategori</w:t>
            </w:r>
          </w:p>
        </w:tc>
        <w:tc>
          <w:tcPr>
            <w:tcW w:w="0" w:type="auto"/>
          </w:tcPr>
          <w:p w14:paraId="2D065EDC" w14:textId="77777777" w:rsidR="00A77B3E" w:rsidRPr="00800D1B" w:rsidRDefault="00623E14" w:rsidP="00E04517">
            <w:pPr>
              <w:spacing w:before="100" w:after="100"/>
              <w:ind w:left="-72"/>
              <w:jc w:val="center"/>
              <w:rPr>
                <w:color w:val="000000"/>
                <w:sz w:val="20"/>
                <w:lang w:val="sv-SE"/>
              </w:rPr>
            </w:pPr>
            <w:r w:rsidRPr="00800D1B">
              <w:rPr>
                <w:color w:val="000000"/>
                <w:sz w:val="20"/>
                <w:lang w:val="sv-SE"/>
              </w:rPr>
              <w:t>Kod</w:t>
            </w:r>
          </w:p>
        </w:tc>
        <w:tc>
          <w:tcPr>
            <w:tcW w:w="0" w:type="auto"/>
          </w:tcPr>
          <w:p w14:paraId="2D065EDD" w14:textId="77777777" w:rsidR="00A77B3E" w:rsidRPr="00800D1B" w:rsidRDefault="00623E14" w:rsidP="00E04517">
            <w:pPr>
              <w:spacing w:before="100" w:after="100"/>
              <w:ind w:left="-72"/>
              <w:jc w:val="center"/>
              <w:rPr>
                <w:color w:val="000000"/>
                <w:sz w:val="20"/>
                <w:lang w:val="sv-SE"/>
              </w:rPr>
            </w:pPr>
            <w:r w:rsidRPr="00800D1B">
              <w:rPr>
                <w:color w:val="000000"/>
                <w:sz w:val="20"/>
                <w:lang w:val="sv-SE"/>
              </w:rPr>
              <w:t>Belopp (euro)</w:t>
            </w:r>
          </w:p>
        </w:tc>
      </w:tr>
      <w:tr w:rsidR="003422DB" w:rsidRPr="00800D1B" w14:paraId="2D065EE5" w14:textId="77777777" w:rsidTr="00E04517">
        <w:tc>
          <w:tcPr>
            <w:tcW w:w="0" w:type="auto"/>
          </w:tcPr>
          <w:p w14:paraId="2D065EDF" w14:textId="77777777" w:rsidR="00A77B3E" w:rsidRPr="00800D1B" w:rsidRDefault="00623E14" w:rsidP="00E04517">
            <w:pPr>
              <w:spacing w:before="100" w:after="100"/>
              <w:ind w:left="-72"/>
              <w:rPr>
                <w:color w:val="000000"/>
                <w:sz w:val="20"/>
                <w:lang w:val="sv-SE"/>
              </w:rPr>
            </w:pPr>
            <w:r w:rsidRPr="00800D1B">
              <w:rPr>
                <w:color w:val="000000"/>
                <w:sz w:val="20"/>
                <w:lang w:val="sv-SE"/>
              </w:rPr>
              <w:t>3</w:t>
            </w:r>
          </w:p>
        </w:tc>
        <w:tc>
          <w:tcPr>
            <w:tcW w:w="0" w:type="auto"/>
          </w:tcPr>
          <w:p w14:paraId="2D065EE0" w14:textId="77777777" w:rsidR="00A77B3E" w:rsidRPr="00800D1B" w:rsidRDefault="00623E14" w:rsidP="00E04517">
            <w:pPr>
              <w:spacing w:before="100" w:after="100"/>
              <w:ind w:left="-72"/>
              <w:rPr>
                <w:color w:val="000000"/>
                <w:sz w:val="20"/>
                <w:lang w:val="sv-SE"/>
              </w:rPr>
            </w:pPr>
            <w:r w:rsidRPr="00800D1B">
              <w:rPr>
                <w:color w:val="000000"/>
                <w:sz w:val="20"/>
                <w:lang w:val="sv-SE"/>
              </w:rPr>
              <w:t>RSO1.4</w:t>
            </w:r>
          </w:p>
        </w:tc>
        <w:tc>
          <w:tcPr>
            <w:tcW w:w="0" w:type="auto"/>
          </w:tcPr>
          <w:p w14:paraId="2D065EE1" w14:textId="77777777" w:rsidR="00A77B3E" w:rsidRPr="00800D1B" w:rsidRDefault="00623E14" w:rsidP="00E04517">
            <w:pPr>
              <w:spacing w:before="100" w:after="100"/>
              <w:ind w:left="-72"/>
              <w:rPr>
                <w:color w:val="000000"/>
                <w:sz w:val="20"/>
                <w:lang w:val="sv-SE"/>
              </w:rPr>
            </w:pPr>
            <w:r w:rsidRPr="00800D1B">
              <w:rPr>
                <w:color w:val="000000"/>
                <w:sz w:val="20"/>
                <w:lang w:val="sv-SE"/>
              </w:rPr>
              <w:t>Eruf</w:t>
            </w:r>
          </w:p>
        </w:tc>
        <w:tc>
          <w:tcPr>
            <w:tcW w:w="0" w:type="auto"/>
          </w:tcPr>
          <w:p w14:paraId="2D065EE2" w14:textId="77777777" w:rsidR="00A77B3E" w:rsidRPr="00800D1B" w:rsidRDefault="00623E14" w:rsidP="00E04517">
            <w:pPr>
              <w:spacing w:before="100" w:after="100"/>
              <w:ind w:left="-72"/>
              <w:rPr>
                <w:color w:val="000000"/>
                <w:sz w:val="20"/>
                <w:lang w:val="sv-SE"/>
              </w:rPr>
            </w:pPr>
            <w:r w:rsidRPr="00800D1B">
              <w:rPr>
                <w:color w:val="000000"/>
                <w:sz w:val="20"/>
                <w:lang w:val="sv-SE"/>
              </w:rPr>
              <w:t>Mer utvecklade regioner</w:t>
            </w:r>
          </w:p>
        </w:tc>
        <w:tc>
          <w:tcPr>
            <w:tcW w:w="0" w:type="auto"/>
          </w:tcPr>
          <w:p w14:paraId="2D065EE3" w14:textId="77777777" w:rsidR="00A77B3E" w:rsidRPr="00800D1B" w:rsidRDefault="00623E14" w:rsidP="00E04517">
            <w:pPr>
              <w:spacing w:before="100" w:after="100"/>
              <w:ind w:left="-72"/>
              <w:rPr>
                <w:color w:val="000000"/>
                <w:sz w:val="20"/>
                <w:lang w:val="sv-SE"/>
              </w:rPr>
            </w:pPr>
            <w:r w:rsidRPr="00800D1B">
              <w:rPr>
                <w:color w:val="000000"/>
                <w:sz w:val="20"/>
                <w:lang w:val="sv-SE"/>
              </w:rPr>
              <w:t>33. Andra strategier – Ingen territoriell målinriktning</w:t>
            </w:r>
          </w:p>
        </w:tc>
        <w:tc>
          <w:tcPr>
            <w:tcW w:w="0" w:type="auto"/>
          </w:tcPr>
          <w:p w14:paraId="2D065EE4" w14:textId="77777777" w:rsidR="00A77B3E" w:rsidRPr="00800D1B" w:rsidRDefault="00623E14" w:rsidP="00E04517">
            <w:pPr>
              <w:spacing w:before="100" w:after="100"/>
              <w:ind w:left="-72"/>
              <w:jc w:val="right"/>
              <w:rPr>
                <w:color w:val="000000"/>
                <w:sz w:val="20"/>
                <w:lang w:val="sv-SE"/>
              </w:rPr>
            </w:pPr>
            <w:r w:rsidRPr="00800D1B">
              <w:rPr>
                <w:color w:val="000000"/>
                <w:sz w:val="20"/>
                <w:lang w:val="sv-SE"/>
              </w:rPr>
              <w:t>14 295 304,00</w:t>
            </w:r>
          </w:p>
        </w:tc>
      </w:tr>
      <w:tr w:rsidR="003422DB" w:rsidRPr="00800D1B" w14:paraId="2D065EEC" w14:textId="77777777" w:rsidTr="00E04517">
        <w:tc>
          <w:tcPr>
            <w:tcW w:w="0" w:type="auto"/>
          </w:tcPr>
          <w:p w14:paraId="2D065EE6" w14:textId="77777777" w:rsidR="00A77B3E" w:rsidRPr="00800D1B" w:rsidRDefault="00623E14" w:rsidP="00E04517">
            <w:pPr>
              <w:spacing w:before="100" w:after="100"/>
              <w:ind w:left="-72"/>
              <w:rPr>
                <w:color w:val="000000"/>
                <w:sz w:val="20"/>
                <w:lang w:val="sv-SE"/>
              </w:rPr>
            </w:pPr>
            <w:r w:rsidRPr="00800D1B">
              <w:rPr>
                <w:color w:val="000000"/>
                <w:sz w:val="20"/>
                <w:lang w:val="sv-SE"/>
              </w:rPr>
              <w:t>3</w:t>
            </w:r>
          </w:p>
        </w:tc>
        <w:tc>
          <w:tcPr>
            <w:tcW w:w="0" w:type="auto"/>
          </w:tcPr>
          <w:p w14:paraId="2D065EE7" w14:textId="77777777" w:rsidR="00A77B3E" w:rsidRPr="00800D1B" w:rsidRDefault="00623E14" w:rsidP="00E04517">
            <w:pPr>
              <w:spacing w:before="100" w:after="100"/>
              <w:ind w:left="-72"/>
              <w:rPr>
                <w:color w:val="000000"/>
                <w:sz w:val="20"/>
                <w:lang w:val="sv-SE"/>
              </w:rPr>
            </w:pPr>
            <w:r w:rsidRPr="00800D1B">
              <w:rPr>
                <w:color w:val="000000"/>
                <w:sz w:val="20"/>
                <w:lang w:val="sv-SE"/>
              </w:rPr>
              <w:t>RSO1.4</w:t>
            </w:r>
          </w:p>
        </w:tc>
        <w:tc>
          <w:tcPr>
            <w:tcW w:w="0" w:type="auto"/>
          </w:tcPr>
          <w:p w14:paraId="2D065EE8" w14:textId="77777777" w:rsidR="00A77B3E" w:rsidRPr="00800D1B" w:rsidRDefault="00623E14" w:rsidP="00E04517">
            <w:pPr>
              <w:spacing w:before="100" w:after="100"/>
              <w:ind w:left="-72"/>
              <w:rPr>
                <w:color w:val="000000"/>
                <w:sz w:val="20"/>
                <w:lang w:val="sv-SE"/>
              </w:rPr>
            </w:pPr>
            <w:r w:rsidRPr="00800D1B">
              <w:rPr>
                <w:color w:val="000000"/>
                <w:sz w:val="20"/>
                <w:lang w:val="sv-SE"/>
              </w:rPr>
              <w:t>Totalt</w:t>
            </w:r>
          </w:p>
        </w:tc>
        <w:tc>
          <w:tcPr>
            <w:tcW w:w="0" w:type="auto"/>
          </w:tcPr>
          <w:p w14:paraId="2D065EE9" w14:textId="77777777" w:rsidR="00A77B3E" w:rsidRPr="00800D1B" w:rsidRDefault="00A77B3E" w:rsidP="00E04517">
            <w:pPr>
              <w:spacing w:before="100" w:after="100"/>
              <w:ind w:left="-72"/>
              <w:rPr>
                <w:color w:val="000000"/>
                <w:sz w:val="20"/>
                <w:lang w:val="sv-SE"/>
              </w:rPr>
            </w:pPr>
          </w:p>
        </w:tc>
        <w:tc>
          <w:tcPr>
            <w:tcW w:w="0" w:type="auto"/>
          </w:tcPr>
          <w:p w14:paraId="2D065EEA" w14:textId="77777777" w:rsidR="00A77B3E" w:rsidRPr="00800D1B" w:rsidRDefault="00A77B3E" w:rsidP="00E04517">
            <w:pPr>
              <w:spacing w:before="100" w:after="100"/>
              <w:ind w:left="-72"/>
              <w:rPr>
                <w:color w:val="000000"/>
                <w:sz w:val="20"/>
                <w:lang w:val="sv-SE"/>
              </w:rPr>
            </w:pPr>
          </w:p>
        </w:tc>
        <w:tc>
          <w:tcPr>
            <w:tcW w:w="0" w:type="auto"/>
          </w:tcPr>
          <w:p w14:paraId="2D065EEB" w14:textId="77777777" w:rsidR="00A77B3E" w:rsidRPr="00800D1B" w:rsidRDefault="00623E14" w:rsidP="00E04517">
            <w:pPr>
              <w:spacing w:before="100" w:after="100"/>
              <w:ind w:left="-72"/>
              <w:jc w:val="right"/>
              <w:rPr>
                <w:color w:val="000000"/>
                <w:sz w:val="20"/>
                <w:lang w:val="sv-SE"/>
              </w:rPr>
            </w:pPr>
            <w:r w:rsidRPr="00800D1B">
              <w:rPr>
                <w:color w:val="000000"/>
                <w:sz w:val="20"/>
                <w:lang w:val="sv-SE"/>
              </w:rPr>
              <w:t>14 295 304,00</w:t>
            </w:r>
          </w:p>
        </w:tc>
      </w:tr>
    </w:tbl>
    <w:p w14:paraId="2D065EEE" w14:textId="512EE886" w:rsidR="00A77B3E" w:rsidRPr="00800D1B" w:rsidRDefault="00623E14" w:rsidP="00D36B53">
      <w:pPr>
        <w:spacing w:before="280" w:after="100"/>
        <w:rPr>
          <w:lang w:val="sv-SE"/>
        </w:rPr>
      </w:pPr>
      <w:bookmarkStart w:id="90" w:name="_Toc256000331"/>
      <w:r w:rsidRPr="00800D1B">
        <w:rPr>
          <w:lang w:val="sv-SE"/>
        </w:rPr>
        <w:t>Tabell 7: Dimension 6 – ESF+-sekundärteman</w:t>
      </w:r>
      <w:bookmarkEnd w:id="90"/>
    </w:p>
    <w:tbl>
      <w:tblPr>
        <w:tblStyle w:val="Tabellrutnt"/>
        <w:tblW w:w="5000" w:type="pct"/>
        <w:tblLook w:val="04A0" w:firstRow="1" w:lastRow="0" w:firstColumn="1" w:lastColumn="0" w:noHBand="0" w:noVBand="1"/>
        <w:tblDescription w:val="En tabell med sex kolumner: Prioritering; Specifikt mål; Fond; Regionkategori; Kod; Belopp (euro). Tabellen visar information om ESF+-sekundärteman."/>
      </w:tblPr>
      <w:tblGrid>
        <w:gridCol w:w="2696"/>
        <w:gridCol w:w="3040"/>
        <w:gridCol w:w="1516"/>
        <w:gridCol w:w="3415"/>
        <w:gridCol w:w="1361"/>
        <w:gridCol w:w="3144"/>
      </w:tblGrid>
      <w:tr w:rsidR="003422DB" w:rsidRPr="00800D1B" w14:paraId="2D065EF6" w14:textId="77777777" w:rsidTr="00E04517">
        <w:tc>
          <w:tcPr>
            <w:tcW w:w="0" w:type="auto"/>
          </w:tcPr>
          <w:p w14:paraId="2D065EF0" w14:textId="77777777" w:rsidR="00A77B3E" w:rsidRPr="00800D1B" w:rsidRDefault="00623E14" w:rsidP="00E04517">
            <w:pPr>
              <w:spacing w:before="100" w:after="100"/>
              <w:ind w:left="-72"/>
              <w:jc w:val="center"/>
              <w:rPr>
                <w:color w:val="000000"/>
                <w:sz w:val="20"/>
                <w:lang w:val="sv-SE"/>
              </w:rPr>
            </w:pPr>
            <w:r w:rsidRPr="00800D1B">
              <w:rPr>
                <w:color w:val="000000"/>
                <w:sz w:val="20"/>
                <w:lang w:val="sv-SE"/>
              </w:rPr>
              <w:t>Prioritering</w:t>
            </w:r>
          </w:p>
        </w:tc>
        <w:tc>
          <w:tcPr>
            <w:tcW w:w="0" w:type="auto"/>
          </w:tcPr>
          <w:p w14:paraId="2D065EF1" w14:textId="77777777" w:rsidR="00A77B3E" w:rsidRPr="00800D1B" w:rsidRDefault="00623E14" w:rsidP="00E04517">
            <w:pPr>
              <w:spacing w:before="100" w:after="100"/>
              <w:ind w:left="-72"/>
              <w:jc w:val="center"/>
              <w:rPr>
                <w:color w:val="000000"/>
                <w:sz w:val="20"/>
                <w:lang w:val="sv-SE"/>
              </w:rPr>
            </w:pPr>
            <w:r w:rsidRPr="00800D1B">
              <w:rPr>
                <w:color w:val="000000"/>
                <w:sz w:val="20"/>
                <w:lang w:val="sv-SE"/>
              </w:rPr>
              <w:t>Specifikt mål</w:t>
            </w:r>
          </w:p>
        </w:tc>
        <w:tc>
          <w:tcPr>
            <w:tcW w:w="0" w:type="auto"/>
          </w:tcPr>
          <w:p w14:paraId="2D065EF2" w14:textId="77777777" w:rsidR="00A77B3E" w:rsidRPr="00800D1B" w:rsidRDefault="00623E14" w:rsidP="00E04517">
            <w:pPr>
              <w:spacing w:before="100" w:after="100"/>
              <w:ind w:left="-72"/>
              <w:jc w:val="center"/>
              <w:rPr>
                <w:color w:val="000000"/>
                <w:sz w:val="20"/>
                <w:lang w:val="sv-SE"/>
              </w:rPr>
            </w:pPr>
            <w:r w:rsidRPr="00800D1B">
              <w:rPr>
                <w:color w:val="000000"/>
                <w:sz w:val="20"/>
                <w:lang w:val="sv-SE"/>
              </w:rPr>
              <w:t>Fond</w:t>
            </w:r>
          </w:p>
        </w:tc>
        <w:tc>
          <w:tcPr>
            <w:tcW w:w="0" w:type="auto"/>
          </w:tcPr>
          <w:p w14:paraId="2D065EF3" w14:textId="77777777" w:rsidR="00A77B3E" w:rsidRPr="00800D1B" w:rsidRDefault="00623E14" w:rsidP="00E04517">
            <w:pPr>
              <w:spacing w:before="100" w:after="100"/>
              <w:ind w:left="-72"/>
              <w:jc w:val="center"/>
              <w:rPr>
                <w:color w:val="000000"/>
                <w:sz w:val="20"/>
                <w:lang w:val="sv-SE"/>
              </w:rPr>
            </w:pPr>
            <w:r w:rsidRPr="00800D1B">
              <w:rPr>
                <w:color w:val="000000"/>
                <w:sz w:val="20"/>
                <w:lang w:val="sv-SE"/>
              </w:rPr>
              <w:t>Regionkategori</w:t>
            </w:r>
          </w:p>
        </w:tc>
        <w:tc>
          <w:tcPr>
            <w:tcW w:w="0" w:type="auto"/>
          </w:tcPr>
          <w:p w14:paraId="2D065EF4" w14:textId="77777777" w:rsidR="00A77B3E" w:rsidRPr="00800D1B" w:rsidRDefault="00623E14" w:rsidP="00E04517">
            <w:pPr>
              <w:spacing w:before="100" w:after="100"/>
              <w:ind w:left="-72"/>
              <w:jc w:val="center"/>
              <w:rPr>
                <w:color w:val="000000"/>
                <w:sz w:val="20"/>
                <w:lang w:val="sv-SE"/>
              </w:rPr>
            </w:pPr>
            <w:r w:rsidRPr="00800D1B">
              <w:rPr>
                <w:color w:val="000000"/>
                <w:sz w:val="20"/>
                <w:lang w:val="sv-SE"/>
              </w:rPr>
              <w:t>Kod</w:t>
            </w:r>
          </w:p>
        </w:tc>
        <w:tc>
          <w:tcPr>
            <w:tcW w:w="0" w:type="auto"/>
          </w:tcPr>
          <w:p w14:paraId="2D065EF5" w14:textId="77777777" w:rsidR="00A77B3E" w:rsidRPr="00800D1B" w:rsidRDefault="00623E14" w:rsidP="00E04517">
            <w:pPr>
              <w:spacing w:before="100" w:after="100"/>
              <w:ind w:left="-72"/>
              <w:jc w:val="center"/>
              <w:rPr>
                <w:color w:val="000000"/>
                <w:sz w:val="20"/>
                <w:lang w:val="sv-SE"/>
              </w:rPr>
            </w:pPr>
            <w:r w:rsidRPr="00800D1B">
              <w:rPr>
                <w:color w:val="000000"/>
                <w:sz w:val="20"/>
                <w:lang w:val="sv-SE"/>
              </w:rPr>
              <w:t>Belopp (euro)</w:t>
            </w:r>
          </w:p>
        </w:tc>
      </w:tr>
    </w:tbl>
    <w:p w14:paraId="2D065EF8" w14:textId="6BC3E2AD" w:rsidR="00A77B3E" w:rsidRPr="00800D1B" w:rsidRDefault="00623E14" w:rsidP="00D36B53">
      <w:pPr>
        <w:spacing w:before="300" w:after="100"/>
        <w:rPr>
          <w:lang w:val="sv-SE"/>
        </w:rPr>
      </w:pPr>
      <w:bookmarkStart w:id="91" w:name="_Toc256000332"/>
      <w:r w:rsidRPr="00800D1B">
        <w:rPr>
          <w:lang w:val="sv-SE"/>
        </w:rPr>
        <w:t>Tabell 8: Dimension 7 – ESF+, Eruf, Sammanhållningsfonden och FRO, jämställdhetsdimensionen</w:t>
      </w:r>
      <w:bookmarkEnd w:id="91"/>
    </w:p>
    <w:tbl>
      <w:tblPr>
        <w:tblStyle w:val="Tabellrutnt"/>
        <w:tblW w:w="5000" w:type="pct"/>
        <w:tblLook w:val="04A0" w:firstRow="1" w:lastRow="0" w:firstColumn="1" w:lastColumn="0" w:noHBand="0" w:noVBand="1"/>
        <w:tblDescription w:val="En tabell med sex kolumner: Prioritering; Specifikt mål; Fond; Regionkategori; Kod; Belopp (euro). Tabellen visar information om ESF+, Eruf, Sammanhållningsfonden och FRO, jämställdhetsdimensionen."/>
      </w:tblPr>
      <w:tblGrid>
        <w:gridCol w:w="1901"/>
        <w:gridCol w:w="2145"/>
        <w:gridCol w:w="1177"/>
        <w:gridCol w:w="3602"/>
        <w:gridCol w:w="4075"/>
        <w:gridCol w:w="2272"/>
      </w:tblGrid>
      <w:tr w:rsidR="003422DB" w:rsidRPr="00800D1B" w14:paraId="2D065F00" w14:textId="77777777" w:rsidTr="00B76590">
        <w:tc>
          <w:tcPr>
            <w:tcW w:w="0" w:type="auto"/>
          </w:tcPr>
          <w:p w14:paraId="2D065EFA" w14:textId="77777777" w:rsidR="00A77B3E" w:rsidRPr="00800D1B" w:rsidRDefault="00623E14" w:rsidP="00B76590">
            <w:pPr>
              <w:spacing w:before="100" w:after="100"/>
              <w:ind w:left="-72"/>
              <w:jc w:val="center"/>
              <w:rPr>
                <w:color w:val="000000"/>
                <w:sz w:val="20"/>
                <w:lang w:val="sv-SE"/>
              </w:rPr>
            </w:pPr>
            <w:r w:rsidRPr="00800D1B">
              <w:rPr>
                <w:color w:val="000000"/>
                <w:sz w:val="20"/>
                <w:lang w:val="sv-SE"/>
              </w:rPr>
              <w:t>Prioritering</w:t>
            </w:r>
          </w:p>
        </w:tc>
        <w:tc>
          <w:tcPr>
            <w:tcW w:w="0" w:type="auto"/>
          </w:tcPr>
          <w:p w14:paraId="2D065EFB" w14:textId="77777777" w:rsidR="00A77B3E" w:rsidRPr="00800D1B" w:rsidRDefault="00623E14" w:rsidP="00B76590">
            <w:pPr>
              <w:spacing w:before="100" w:after="100"/>
              <w:ind w:left="-72"/>
              <w:jc w:val="center"/>
              <w:rPr>
                <w:color w:val="000000"/>
                <w:sz w:val="20"/>
                <w:lang w:val="sv-SE"/>
              </w:rPr>
            </w:pPr>
            <w:r w:rsidRPr="00800D1B">
              <w:rPr>
                <w:color w:val="000000"/>
                <w:sz w:val="20"/>
                <w:lang w:val="sv-SE"/>
              </w:rPr>
              <w:t>Specifikt mål</w:t>
            </w:r>
          </w:p>
        </w:tc>
        <w:tc>
          <w:tcPr>
            <w:tcW w:w="0" w:type="auto"/>
          </w:tcPr>
          <w:p w14:paraId="2D065EFC" w14:textId="77777777" w:rsidR="00A77B3E" w:rsidRPr="00800D1B" w:rsidRDefault="00623E14" w:rsidP="00B76590">
            <w:pPr>
              <w:spacing w:before="100" w:after="100"/>
              <w:ind w:left="-72"/>
              <w:jc w:val="center"/>
              <w:rPr>
                <w:color w:val="000000"/>
                <w:sz w:val="20"/>
                <w:lang w:val="sv-SE"/>
              </w:rPr>
            </w:pPr>
            <w:r w:rsidRPr="00800D1B">
              <w:rPr>
                <w:color w:val="000000"/>
                <w:sz w:val="20"/>
                <w:lang w:val="sv-SE"/>
              </w:rPr>
              <w:t>Fond</w:t>
            </w:r>
          </w:p>
        </w:tc>
        <w:tc>
          <w:tcPr>
            <w:tcW w:w="0" w:type="auto"/>
          </w:tcPr>
          <w:p w14:paraId="2D065EFD" w14:textId="77777777" w:rsidR="00A77B3E" w:rsidRPr="00800D1B" w:rsidRDefault="00623E14" w:rsidP="00B76590">
            <w:pPr>
              <w:spacing w:before="100" w:after="100"/>
              <w:ind w:left="-72"/>
              <w:jc w:val="center"/>
              <w:rPr>
                <w:color w:val="000000"/>
                <w:sz w:val="20"/>
                <w:lang w:val="sv-SE"/>
              </w:rPr>
            </w:pPr>
            <w:r w:rsidRPr="00800D1B">
              <w:rPr>
                <w:color w:val="000000"/>
                <w:sz w:val="20"/>
                <w:lang w:val="sv-SE"/>
              </w:rPr>
              <w:t>Regionkategori</w:t>
            </w:r>
          </w:p>
        </w:tc>
        <w:tc>
          <w:tcPr>
            <w:tcW w:w="0" w:type="auto"/>
          </w:tcPr>
          <w:p w14:paraId="2D065EFE" w14:textId="77777777" w:rsidR="00A77B3E" w:rsidRPr="00800D1B" w:rsidRDefault="00623E14" w:rsidP="00B76590">
            <w:pPr>
              <w:spacing w:before="100" w:after="100"/>
              <w:ind w:left="-72"/>
              <w:jc w:val="center"/>
              <w:rPr>
                <w:color w:val="000000"/>
                <w:sz w:val="20"/>
                <w:lang w:val="sv-SE"/>
              </w:rPr>
            </w:pPr>
            <w:r w:rsidRPr="00800D1B">
              <w:rPr>
                <w:color w:val="000000"/>
                <w:sz w:val="20"/>
                <w:lang w:val="sv-SE"/>
              </w:rPr>
              <w:t>Kod</w:t>
            </w:r>
          </w:p>
        </w:tc>
        <w:tc>
          <w:tcPr>
            <w:tcW w:w="0" w:type="auto"/>
          </w:tcPr>
          <w:p w14:paraId="2D065EFF" w14:textId="77777777" w:rsidR="00A77B3E" w:rsidRPr="00800D1B" w:rsidRDefault="00623E14" w:rsidP="00B76590">
            <w:pPr>
              <w:spacing w:before="100" w:after="100"/>
              <w:ind w:left="-72"/>
              <w:jc w:val="center"/>
              <w:rPr>
                <w:color w:val="000000"/>
                <w:sz w:val="20"/>
                <w:lang w:val="sv-SE"/>
              </w:rPr>
            </w:pPr>
            <w:r w:rsidRPr="00800D1B">
              <w:rPr>
                <w:color w:val="000000"/>
                <w:sz w:val="20"/>
                <w:lang w:val="sv-SE"/>
              </w:rPr>
              <w:t>Belopp (euro)</w:t>
            </w:r>
          </w:p>
        </w:tc>
      </w:tr>
      <w:tr w:rsidR="003422DB" w:rsidRPr="00800D1B" w14:paraId="2D065F07" w14:textId="77777777" w:rsidTr="00B76590">
        <w:tc>
          <w:tcPr>
            <w:tcW w:w="0" w:type="auto"/>
          </w:tcPr>
          <w:p w14:paraId="2D065F01" w14:textId="77777777" w:rsidR="00A77B3E" w:rsidRPr="00800D1B" w:rsidRDefault="00623E14" w:rsidP="00B76590">
            <w:pPr>
              <w:spacing w:before="100" w:after="100"/>
              <w:ind w:left="-72"/>
              <w:rPr>
                <w:color w:val="000000"/>
                <w:sz w:val="20"/>
                <w:lang w:val="sv-SE"/>
              </w:rPr>
            </w:pPr>
            <w:r w:rsidRPr="00800D1B">
              <w:rPr>
                <w:color w:val="000000"/>
                <w:sz w:val="20"/>
                <w:lang w:val="sv-SE"/>
              </w:rPr>
              <w:t>3</w:t>
            </w:r>
          </w:p>
        </w:tc>
        <w:tc>
          <w:tcPr>
            <w:tcW w:w="0" w:type="auto"/>
          </w:tcPr>
          <w:p w14:paraId="2D065F02" w14:textId="77777777" w:rsidR="00A77B3E" w:rsidRPr="00800D1B" w:rsidRDefault="00623E14" w:rsidP="00B76590">
            <w:pPr>
              <w:spacing w:before="100" w:after="100"/>
              <w:ind w:left="-72"/>
              <w:rPr>
                <w:color w:val="000000"/>
                <w:sz w:val="20"/>
                <w:lang w:val="sv-SE"/>
              </w:rPr>
            </w:pPr>
            <w:r w:rsidRPr="00800D1B">
              <w:rPr>
                <w:color w:val="000000"/>
                <w:sz w:val="20"/>
                <w:lang w:val="sv-SE"/>
              </w:rPr>
              <w:t>RSO1.4</w:t>
            </w:r>
          </w:p>
        </w:tc>
        <w:tc>
          <w:tcPr>
            <w:tcW w:w="0" w:type="auto"/>
          </w:tcPr>
          <w:p w14:paraId="2D065F03" w14:textId="77777777" w:rsidR="00A77B3E" w:rsidRPr="00800D1B" w:rsidRDefault="00623E14" w:rsidP="00B76590">
            <w:pPr>
              <w:spacing w:before="100" w:after="100"/>
              <w:ind w:left="-72"/>
              <w:rPr>
                <w:color w:val="000000"/>
                <w:sz w:val="20"/>
                <w:lang w:val="sv-SE"/>
              </w:rPr>
            </w:pPr>
            <w:r w:rsidRPr="00800D1B">
              <w:rPr>
                <w:color w:val="000000"/>
                <w:sz w:val="20"/>
                <w:lang w:val="sv-SE"/>
              </w:rPr>
              <w:t>Eruf</w:t>
            </w:r>
          </w:p>
        </w:tc>
        <w:tc>
          <w:tcPr>
            <w:tcW w:w="0" w:type="auto"/>
          </w:tcPr>
          <w:p w14:paraId="2D065F04" w14:textId="77777777" w:rsidR="00A77B3E" w:rsidRPr="00800D1B" w:rsidRDefault="00623E14" w:rsidP="00B76590">
            <w:pPr>
              <w:spacing w:before="100" w:after="100"/>
              <w:ind w:left="-72"/>
              <w:rPr>
                <w:color w:val="000000"/>
                <w:sz w:val="20"/>
                <w:lang w:val="sv-SE"/>
              </w:rPr>
            </w:pPr>
            <w:r w:rsidRPr="00800D1B">
              <w:rPr>
                <w:color w:val="000000"/>
                <w:sz w:val="20"/>
                <w:lang w:val="sv-SE"/>
              </w:rPr>
              <w:t>Mer utvecklade regioner</w:t>
            </w:r>
          </w:p>
        </w:tc>
        <w:tc>
          <w:tcPr>
            <w:tcW w:w="0" w:type="auto"/>
          </w:tcPr>
          <w:p w14:paraId="2D065F05" w14:textId="77777777" w:rsidR="00A77B3E" w:rsidRPr="00800D1B" w:rsidRDefault="00623E14" w:rsidP="00B76590">
            <w:pPr>
              <w:spacing w:before="100" w:after="100"/>
              <w:ind w:left="-72"/>
              <w:rPr>
                <w:color w:val="000000"/>
                <w:sz w:val="20"/>
                <w:lang w:val="sv-SE"/>
              </w:rPr>
            </w:pPr>
            <w:r w:rsidRPr="00800D1B">
              <w:rPr>
                <w:color w:val="000000"/>
                <w:sz w:val="20"/>
                <w:lang w:val="sv-SE"/>
              </w:rPr>
              <w:t>02. Jämställdhetsintegrering</w:t>
            </w:r>
          </w:p>
        </w:tc>
        <w:tc>
          <w:tcPr>
            <w:tcW w:w="0" w:type="auto"/>
          </w:tcPr>
          <w:p w14:paraId="2D065F06" w14:textId="77777777" w:rsidR="00A77B3E" w:rsidRPr="00800D1B" w:rsidRDefault="00623E14" w:rsidP="00B76590">
            <w:pPr>
              <w:spacing w:before="100" w:after="100"/>
              <w:ind w:left="-72"/>
              <w:jc w:val="right"/>
              <w:rPr>
                <w:color w:val="000000"/>
                <w:sz w:val="20"/>
                <w:lang w:val="sv-SE"/>
              </w:rPr>
            </w:pPr>
            <w:r w:rsidRPr="00800D1B">
              <w:rPr>
                <w:color w:val="000000"/>
                <w:sz w:val="20"/>
                <w:lang w:val="sv-SE"/>
              </w:rPr>
              <w:t>5 718 121,00</w:t>
            </w:r>
          </w:p>
        </w:tc>
      </w:tr>
      <w:tr w:rsidR="003422DB" w:rsidRPr="00800D1B" w14:paraId="2D065F0E" w14:textId="77777777" w:rsidTr="00B76590">
        <w:tc>
          <w:tcPr>
            <w:tcW w:w="0" w:type="auto"/>
          </w:tcPr>
          <w:p w14:paraId="2D065F08" w14:textId="77777777" w:rsidR="00A77B3E" w:rsidRPr="00800D1B" w:rsidRDefault="00623E14" w:rsidP="00B76590">
            <w:pPr>
              <w:spacing w:before="100" w:after="100"/>
              <w:ind w:left="-72"/>
              <w:rPr>
                <w:color w:val="000000"/>
                <w:sz w:val="20"/>
                <w:lang w:val="sv-SE"/>
              </w:rPr>
            </w:pPr>
            <w:r w:rsidRPr="00800D1B">
              <w:rPr>
                <w:color w:val="000000"/>
                <w:sz w:val="20"/>
                <w:lang w:val="sv-SE"/>
              </w:rPr>
              <w:t>3</w:t>
            </w:r>
          </w:p>
        </w:tc>
        <w:tc>
          <w:tcPr>
            <w:tcW w:w="0" w:type="auto"/>
          </w:tcPr>
          <w:p w14:paraId="2D065F09" w14:textId="77777777" w:rsidR="00A77B3E" w:rsidRPr="00800D1B" w:rsidRDefault="00623E14" w:rsidP="00B76590">
            <w:pPr>
              <w:spacing w:before="100" w:after="100"/>
              <w:ind w:left="-72"/>
              <w:rPr>
                <w:color w:val="000000"/>
                <w:sz w:val="20"/>
                <w:lang w:val="sv-SE"/>
              </w:rPr>
            </w:pPr>
            <w:r w:rsidRPr="00800D1B">
              <w:rPr>
                <w:color w:val="000000"/>
                <w:sz w:val="20"/>
                <w:lang w:val="sv-SE"/>
              </w:rPr>
              <w:t>RSO1.4</w:t>
            </w:r>
          </w:p>
        </w:tc>
        <w:tc>
          <w:tcPr>
            <w:tcW w:w="0" w:type="auto"/>
          </w:tcPr>
          <w:p w14:paraId="2D065F0A" w14:textId="77777777" w:rsidR="00A77B3E" w:rsidRPr="00800D1B" w:rsidRDefault="00623E14" w:rsidP="00B76590">
            <w:pPr>
              <w:spacing w:before="100" w:after="100"/>
              <w:ind w:left="-72"/>
              <w:rPr>
                <w:color w:val="000000"/>
                <w:sz w:val="20"/>
                <w:lang w:val="sv-SE"/>
              </w:rPr>
            </w:pPr>
            <w:r w:rsidRPr="00800D1B">
              <w:rPr>
                <w:color w:val="000000"/>
                <w:sz w:val="20"/>
                <w:lang w:val="sv-SE"/>
              </w:rPr>
              <w:t>Eruf</w:t>
            </w:r>
          </w:p>
        </w:tc>
        <w:tc>
          <w:tcPr>
            <w:tcW w:w="0" w:type="auto"/>
          </w:tcPr>
          <w:p w14:paraId="2D065F0B" w14:textId="77777777" w:rsidR="00A77B3E" w:rsidRPr="00800D1B" w:rsidRDefault="00623E14" w:rsidP="00B76590">
            <w:pPr>
              <w:spacing w:before="100" w:after="100"/>
              <w:ind w:left="-72"/>
              <w:rPr>
                <w:color w:val="000000"/>
                <w:sz w:val="20"/>
                <w:lang w:val="sv-SE"/>
              </w:rPr>
            </w:pPr>
            <w:r w:rsidRPr="00800D1B">
              <w:rPr>
                <w:color w:val="000000"/>
                <w:sz w:val="20"/>
                <w:lang w:val="sv-SE"/>
              </w:rPr>
              <w:t>Mer utvecklade regioner</w:t>
            </w:r>
          </w:p>
        </w:tc>
        <w:tc>
          <w:tcPr>
            <w:tcW w:w="0" w:type="auto"/>
          </w:tcPr>
          <w:p w14:paraId="2D065F0C" w14:textId="77777777" w:rsidR="00A77B3E" w:rsidRPr="00800D1B" w:rsidRDefault="00623E14" w:rsidP="00B76590">
            <w:pPr>
              <w:spacing w:before="100" w:after="100"/>
              <w:ind w:left="-72"/>
              <w:rPr>
                <w:color w:val="000000"/>
                <w:sz w:val="20"/>
                <w:lang w:val="sv-SE"/>
              </w:rPr>
            </w:pPr>
            <w:r w:rsidRPr="00800D1B">
              <w:rPr>
                <w:color w:val="000000"/>
                <w:sz w:val="20"/>
                <w:lang w:val="sv-SE"/>
              </w:rPr>
              <w:t>03. Könsneutralitet</w:t>
            </w:r>
          </w:p>
        </w:tc>
        <w:tc>
          <w:tcPr>
            <w:tcW w:w="0" w:type="auto"/>
          </w:tcPr>
          <w:p w14:paraId="2D065F0D" w14:textId="77777777" w:rsidR="00A77B3E" w:rsidRPr="00800D1B" w:rsidRDefault="00623E14" w:rsidP="00B76590">
            <w:pPr>
              <w:spacing w:before="100" w:after="100"/>
              <w:ind w:left="-72"/>
              <w:jc w:val="right"/>
              <w:rPr>
                <w:color w:val="000000"/>
                <w:sz w:val="20"/>
                <w:lang w:val="sv-SE"/>
              </w:rPr>
            </w:pPr>
            <w:r w:rsidRPr="00800D1B">
              <w:rPr>
                <w:color w:val="000000"/>
                <w:sz w:val="20"/>
                <w:lang w:val="sv-SE"/>
              </w:rPr>
              <w:t>8 577 183,00</w:t>
            </w:r>
          </w:p>
        </w:tc>
      </w:tr>
      <w:tr w:rsidR="003422DB" w:rsidRPr="00800D1B" w14:paraId="2D065F15" w14:textId="77777777" w:rsidTr="00B76590">
        <w:tc>
          <w:tcPr>
            <w:tcW w:w="0" w:type="auto"/>
          </w:tcPr>
          <w:p w14:paraId="2D065F0F" w14:textId="77777777" w:rsidR="00A77B3E" w:rsidRPr="00800D1B" w:rsidRDefault="00623E14" w:rsidP="00B76590">
            <w:pPr>
              <w:spacing w:before="100" w:after="100"/>
              <w:ind w:left="-72"/>
              <w:rPr>
                <w:color w:val="000000"/>
                <w:sz w:val="20"/>
                <w:lang w:val="sv-SE"/>
              </w:rPr>
            </w:pPr>
            <w:r w:rsidRPr="00800D1B">
              <w:rPr>
                <w:color w:val="000000"/>
                <w:sz w:val="20"/>
                <w:lang w:val="sv-SE"/>
              </w:rPr>
              <w:t>3</w:t>
            </w:r>
          </w:p>
        </w:tc>
        <w:tc>
          <w:tcPr>
            <w:tcW w:w="0" w:type="auto"/>
          </w:tcPr>
          <w:p w14:paraId="2D065F10" w14:textId="77777777" w:rsidR="00A77B3E" w:rsidRPr="00800D1B" w:rsidRDefault="00623E14" w:rsidP="00B76590">
            <w:pPr>
              <w:spacing w:before="100" w:after="100"/>
              <w:ind w:left="-72"/>
              <w:rPr>
                <w:color w:val="000000"/>
                <w:sz w:val="20"/>
                <w:lang w:val="sv-SE"/>
              </w:rPr>
            </w:pPr>
            <w:r w:rsidRPr="00800D1B">
              <w:rPr>
                <w:color w:val="000000"/>
                <w:sz w:val="20"/>
                <w:lang w:val="sv-SE"/>
              </w:rPr>
              <w:t>RSO1.4</w:t>
            </w:r>
          </w:p>
        </w:tc>
        <w:tc>
          <w:tcPr>
            <w:tcW w:w="0" w:type="auto"/>
          </w:tcPr>
          <w:p w14:paraId="2D065F11" w14:textId="77777777" w:rsidR="00A77B3E" w:rsidRPr="00800D1B" w:rsidRDefault="00623E14" w:rsidP="00B76590">
            <w:pPr>
              <w:spacing w:before="100" w:after="100"/>
              <w:ind w:left="-72"/>
              <w:rPr>
                <w:color w:val="000000"/>
                <w:sz w:val="20"/>
                <w:lang w:val="sv-SE"/>
              </w:rPr>
            </w:pPr>
            <w:r w:rsidRPr="00800D1B">
              <w:rPr>
                <w:color w:val="000000"/>
                <w:sz w:val="20"/>
                <w:lang w:val="sv-SE"/>
              </w:rPr>
              <w:t>Totalt</w:t>
            </w:r>
          </w:p>
        </w:tc>
        <w:tc>
          <w:tcPr>
            <w:tcW w:w="0" w:type="auto"/>
          </w:tcPr>
          <w:p w14:paraId="2D065F12" w14:textId="77777777" w:rsidR="00A77B3E" w:rsidRPr="00800D1B" w:rsidRDefault="00A77B3E" w:rsidP="00B76590">
            <w:pPr>
              <w:spacing w:before="100" w:after="100"/>
              <w:ind w:left="-72"/>
              <w:rPr>
                <w:color w:val="000000"/>
                <w:sz w:val="20"/>
                <w:lang w:val="sv-SE"/>
              </w:rPr>
            </w:pPr>
          </w:p>
        </w:tc>
        <w:tc>
          <w:tcPr>
            <w:tcW w:w="0" w:type="auto"/>
          </w:tcPr>
          <w:p w14:paraId="2D065F13" w14:textId="77777777" w:rsidR="00A77B3E" w:rsidRPr="00800D1B" w:rsidRDefault="00A77B3E" w:rsidP="00B76590">
            <w:pPr>
              <w:spacing w:before="100" w:after="100"/>
              <w:ind w:left="-72"/>
              <w:rPr>
                <w:color w:val="000000"/>
                <w:sz w:val="20"/>
                <w:lang w:val="sv-SE"/>
              </w:rPr>
            </w:pPr>
          </w:p>
        </w:tc>
        <w:tc>
          <w:tcPr>
            <w:tcW w:w="0" w:type="auto"/>
          </w:tcPr>
          <w:p w14:paraId="2D065F14" w14:textId="77777777" w:rsidR="00A77B3E" w:rsidRPr="00800D1B" w:rsidRDefault="00623E14" w:rsidP="00B76590">
            <w:pPr>
              <w:spacing w:before="100" w:after="100"/>
              <w:ind w:left="-72"/>
              <w:jc w:val="right"/>
              <w:rPr>
                <w:color w:val="000000"/>
                <w:sz w:val="20"/>
                <w:lang w:val="sv-SE"/>
              </w:rPr>
            </w:pPr>
            <w:r w:rsidRPr="00800D1B">
              <w:rPr>
                <w:color w:val="000000"/>
                <w:sz w:val="20"/>
                <w:lang w:val="sv-SE"/>
              </w:rPr>
              <w:t>14 295 304,00</w:t>
            </w:r>
          </w:p>
        </w:tc>
      </w:tr>
    </w:tbl>
    <w:p w14:paraId="2D065F16" w14:textId="75881A57" w:rsidR="00A77B3E" w:rsidRPr="00800D1B" w:rsidRDefault="00623E14" w:rsidP="00D36B53">
      <w:pPr>
        <w:spacing w:before="40"/>
        <w:rPr>
          <w:color w:val="000000"/>
          <w:sz w:val="20"/>
          <w:lang w:val="sv-SE"/>
        </w:rPr>
      </w:pPr>
      <w:r w:rsidRPr="00800D1B">
        <w:rPr>
          <w:color w:val="000000"/>
          <w:sz w:val="20"/>
          <w:lang w:val="sv-SE"/>
        </w:rPr>
        <w:t>* För ESF+ bidrar i princip 40 % av ESF+-medlen till uppföljning av jämställdheten. 100 % är tillämpligt när medlemsstaten väljer att använda artikel 6 i ESF+</w:t>
      </w:r>
    </w:p>
    <w:p w14:paraId="139782C7" w14:textId="77777777" w:rsidR="004A21EA" w:rsidRPr="00800D1B" w:rsidRDefault="004A21EA">
      <w:pPr>
        <w:spacing w:before="100"/>
        <w:rPr>
          <w:color w:val="000000"/>
          <w:sz w:val="20"/>
          <w:lang w:val="sv-SE"/>
        </w:rPr>
        <w:sectPr w:rsidR="004A21EA" w:rsidRPr="00800D1B" w:rsidSect="0065165D">
          <w:pgSz w:w="16838" w:h="11906" w:orient="landscape" w:code="9"/>
          <w:pgMar w:top="720" w:right="720" w:bottom="864" w:left="936" w:header="288" w:footer="72" w:gutter="0"/>
          <w:cols w:space="720"/>
          <w:noEndnote/>
          <w:docGrid w:linePitch="360"/>
        </w:sectPr>
      </w:pPr>
    </w:p>
    <w:p w14:paraId="2D065F17" w14:textId="6FA84003" w:rsidR="00A77B3E" w:rsidRPr="00800D1B" w:rsidRDefault="00623E14" w:rsidP="004A21EA">
      <w:pPr>
        <w:pStyle w:val="Rubrik4"/>
        <w:numPr>
          <w:ilvl w:val="2"/>
          <w:numId w:val="54"/>
        </w:numPr>
        <w:tabs>
          <w:tab w:val="clear" w:pos="720"/>
          <w:tab w:val="left" w:pos="540"/>
        </w:tabs>
        <w:spacing w:before="160"/>
        <w:ind w:left="360"/>
      </w:pPr>
      <w:bookmarkStart w:id="92" w:name="_Toc256000333"/>
      <w:r w:rsidRPr="00800D1B">
        <w:t>Prioritering: 4. Klimat - Ett grönare och klimatsmartare övre Norrland</w:t>
      </w:r>
      <w:bookmarkEnd w:id="92"/>
      <w:r w:rsidRPr="00800D1B">
        <w:t xml:space="preserve"> </w:t>
      </w:r>
    </w:p>
    <w:p w14:paraId="2D065F19" w14:textId="354A957A" w:rsidR="00A77B3E" w:rsidRPr="00800D1B" w:rsidRDefault="00623E14" w:rsidP="004A21EA">
      <w:pPr>
        <w:pStyle w:val="Rubrik5"/>
        <w:numPr>
          <w:ilvl w:val="3"/>
          <w:numId w:val="52"/>
        </w:numPr>
        <w:spacing w:before="200"/>
        <w:ind w:left="0" w:firstLine="0"/>
      </w:pPr>
      <w:bookmarkStart w:id="93" w:name="_Toc256000334"/>
      <w:r w:rsidRPr="00800D1B">
        <w:t>Specifikt mål: RSO2.2. Främja förnybar energi i enlighet med direktiv (EU) 2018/2001[1] om förnybar energi, inbegripet de hållbarhetskriterier som anges där (Eruf)</w:t>
      </w:r>
      <w:bookmarkEnd w:id="93"/>
    </w:p>
    <w:p w14:paraId="2D065F1B" w14:textId="1E70312E" w:rsidR="00A77B3E" w:rsidRPr="00800D1B" w:rsidRDefault="00623E14" w:rsidP="004A21EA">
      <w:pPr>
        <w:pStyle w:val="Rubrik6"/>
        <w:numPr>
          <w:ilvl w:val="4"/>
          <w:numId w:val="22"/>
        </w:numPr>
        <w:spacing w:before="200"/>
        <w:ind w:left="360"/>
      </w:pPr>
      <w:bookmarkStart w:id="94" w:name="_Toc256000335"/>
      <w:r w:rsidRPr="00800D1B">
        <w:t>Interventioner inom ramen för fonderna</w:t>
      </w:r>
      <w:bookmarkEnd w:id="94"/>
    </w:p>
    <w:p w14:paraId="2D065F1D" w14:textId="77777777" w:rsidR="00A77B3E" w:rsidRPr="00800D1B" w:rsidRDefault="00623E14" w:rsidP="004A21EA">
      <w:pPr>
        <w:spacing w:before="200"/>
        <w:rPr>
          <w:color w:val="000000"/>
          <w:sz w:val="0"/>
          <w:lang w:val="sv-SE"/>
        </w:rPr>
      </w:pPr>
      <w:r w:rsidRPr="00800D1B">
        <w:rPr>
          <w:color w:val="000000"/>
          <w:lang w:val="sv-SE"/>
        </w:rPr>
        <w:t>Referens: artikel 22.3 d i, iii, iv, v, vi och vii i förordningen om gemensamma bestämmelser</w:t>
      </w:r>
    </w:p>
    <w:p w14:paraId="2D065F1E" w14:textId="36A59BBF" w:rsidR="00A77B3E" w:rsidRPr="00800D1B" w:rsidRDefault="00623E14" w:rsidP="00A71A06">
      <w:pPr>
        <w:spacing w:before="100"/>
        <w:rPr>
          <w:lang w:val="sv-SE"/>
        </w:rPr>
      </w:pPr>
      <w:bookmarkStart w:id="95" w:name="_Toc256000336"/>
      <w:r w:rsidRPr="00800D1B">
        <w:rPr>
          <w:lang w:val="sv-SE"/>
        </w:rPr>
        <w:t>Relaterade typer av åtgärder – artikel 22.3 d i i förordningen om gemensamma bestämmelser och artikel 6 i ESF+-förordningen</w:t>
      </w:r>
      <w:bookmarkEnd w:id="95"/>
    </w:p>
    <w:p w14:paraId="0B6E309E" w14:textId="77777777" w:rsidR="00DB590A" w:rsidRPr="00800D1B" w:rsidRDefault="00DB590A" w:rsidP="004A21EA">
      <w:pPr>
        <w:pBdr>
          <w:top w:val="single" w:sz="4" w:space="10" w:color="auto"/>
          <w:left w:val="single" w:sz="4" w:space="4" w:color="auto"/>
          <w:bottom w:val="single" w:sz="4" w:space="5" w:color="auto"/>
          <w:right w:val="single" w:sz="4" w:space="4" w:color="auto"/>
        </w:pBdr>
        <w:spacing w:before="100"/>
        <w:ind w:left="101" w:right="115"/>
        <w:rPr>
          <w:color w:val="000000"/>
          <w:lang w:val="sv-SE"/>
        </w:rPr>
      </w:pPr>
      <w:r w:rsidRPr="00800D1B">
        <w:rPr>
          <w:color w:val="000000"/>
          <w:lang w:val="sv-SE"/>
        </w:rPr>
        <w:t>De globala hållbarhetsmålen förutsätter i hög grad en teknologisk utveckling med fokus på exempelvis fossilfria energislag, effektiv energilagring, resurs- och energieffektivare produktionsprocesser, ökat nyttjande av restprodukter samt en substitution till förnybara material och naturresurser. För att detta ska fungera krävs att det finns effektiva förnybara drivmedel att tillgå.</w:t>
      </w:r>
    </w:p>
    <w:p w14:paraId="1D4BDAB2" w14:textId="77777777" w:rsidR="00DB590A" w:rsidRPr="00800D1B" w:rsidRDefault="00DB590A" w:rsidP="004A21EA">
      <w:pPr>
        <w:pBdr>
          <w:top w:val="single" w:sz="4" w:space="10" w:color="auto"/>
          <w:left w:val="single" w:sz="4" w:space="4" w:color="auto"/>
          <w:bottom w:val="single" w:sz="4" w:space="5" w:color="auto"/>
          <w:right w:val="single" w:sz="4" w:space="4" w:color="auto"/>
        </w:pBdr>
        <w:spacing w:before="100"/>
        <w:ind w:left="101" w:right="115"/>
        <w:rPr>
          <w:color w:val="000000"/>
          <w:lang w:val="sv-SE"/>
        </w:rPr>
      </w:pPr>
      <w:r w:rsidRPr="00800D1B">
        <w:rPr>
          <w:color w:val="000000"/>
          <w:lang w:val="sv-SE"/>
        </w:rPr>
        <w:t xml:space="preserve">Genom att stimulera utveckling av metoder och affärsmodeller för distribution, lagring och produktion av förnybar energi skapas förutsättningar för såväl en ekonomisk utveckling i hela regionen som ett hållbart transportsystem och hållbara samhällen. </w:t>
      </w:r>
    </w:p>
    <w:p w14:paraId="0211991A" w14:textId="77777777" w:rsidR="00DB590A" w:rsidRPr="00800D1B" w:rsidRDefault="00DB590A" w:rsidP="004A21EA">
      <w:pPr>
        <w:pBdr>
          <w:top w:val="single" w:sz="4" w:space="10" w:color="auto"/>
          <w:left w:val="single" w:sz="4" w:space="4" w:color="auto"/>
          <w:bottom w:val="single" w:sz="4" w:space="5" w:color="auto"/>
          <w:right w:val="single" w:sz="4" w:space="4" w:color="auto"/>
        </w:pBdr>
        <w:spacing w:before="100"/>
        <w:ind w:left="101" w:right="115"/>
        <w:rPr>
          <w:color w:val="000000"/>
          <w:lang w:val="sv-SE"/>
        </w:rPr>
      </w:pPr>
      <w:r w:rsidRPr="00800D1B">
        <w:rPr>
          <w:color w:val="000000"/>
          <w:lang w:val="sv-SE"/>
        </w:rPr>
        <w:t>För att styra mot en hållbar ekonomi krävs system, metoder och strukturer som främjar en förändrad teknik- och ekosystemförvaltning, det krävs även en utveckling av och tillgång till förnybara energikällor samt förbättrade kretsloppsflöden. </w:t>
      </w:r>
    </w:p>
    <w:p w14:paraId="782B38BF" w14:textId="77777777" w:rsidR="00DB590A" w:rsidRPr="00800D1B" w:rsidRDefault="00DB590A" w:rsidP="004A21EA">
      <w:pPr>
        <w:pBdr>
          <w:top w:val="single" w:sz="4" w:space="10" w:color="auto"/>
          <w:left w:val="single" w:sz="4" w:space="4" w:color="auto"/>
          <w:bottom w:val="single" w:sz="4" w:space="5" w:color="auto"/>
          <w:right w:val="single" w:sz="4" w:space="4" w:color="auto"/>
        </w:pBdr>
        <w:spacing w:before="100"/>
        <w:ind w:left="101" w:right="115"/>
        <w:rPr>
          <w:color w:val="000000"/>
          <w:lang w:val="sv-SE"/>
        </w:rPr>
      </w:pPr>
      <w:r w:rsidRPr="00800D1B">
        <w:rPr>
          <w:color w:val="000000"/>
          <w:lang w:val="sv-SE"/>
        </w:rPr>
        <w:t>Metoder och innovationer för att på ett effektivare sätt tillvara förnybara sidoströmmar och restenergier från befintlig industri kan bidra till en hållbarare produktion och konsumtion genom att skapa cirkulära flöden och processer. För att det ska ske krävs att hänsyn tas till ekosystem och biologisk mångfald.</w:t>
      </w:r>
    </w:p>
    <w:p w14:paraId="2D2CE5B9" w14:textId="77777777" w:rsidR="00DB590A" w:rsidRPr="00800D1B" w:rsidRDefault="00DB590A" w:rsidP="004A21EA">
      <w:pPr>
        <w:pBdr>
          <w:top w:val="single" w:sz="4" w:space="10" w:color="auto"/>
          <w:left w:val="single" w:sz="4" w:space="4" w:color="auto"/>
          <w:bottom w:val="single" w:sz="4" w:space="5" w:color="auto"/>
          <w:right w:val="single" w:sz="4" w:space="4" w:color="auto"/>
        </w:pBdr>
        <w:spacing w:before="100"/>
        <w:ind w:left="101" w:right="115"/>
        <w:rPr>
          <w:color w:val="000000"/>
          <w:lang w:val="sv-SE"/>
        </w:rPr>
      </w:pPr>
      <w:r w:rsidRPr="00800D1B">
        <w:rPr>
          <w:color w:val="000000"/>
          <w:lang w:val="sv-SE"/>
        </w:rPr>
        <w:t>För att skapa effektiva tillståndsprocesser för uppbyggandet av produktionsanläggningar behöver kunskap utvecklas och säkerställas hos aktörerna. Detta kan ske genom skapande av nätverk och kompetenskluster kring olika förnybara energiformer.</w:t>
      </w:r>
    </w:p>
    <w:p w14:paraId="2E75B36A" w14:textId="77777777" w:rsidR="00DB590A" w:rsidRPr="00800D1B" w:rsidRDefault="00DB590A" w:rsidP="004A21EA">
      <w:pPr>
        <w:pBdr>
          <w:top w:val="single" w:sz="4" w:space="10" w:color="auto"/>
          <w:left w:val="single" w:sz="4" w:space="4" w:color="auto"/>
          <w:bottom w:val="single" w:sz="4" w:space="5" w:color="auto"/>
          <w:right w:val="single" w:sz="4" w:space="4" w:color="auto"/>
        </w:pBdr>
        <w:spacing w:before="100"/>
        <w:ind w:left="101" w:right="115"/>
        <w:rPr>
          <w:color w:val="000000"/>
          <w:lang w:val="sv-SE"/>
        </w:rPr>
      </w:pPr>
      <w:r w:rsidRPr="00800D1B">
        <w:rPr>
          <w:color w:val="000000"/>
          <w:lang w:val="sv-SE"/>
        </w:rPr>
        <w:t>Nätverk och kompetenskluster med syfte att etablera konsortier som kan investera i fysiska anläggningar för produktion av förnybar energi kan också vara relevanta.</w:t>
      </w:r>
    </w:p>
    <w:p w14:paraId="7470AEBD" w14:textId="77777777" w:rsidR="00DB590A" w:rsidRPr="00800D1B" w:rsidRDefault="00DB590A" w:rsidP="004A21EA">
      <w:pPr>
        <w:pBdr>
          <w:top w:val="single" w:sz="4" w:space="10" w:color="auto"/>
          <w:left w:val="single" w:sz="4" w:space="4" w:color="auto"/>
          <w:bottom w:val="single" w:sz="4" w:space="5" w:color="auto"/>
          <w:right w:val="single" w:sz="4" w:space="4" w:color="auto"/>
        </w:pBdr>
        <w:spacing w:before="100"/>
        <w:ind w:left="101" w:right="115"/>
        <w:rPr>
          <w:color w:val="000000"/>
          <w:lang w:val="sv-SE"/>
        </w:rPr>
      </w:pPr>
      <w:r w:rsidRPr="00800D1B">
        <w:rPr>
          <w:color w:val="000000"/>
          <w:lang w:val="sv-SE"/>
        </w:rPr>
        <w:t>I ÖN finns goda möjligheter att producera biobaserade, förnybara drivmedel av sidoströmmar från regionens basindustrier, bland annat av restmaterial från skogsindustrins verksamhet. En utvecklad regional produktion av förnybara drivmedel kan både bidra till att minska utsläppen av växthusgaser och öka vidareförädlingsgraden i regionen samt minska behovet av importerad fossil energi. För att säkerställa att produktionen är hållbar över tid och att den på systemnivå inte riskerar den biologiska mångfalden behövs analyser och kartläggningar över tillgången till råvara. Det finns också ett behov av att utveckla lokala och regionala, konkurrenskraftiga produktionsmetoder och produktionsanläggningar.</w:t>
      </w:r>
    </w:p>
    <w:p w14:paraId="21EC8292" w14:textId="77777777" w:rsidR="00DB590A" w:rsidRPr="00800D1B" w:rsidRDefault="00DB590A" w:rsidP="004A21EA">
      <w:pPr>
        <w:pBdr>
          <w:top w:val="single" w:sz="4" w:space="10" w:color="auto"/>
          <w:left w:val="single" w:sz="4" w:space="4" w:color="auto"/>
          <w:bottom w:val="single" w:sz="4" w:space="5" w:color="auto"/>
          <w:right w:val="single" w:sz="4" w:space="4" w:color="auto"/>
        </w:pBdr>
        <w:spacing w:before="100"/>
        <w:ind w:left="101" w:right="115"/>
        <w:rPr>
          <w:color w:val="000000"/>
          <w:lang w:val="sv-SE"/>
        </w:rPr>
      </w:pPr>
      <w:r w:rsidRPr="00800D1B">
        <w:rPr>
          <w:color w:val="000000"/>
          <w:lang w:val="sv-SE"/>
        </w:rPr>
        <w:t>Lösningar som bidrar till att energi kan tas till vara i cirkulära flöden eller processer bör prioriteras.</w:t>
      </w:r>
    </w:p>
    <w:p w14:paraId="0959E2E6" w14:textId="77777777" w:rsidR="00DB590A" w:rsidRPr="00800D1B" w:rsidRDefault="00DB590A" w:rsidP="004A21EA">
      <w:pPr>
        <w:pBdr>
          <w:top w:val="single" w:sz="4" w:space="10" w:color="auto"/>
          <w:left w:val="single" w:sz="4" w:space="4" w:color="auto"/>
          <w:bottom w:val="single" w:sz="4" w:space="5" w:color="auto"/>
          <w:right w:val="single" w:sz="4" w:space="4" w:color="auto"/>
        </w:pBdr>
        <w:spacing w:before="100"/>
        <w:ind w:left="101" w:right="115"/>
        <w:rPr>
          <w:color w:val="000000"/>
          <w:lang w:val="sv-SE"/>
        </w:rPr>
      </w:pPr>
      <w:r w:rsidRPr="00800D1B">
        <w:rPr>
          <w:color w:val="000000"/>
          <w:lang w:val="sv-SE"/>
        </w:rPr>
        <w:t>I insatserna kommer bidrag att användas eftersom det avser områden där inte tillräckliga incitament finns för att använda andra finansieringsformer. Det specifika målet fokuserar på att ge icke-finansiellt stöd till små och medelstora företag och kommer inte att generera direkta inkomster eller leda till kostnadsbesparingar för små och medelstora företag.</w:t>
      </w:r>
    </w:p>
    <w:p w14:paraId="58624C72" w14:textId="77777777" w:rsidR="00DB590A" w:rsidRPr="00800D1B" w:rsidRDefault="00DB590A" w:rsidP="004A21EA">
      <w:pPr>
        <w:pBdr>
          <w:top w:val="single" w:sz="4" w:space="10" w:color="auto"/>
          <w:left w:val="single" w:sz="4" w:space="4" w:color="auto"/>
          <w:bottom w:val="single" w:sz="4" w:space="5" w:color="auto"/>
          <w:right w:val="single" w:sz="4" w:space="4" w:color="auto"/>
        </w:pBdr>
        <w:spacing w:before="100"/>
        <w:ind w:left="101" w:right="115"/>
        <w:rPr>
          <w:color w:val="000000"/>
          <w:lang w:val="sv-SE"/>
        </w:rPr>
      </w:pPr>
      <w:r w:rsidRPr="00800D1B">
        <w:rPr>
          <w:color w:val="000000"/>
          <w:lang w:val="sv-SE"/>
        </w:rPr>
        <w:t xml:space="preserve">Exempel på konkreta åtgärder: </w:t>
      </w:r>
    </w:p>
    <w:p w14:paraId="4E1BA8C6" w14:textId="77777777" w:rsidR="00DB590A" w:rsidRPr="00800D1B" w:rsidRDefault="00DB590A">
      <w:pPr>
        <w:pStyle w:val="Liststycke"/>
        <w:numPr>
          <w:ilvl w:val="0"/>
          <w:numId w:val="23"/>
        </w:numPr>
        <w:pBdr>
          <w:top w:val="single" w:sz="4" w:space="1" w:color="auto"/>
          <w:left w:val="single" w:sz="4" w:space="4" w:color="auto"/>
          <w:right w:val="single" w:sz="4" w:space="4" w:color="auto"/>
        </w:pBdr>
        <w:spacing w:before="480"/>
        <w:ind w:left="259" w:right="115" w:hanging="158"/>
        <w:contextualSpacing w:val="0"/>
        <w:rPr>
          <w:color w:val="000000"/>
          <w:lang w:val="sv-SE"/>
        </w:rPr>
      </w:pPr>
      <w:r w:rsidRPr="00800D1B">
        <w:rPr>
          <w:color w:val="000000"/>
          <w:lang w:val="sv-SE"/>
        </w:rPr>
        <w:t>Förstudier</w:t>
      </w:r>
    </w:p>
    <w:p w14:paraId="16269B55" w14:textId="77777777" w:rsidR="00DB590A" w:rsidRPr="00800D1B" w:rsidRDefault="00DB590A">
      <w:pPr>
        <w:pStyle w:val="Liststycke"/>
        <w:numPr>
          <w:ilvl w:val="0"/>
          <w:numId w:val="23"/>
        </w:numPr>
        <w:pBdr>
          <w:top w:val="single" w:sz="4" w:space="1" w:color="auto"/>
          <w:left w:val="single" w:sz="4" w:space="4" w:color="auto"/>
          <w:right w:val="single" w:sz="4" w:space="4" w:color="auto"/>
        </w:pBdr>
        <w:spacing w:before="100"/>
        <w:ind w:left="259" w:right="115" w:hanging="158"/>
        <w:contextualSpacing w:val="0"/>
        <w:rPr>
          <w:color w:val="000000"/>
          <w:lang w:val="sv-SE"/>
        </w:rPr>
      </w:pPr>
      <w:r w:rsidRPr="00800D1B">
        <w:rPr>
          <w:color w:val="000000"/>
          <w:lang w:val="sv-SE"/>
        </w:rPr>
        <w:t>Stimulera utvecklingen av affärsmodeller, system och metoder som främjar produktionen av förnybara drivmedel </w:t>
      </w:r>
    </w:p>
    <w:p w14:paraId="6221D8D4" w14:textId="77777777" w:rsidR="00DB590A" w:rsidRPr="00800D1B" w:rsidRDefault="00DB590A">
      <w:pPr>
        <w:pStyle w:val="Liststycke"/>
        <w:numPr>
          <w:ilvl w:val="0"/>
          <w:numId w:val="23"/>
        </w:numPr>
        <w:pBdr>
          <w:top w:val="single" w:sz="4" w:space="1" w:color="auto"/>
          <w:left w:val="single" w:sz="4" w:space="4" w:color="auto"/>
          <w:right w:val="single" w:sz="4" w:space="4" w:color="auto"/>
        </w:pBdr>
        <w:spacing w:before="100"/>
        <w:ind w:left="259" w:right="115" w:hanging="158"/>
        <w:contextualSpacing w:val="0"/>
        <w:rPr>
          <w:color w:val="000000"/>
          <w:lang w:val="sv-SE"/>
        </w:rPr>
      </w:pPr>
      <w:r w:rsidRPr="00800D1B">
        <w:rPr>
          <w:color w:val="000000"/>
          <w:lang w:val="sv-SE"/>
        </w:rPr>
        <w:t>Utveckla metoder för att producera förnybara drivmedel av sidoströmmar och restenergier </w:t>
      </w:r>
    </w:p>
    <w:p w14:paraId="47882BC2" w14:textId="77777777" w:rsidR="00DB590A" w:rsidRPr="00800D1B" w:rsidRDefault="00DB590A">
      <w:pPr>
        <w:pStyle w:val="Liststycke"/>
        <w:numPr>
          <w:ilvl w:val="0"/>
          <w:numId w:val="23"/>
        </w:numPr>
        <w:pBdr>
          <w:top w:val="single" w:sz="4" w:space="1" w:color="auto"/>
          <w:left w:val="single" w:sz="4" w:space="4" w:color="auto"/>
          <w:right w:val="single" w:sz="4" w:space="4" w:color="auto"/>
        </w:pBdr>
        <w:spacing w:before="100"/>
        <w:ind w:left="259" w:right="115" w:hanging="158"/>
        <w:contextualSpacing w:val="0"/>
        <w:rPr>
          <w:color w:val="000000"/>
          <w:lang w:val="sv-SE"/>
        </w:rPr>
      </w:pPr>
      <w:r w:rsidRPr="00800D1B">
        <w:rPr>
          <w:color w:val="000000"/>
          <w:lang w:val="sv-SE"/>
        </w:rPr>
        <w:t>Uppmuntra nya affärs- och organisationsmodeller för att öka mängden förnybara drivmedel på marknaden </w:t>
      </w:r>
    </w:p>
    <w:p w14:paraId="4E039D26" w14:textId="77777777" w:rsidR="00DB590A" w:rsidRPr="00800D1B" w:rsidRDefault="00DB590A">
      <w:pPr>
        <w:pStyle w:val="Liststycke"/>
        <w:numPr>
          <w:ilvl w:val="0"/>
          <w:numId w:val="23"/>
        </w:numPr>
        <w:pBdr>
          <w:top w:val="single" w:sz="4" w:space="1" w:color="auto"/>
          <w:left w:val="single" w:sz="4" w:space="4" w:color="auto"/>
          <w:right w:val="single" w:sz="4" w:space="4" w:color="auto"/>
        </w:pBdr>
        <w:spacing w:before="100"/>
        <w:ind w:left="259" w:right="115" w:hanging="158"/>
        <w:contextualSpacing w:val="0"/>
        <w:rPr>
          <w:color w:val="000000"/>
          <w:lang w:val="sv-SE"/>
        </w:rPr>
      </w:pPr>
      <w:r w:rsidRPr="00800D1B">
        <w:rPr>
          <w:color w:val="000000"/>
          <w:lang w:val="sv-SE"/>
        </w:rPr>
        <w:t>Genomföra kartläggningar av hållbar och tillgänglig energiråvara </w:t>
      </w:r>
    </w:p>
    <w:p w14:paraId="7BB09551" w14:textId="77777777" w:rsidR="00DB590A" w:rsidRPr="00800D1B" w:rsidRDefault="00DB590A">
      <w:pPr>
        <w:pStyle w:val="Liststycke"/>
        <w:numPr>
          <w:ilvl w:val="0"/>
          <w:numId w:val="23"/>
        </w:numPr>
        <w:pBdr>
          <w:top w:val="single" w:sz="4" w:space="1" w:color="auto"/>
          <w:left w:val="single" w:sz="4" w:space="4" w:color="auto"/>
          <w:right w:val="single" w:sz="4" w:space="4" w:color="auto"/>
        </w:pBdr>
        <w:spacing w:before="100"/>
        <w:ind w:left="259" w:right="115" w:hanging="158"/>
        <w:contextualSpacing w:val="0"/>
        <w:rPr>
          <w:color w:val="000000"/>
          <w:lang w:val="sv-SE"/>
        </w:rPr>
      </w:pPr>
      <w:r w:rsidRPr="00800D1B">
        <w:rPr>
          <w:color w:val="000000"/>
          <w:lang w:val="sv-SE"/>
        </w:rPr>
        <w:t>Främja investeringar i lokala och regionala lösningar för produktion av förnybara drivmedel </w:t>
      </w:r>
    </w:p>
    <w:p w14:paraId="405D2E73" w14:textId="77777777" w:rsidR="00DB590A" w:rsidRPr="00800D1B" w:rsidRDefault="00DB590A">
      <w:pPr>
        <w:pStyle w:val="Liststycke"/>
        <w:numPr>
          <w:ilvl w:val="0"/>
          <w:numId w:val="23"/>
        </w:numPr>
        <w:pBdr>
          <w:top w:val="single" w:sz="4" w:space="1" w:color="auto"/>
          <w:left w:val="single" w:sz="4" w:space="4" w:color="auto"/>
          <w:right w:val="single" w:sz="4" w:space="4" w:color="auto"/>
        </w:pBdr>
        <w:spacing w:before="100"/>
        <w:ind w:left="259" w:right="115" w:hanging="158"/>
        <w:contextualSpacing w:val="0"/>
        <w:rPr>
          <w:color w:val="000000"/>
          <w:lang w:val="sv-SE"/>
        </w:rPr>
      </w:pPr>
      <w:r w:rsidRPr="00800D1B">
        <w:rPr>
          <w:color w:val="000000"/>
          <w:lang w:val="sv-SE"/>
        </w:rPr>
        <w:t>Stimulera lösningar som bidrar till att energi på ett effektivt sätt kan tas till vara i cirkulära flöden eller processer. </w:t>
      </w:r>
    </w:p>
    <w:p w14:paraId="51CBCC84" w14:textId="77777777" w:rsidR="00DB590A" w:rsidRPr="00800D1B" w:rsidRDefault="00DB590A">
      <w:pPr>
        <w:pStyle w:val="Liststycke"/>
        <w:numPr>
          <w:ilvl w:val="0"/>
          <w:numId w:val="23"/>
        </w:numPr>
        <w:pBdr>
          <w:top w:val="single" w:sz="4" w:space="1" w:color="auto"/>
          <w:left w:val="single" w:sz="4" w:space="4" w:color="auto"/>
          <w:right w:val="single" w:sz="4" w:space="4" w:color="auto"/>
        </w:pBdr>
        <w:spacing w:before="100"/>
        <w:ind w:left="259" w:right="115" w:hanging="158"/>
        <w:contextualSpacing w:val="0"/>
        <w:rPr>
          <w:color w:val="000000"/>
          <w:lang w:val="sv-SE"/>
        </w:rPr>
      </w:pPr>
      <w:r w:rsidRPr="00800D1B">
        <w:rPr>
          <w:color w:val="000000"/>
          <w:lang w:val="sv-SE"/>
        </w:rPr>
        <w:t>Insatser för beteendeförändring med fokus på klimatsmarta transporter </w:t>
      </w:r>
    </w:p>
    <w:p w14:paraId="1271BC85" w14:textId="77777777" w:rsidR="00DB590A" w:rsidRPr="00800D1B" w:rsidRDefault="00DB590A" w:rsidP="00DB590A">
      <w:pPr>
        <w:pBdr>
          <w:left w:val="single" w:sz="4" w:space="4" w:color="auto"/>
          <w:bottom w:val="single" w:sz="4" w:space="22" w:color="auto"/>
          <w:right w:val="single" w:sz="4" w:space="4" w:color="auto"/>
        </w:pBdr>
        <w:spacing w:before="100"/>
        <w:ind w:left="101" w:right="115"/>
        <w:rPr>
          <w:color w:val="000000"/>
          <w:lang w:val="sv-SE"/>
        </w:rPr>
      </w:pPr>
      <w:r w:rsidRPr="00800D1B">
        <w:rPr>
          <w:color w:val="000000"/>
          <w:lang w:val="sv-SE"/>
        </w:rPr>
        <w:t>F</w:t>
      </w:r>
      <w:r w:rsidRPr="00800D1B">
        <w:rPr>
          <w:color w:val="000000"/>
          <w:u w:val="single"/>
          <w:lang w:val="sv-SE"/>
        </w:rPr>
        <w:t>örenlighet med principen om att inte orsaka betydande skada (art. 9.4 i förordningen om gemensamma bestämmelser)</w:t>
      </w:r>
    </w:p>
    <w:p w14:paraId="305A089E" w14:textId="77777777" w:rsidR="00DB590A" w:rsidRPr="00800D1B" w:rsidRDefault="00DB590A" w:rsidP="00DB590A">
      <w:pPr>
        <w:pBdr>
          <w:left w:val="single" w:sz="4" w:space="4" w:color="auto"/>
          <w:bottom w:val="single" w:sz="4" w:space="22" w:color="auto"/>
          <w:right w:val="single" w:sz="4" w:space="4" w:color="auto"/>
        </w:pBdr>
        <w:spacing w:before="100" w:after="300"/>
        <w:ind w:left="101" w:right="115"/>
        <w:rPr>
          <w:color w:val="000000"/>
          <w:lang w:val="sv-SE"/>
        </w:rPr>
      </w:pPr>
      <w:r w:rsidRPr="00800D1B">
        <w:rPr>
          <w:color w:val="000000"/>
          <w:lang w:val="sv-SE"/>
        </w:rPr>
        <w:t>Insatserna har bedömts vara förenliga med principen om att inte orsaka betydande skada eftersom de har bedömts i enlighet med kommissionens tekniska vägledning om tillämpningen av principen om att inte orsaka betydande skada inom ramen för förordningen om faciliteten för återhämtning och resiliens.</w:t>
      </w:r>
    </w:p>
    <w:p w14:paraId="2D065F38" w14:textId="2C62165D" w:rsidR="00A77B3E" w:rsidRPr="00800D1B" w:rsidRDefault="00623E14" w:rsidP="00A71A06">
      <w:pPr>
        <w:spacing w:before="400"/>
        <w:rPr>
          <w:lang w:val="sv-SE"/>
        </w:rPr>
      </w:pPr>
      <w:bookmarkStart w:id="96" w:name="_Toc256000337"/>
      <w:r w:rsidRPr="00800D1B">
        <w:rPr>
          <w:lang w:val="sv-SE"/>
        </w:rPr>
        <w:t>Huvudsakliga målgrupper – artikel 22.3 d iii i förordningen om gemensamma bestämmelser</w:t>
      </w:r>
      <w:bookmarkEnd w:id="96"/>
    </w:p>
    <w:p w14:paraId="3F19509C" w14:textId="77777777" w:rsidR="00DB590A" w:rsidRPr="00800D1B" w:rsidRDefault="00DB590A" w:rsidP="00DB590A">
      <w:pPr>
        <w:pBdr>
          <w:top w:val="single" w:sz="4" w:space="8" w:color="auto"/>
          <w:left w:val="single" w:sz="4" w:space="4" w:color="auto"/>
          <w:bottom w:val="single" w:sz="4" w:space="20" w:color="auto"/>
          <w:right w:val="single" w:sz="4" w:space="4" w:color="auto"/>
        </w:pBdr>
        <w:spacing w:before="100" w:after="300"/>
        <w:ind w:left="101" w:right="115"/>
        <w:rPr>
          <w:color w:val="000000"/>
          <w:lang w:val="sv-SE"/>
        </w:rPr>
      </w:pPr>
      <w:r w:rsidRPr="00800D1B">
        <w:rPr>
          <w:color w:val="000000"/>
          <w:lang w:val="sv-SE"/>
        </w:rPr>
        <w:t>De huvudsakliga målgrupperna är offentliga aktörer, universitet och högskolor, forskningsinstitut och övriga forsknings- och utbildningsaktörer, små och medelstora företag, ekonomiska föreningar och civilsamhället. Särskilt fokus bör läggas på att säkerställa att insatserna bidrar till att inkludera underrepresenterade grupper samt att nå en bredd av organisationer och företag. Vid utformandet av insatser är det viktigt att använda ett jämställdhets- och mångfaldsperspektiv. </w:t>
      </w:r>
    </w:p>
    <w:p w14:paraId="2D065F3F" w14:textId="69622499" w:rsidR="00A77B3E" w:rsidRPr="00800D1B" w:rsidRDefault="00623E14" w:rsidP="00A71A06">
      <w:pPr>
        <w:spacing w:before="400"/>
        <w:rPr>
          <w:lang w:val="sv-SE"/>
        </w:rPr>
      </w:pPr>
      <w:bookmarkStart w:id="97" w:name="_Toc256000338"/>
      <w:r w:rsidRPr="00800D1B">
        <w:rPr>
          <w:lang w:val="sv-SE"/>
        </w:rPr>
        <w:t>Åtgärder för säkerställande av jämställdhet, inkludering och icke-diskriminering – artikel 22.3 d iv i förordningen om gemensamma bestämmelser och artikel 6 i ESF+-förordningen</w:t>
      </w:r>
      <w:bookmarkEnd w:id="97"/>
    </w:p>
    <w:p w14:paraId="12414746" w14:textId="77777777" w:rsidR="0041420E" w:rsidRPr="00800D1B" w:rsidRDefault="0041420E" w:rsidP="00D36B53">
      <w:pPr>
        <w:pBdr>
          <w:top w:val="single" w:sz="4" w:space="10" w:color="auto"/>
          <w:left w:val="single" w:sz="4" w:space="4" w:color="auto"/>
          <w:bottom w:val="single" w:sz="4" w:space="13" w:color="auto"/>
          <w:right w:val="single" w:sz="4" w:space="4" w:color="auto"/>
        </w:pBdr>
        <w:spacing w:before="100"/>
        <w:ind w:left="101" w:right="115"/>
        <w:rPr>
          <w:color w:val="000000"/>
          <w:lang w:val="sv-SE"/>
        </w:rPr>
      </w:pPr>
      <w:r w:rsidRPr="00800D1B">
        <w:rPr>
          <w:color w:val="000000"/>
          <w:lang w:val="sv-SE"/>
        </w:rPr>
        <w:t>Jämställdhet, icke- diskriminering och tillgänglighet ska genomsyra insatserna i programmet, det vill säga, jämställdhetsintegrering är ett krav. Ingen får diskrimineras på grund av kön, könsöverskridande identitet eller uttryck, etnisk tillhörighet, religion eller annan trosuppfattning, funktionsnedsättning, sexuell läggning eller ålder. Projekten ska innehålla särskilda insatser för jämställdhet även om huvudsyftet är ett annat. Det ska tydligt beskrivas förväntade resultat kopplat till jämställdhet. Vid ansökningsförfarandet genomförs en jämställdhetsanalys som synkroniseras med övriga hållbarhetsaspekter att ta hänsyn till. Analysen ska visa hur framtagandet av insatser påverkar jämställdheten och det ska finnas minst ett mål som adresserar detsamma. Detta betyder att samtliga insatser i detta särskilda mål minst möter kraven för kod 02 i tabell 8.</w:t>
      </w:r>
    </w:p>
    <w:p w14:paraId="6D57FE27" w14:textId="77777777" w:rsidR="0041420E" w:rsidRPr="00800D1B" w:rsidRDefault="0041420E" w:rsidP="000D6EE3">
      <w:pPr>
        <w:pBdr>
          <w:top w:val="single" w:sz="4" w:space="10" w:color="auto"/>
          <w:left w:val="single" w:sz="4" w:space="4" w:color="auto"/>
          <w:bottom w:val="single" w:sz="4" w:space="20" w:color="auto"/>
          <w:right w:val="single" w:sz="4" w:space="4" w:color="auto"/>
        </w:pBdr>
        <w:spacing w:before="100"/>
        <w:rPr>
          <w:color w:val="000000"/>
          <w:lang w:val="sv-SE"/>
        </w:rPr>
      </w:pPr>
      <w:r w:rsidRPr="00800D1B">
        <w:rPr>
          <w:color w:val="000000"/>
          <w:lang w:val="sv-SE"/>
        </w:rPr>
        <w:t>Förutom att alla insatser inom detta särskilda mål ska möta kod 02 ser vi även att flera projekt ska innehålla särskilda insatser för jämställdhet. Särskilda insatser innebär att projektets huvudsakliga mål är att förbättra jämställdhet mellan kvinnor och män. Analysen ska därmed visa hur utmaningar och problem inom jämställdhetsområdet ligger till grund varför projektet behövs och målen tar tydligt fasta på en förflyttning mot ökad jämställdhet. Projekten bidrar därmed direkt till det globala målet 5.</w:t>
      </w:r>
    </w:p>
    <w:p w14:paraId="63BE0112" w14:textId="245CDCBB" w:rsidR="0041420E" w:rsidRPr="00800D1B" w:rsidRDefault="0041420E" w:rsidP="0041420E">
      <w:pPr>
        <w:pBdr>
          <w:top w:val="single" w:sz="4" w:space="10" w:color="auto"/>
          <w:left w:val="single" w:sz="4" w:space="4" w:color="auto"/>
          <w:bottom w:val="single" w:sz="4" w:space="20" w:color="auto"/>
          <w:right w:val="single" w:sz="4" w:space="4" w:color="auto"/>
        </w:pBdr>
        <w:spacing w:before="100" w:after="300"/>
        <w:rPr>
          <w:color w:val="000000"/>
          <w:lang w:val="sv-SE"/>
        </w:rPr>
      </w:pPr>
      <w:r w:rsidRPr="00800D1B">
        <w:rPr>
          <w:color w:val="000000"/>
          <w:lang w:val="sv-SE"/>
        </w:rPr>
        <w:t>Samtliga projekt ska vid rapportering påvisa hur resultatet bidragit till att framsteg gjorts gentemot en ökad jämställdhet.</w:t>
      </w:r>
    </w:p>
    <w:p w14:paraId="11FF684F" w14:textId="77777777" w:rsidR="009E4177" w:rsidRPr="00800D1B" w:rsidRDefault="009E4177" w:rsidP="00D36B53">
      <w:pPr>
        <w:spacing w:before="400"/>
        <w:rPr>
          <w:lang w:val="sv-SE"/>
        </w:rPr>
      </w:pPr>
      <w:bookmarkStart w:id="98" w:name="_Toc256000339"/>
      <w:r w:rsidRPr="00800D1B">
        <w:rPr>
          <w:lang w:val="sv-SE"/>
        </w:rPr>
        <w:t>Angivande av de specifika målterritorierna, inbegripet planerad användning av territoriella verktyg – artikel 22.3 d v i förordningen om gemensamma bestämmelser</w:t>
      </w:r>
      <w:bookmarkEnd w:id="98"/>
    </w:p>
    <w:p w14:paraId="0E5152C7" w14:textId="77777777" w:rsidR="009E4177" w:rsidRPr="00800D1B" w:rsidRDefault="009E4177" w:rsidP="001C4055">
      <w:pPr>
        <w:pBdr>
          <w:top w:val="single" w:sz="4" w:space="10" w:color="auto"/>
          <w:left w:val="single" w:sz="4" w:space="4" w:color="auto"/>
          <w:bottom w:val="single" w:sz="4" w:space="20" w:color="auto"/>
          <w:right w:val="single" w:sz="4" w:space="4" w:color="auto"/>
        </w:pBdr>
        <w:spacing w:before="100"/>
        <w:ind w:left="86"/>
        <w:rPr>
          <w:lang w:val="sv-SE"/>
        </w:rPr>
      </w:pPr>
      <w:r w:rsidRPr="00800D1B">
        <w:rPr>
          <w:lang w:val="sv-SE"/>
        </w:rPr>
        <w:t>Nej</w:t>
      </w:r>
    </w:p>
    <w:p w14:paraId="2D065F4F" w14:textId="05918461" w:rsidR="00A77B3E" w:rsidRPr="00800D1B" w:rsidRDefault="00623E14" w:rsidP="00D36B53">
      <w:pPr>
        <w:spacing w:before="400"/>
        <w:rPr>
          <w:lang w:val="sv-SE"/>
        </w:rPr>
      </w:pPr>
      <w:bookmarkStart w:id="99" w:name="_Toc256000340"/>
      <w:r w:rsidRPr="00800D1B">
        <w:rPr>
          <w:lang w:val="sv-SE"/>
        </w:rPr>
        <w:t>Interregionala, gränsregionala och transnationella åtgärder – artikel 22.3 d vi i förordningen om gemensamma bestämmelser</w:t>
      </w:r>
      <w:bookmarkEnd w:id="99"/>
    </w:p>
    <w:p w14:paraId="2D065F50" w14:textId="77777777" w:rsidR="00A77B3E" w:rsidRPr="00800D1B" w:rsidRDefault="00A77B3E">
      <w:pPr>
        <w:spacing w:before="100"/>
        <w:rPr>
          <w:color w:val="000000"/>
          <w:sz w:val="0"/>
          <w:lang w:val="sv-SE"/>
        </w:rPr>
      </w:pPr>
    </w:p>
    <w:p w14:paraId="00AEBC49" w14:textId="77777777" w:rsidR="005678C4" w:rsidRPr="00800D1B" w:rsidRDefault="005678C4" w:rsidP="00D36B53">
      <w:pPr>
        <w:pBdr>
          <w:top w:val="single" w:sz="4" w:space="5" w:color="auto"/>
          <w:left w:val="single" w:sz="4" w:space="4" w:color="auto"/>
          <w:bottom w:val="single" w:sz="4" w:space="20" w:color="auto"/>
          <w:right w:val="single" w:sz="4" w:space="4" w:color="auto"/>
        </w:pBdr>
        <w:spacing w:before="100"/>
        <w:rPr>
          <w:color w:val="000000"/>
          <w:lang w:val="sv-SE"/>
        </w:rPr>
      </w:pPr>
      <w:r w:rsidRPr="00800D1B">
        <w:rPr>
          <w:color w:val="000000"/>
          <w:lang w:val="sv-SE"/>
        </w:rPr>
        <w:t xml:space="preserve">En intervention får helt eller delvis genomföras i annat land, även utanför EU, under förutsättning att insatsen bidrar till det specifika målet. Samarbete med aktörer i ett eller flera andra länder kan vara integrerat i ett projekt för att stärka arbetet mot projektmålet. För att stärka arbetet mot projektmålet kan samarbete med aktörer i ett eller flera andra länder också läggas till ett redan pågående projekt i form av ett påbyggnadsprojekt. </w:t>
      </w:r>
    </w:p>
    <w:p w14:paraId="4A79FB4F" w14:textId="77777777" w:rsidR="005678C4" w:rsidRPr="00800D1B" w:rsidRDefault="005678C4" w:rsidP="00D36B53">
      <w:pPr>
        <w:pBdr>
          <w:top w:val="single" w:sz="4" w:space="5" w:color="auto"/>
          <w:left w:val="single" w:sz="4" w:space="4" w:color="auto"/>
          <w:bottom w:val="single" w:sz="4" w:space="20" w:color="auto"/>
          <w:right w:val="single" w:sz="4" w:space="4" w:color="auto"/>
        </w:pBdr>
        <w:spacing w:before="100"/>
        <w:rPr>
          <w:color w:val="000000"/>
          <w:lang w:val="sv-SE"/>
        </w:rPr>
      </w:pPr>
      <w:r w:rsidRPr="00800D1B">
        <w:rPr>
          <w:color w:val="000000"/>
          <w:lang w:val="sv-SE"/>
        </w:rPr>
        <w:t xml:space="preserve">Åtgärder som särskilt kan komma i fråga är utbyte av kunskap och goda exempel samt samverkan mellan strategiskt viktiga aktörer, nätverk och plattformar. </w:t>
      </w:r>
    </w:p>
    <w:p w14:paraId="44AAE7C8" w14:textId="77777777" w:rsidR="005678C4" w:rsidRPr="00800D1B" w:rsidRDefault="005678C4" w:rsidP="00D36B53">
      <w:pPr>
        <w:pBdr>
          <w:top w:val="single" w:sz="4" w:space="5" w:color="auto"/>
          <w:left w:val="single" w:sz="4" w:space="4" w:color="auto"/>
          <w:bottom w:val="single" w:sz="4" w:space="20" w:color="auto"/>
          <w:right w:val="single" w:sz="4" w:space="4" w:color="auto"/>
        </w:pBdr>
        <w:spacing w:before="100"/>
        <w:rPr>
          <w:color w:val="000000"/>
          <w:lang w:val="sv-SE"/>
        </w:rPr>
      </w:pPr>
      <w:r w:rsidRPr="00800D1B">
        <w:rPr>
          <w:color w:val="000000"/>
          <w:lang w:val="sv-SE"/>
        </w:rPr>
        <w:t xml:space="preserve">Inom det specifika målet kan så väl makroregionalt integrerade projekt som projekt som faller inom definitionen för den transationella komponenten genomföras. Fokus bör ligga på projekt som förstärks av gränsöverskridande och/eller tvärsektoriella insatser och där de interregionala och transnationella komponenterna förstärker projektens bidrag till att nå de globala hållbarhetsmålen. Utbyte av kunskap, expertis, teknik och finansiella resurser är viktiga komponenter för att målen ska nås. </w:t>
      </w:r>
    </w:p>
    <w:p w14:paraId="6B8AC00A" w14:textId="77777777" w:rsidR="005678C4" w:rsidRPr="00800D1B" w:rsidRDefault="005678C4" w:rsidP="00D36B53">
      <w:pPr>
        <w:pBdr>
          <w:top w:val="single" w:sz="4" w:space="5" w:color="auto"/>
          <w:left w:val="single" w:sz="4" w:space="4" w:color="auto"/>
          <w:bottom w:val="single" w:sz="4" w:space="20" w:color="auto"/>
          <w:right w:val="single" w:sz="4" w:space="4" w:color="auto"/>
        </w:pBdr>
        <w:spacing w:before="100"/>
        <w:rPr>
          <w:color w:val="000000"/>
          <w:lang w:val="sv-SE"/>
        </w:rPr>
      </w:pPr>
      <w:r w:rsidRPr="00800D1B">
        <w:rPr>
          <w:color w:val="000000"/>
          <w:lang w:val="sv-SE"/>
        </w:rPr>
        <w:t>EU:s strategi för Östersjöregionen ger en viktig vägledning för valet av insatser och bidrar till att det regionala strukturfondsprogrammet kan användas på ett målmedvetet och fokuserat sätt för att möta gemensamma utmaningar i regionen. En framgångsfaktor för EU:s strategi för Östersjöregionen är en väl fungerande flernivåstyrning mellan olika samhällssektorer. De insatser som kommer att stödjas ska ha ett mervärde för programområdet samt bidra till strategins mål och prioriteringar. </w:t>
      </w:r>
    </w:p>
    <w:p w14:paraId="44F63E69" w14:textId="77777777" w:rsidR="005678C4" w:rsidRPr="00800D1B" w:rsidRDefault="005678C4" w:rsidP="00D36B53">
      <w:pPr>
        <w:pBdr>
          <w:top w:val="single" w:sz="4" w:space="5" w:color="auto"/>
          <w:left w:val="single" w:sz="4" w:space="4" w:color="auto"/>
          <w:bottom w:val="single" w:sz="4" w:space="20" w:color="auto"/>
          <w:right w:val="single" w:sz="4" w:space="4" w:color="auto"/>
        </w:pBdr>
        <w:spacing w:before="100" w:after="300"/>
        <w:rPr>
          <w:color w:val="000000"/>
          <w:lang w:val="sv-SE"/>
        </w:rPr>
      </w:pPr>
      <w:r w:rsidRPr="00800D1B">
        <w:rPr>
          <w:color w:val="000000"/>
          <w:lang w:val="sv-SE"/>
        </w:rPr>
        <w:t>Möjligheter till samverkan med Östersjöstrategins policyområde Energy bör eftersträvas. Tänkbara samverkansparter är i första hand organisationer och företag verksamma i Interreg Aurora-området.</w:t>
      </w:r>
    </w:p>
    <w:p w14:paraId="2D065F5A" w14:textId="08D41B1C" w:rsidR="00A77B3E" w:rsidRPr="00800D1B" w:rsidRDefault="00623E14" w:rsidP="00A71A06">
      <w:pPr>
        <w:spacing w:before="360" w:after="100"/>
        <w:rPr>
          <w:lang w:val="sv-SE"/>
        </w:rPr>
      </w:pPr>
      <w:bookmarkStart w:id="100" w:name="_Toc256000341"/>
      <w:r w:rsidRPr="00800D1B">
        <w:rPr>
          <w:lang w:val="sv-SE"/>
        </w:rPr>
        <w:t>Planerad användning av finansieringsinstrument – artikel 22.3 d vii i förordningen om gemensamma bestämmelser</w:t>
      </w:r>
      <w:bookmarkEnd w:id="100"/>
    </w:p>
    <w:p w14:paraId="4C20C14F" w14:textId="3A25651C" w:rsidR="000D6EE3" w:rsidRPr="00800D1B" w:rsidRDefault="000D6EE3" w:rsidP="001C4055">
      <w:pPr>
        <w:pBdr>
          <w:top w:val="single" w:sz="4" w:space="10" w:color="auto"/>
          <w:left w:val="single" w:sz="4" w:space="4" w:color="auto"/>
          <w:bottom w:val="single" w:sz="4" w:space="20" w:color="auto"/>
          <w:right w:val="single" w:sz="4" w:space="4" w:color="auto"/>
          <w:between w:val="single" w:sz="4" w:space="10" w:color="auto"/>
          <w:bar w:val="single" w:sz="4" w:color="auto"/>
        </w:pBdr>
        <w:spacing w:before="120" w:after="100"/>
        <w:ind w:left="86"/>
        <w:rPr>
          <w:lang w:val="sv-SE"/>
        </w:rPr>
      </w:pPr>
      <w:r w:rsidRPr="00800D1B">
        <w:rPr>
          <w:lang w:val="sv-SE"/>
        </w:rPr>
        <w:t>Nej</w:t>
      </w:r>
    </w:p>
    <w:p w14:paraId="2D065F61" w14:textId="336FFA6A" w:rsidR="00A77B3E" w:rsidRPr="00800D1B" w:rsidRDefault="00623E14" w:rsidP="00D36B53">
      <w:pPr>
        <w:pStyle w:val="Rubrik6"/>
        <w:numPr>
          <w:ilvl w:val="4"/>
          <w:numId w:val="24"/>
        </w:numPr>
        <w:spacing w:before="400"/>
        <w:ind w:left="360"/>
      </w:pPr>
      <w:bookmarkStart w:id="101" w:name="_Toc256000342"/>
      <w:r w:rsidRPr="00800D1B">
        <w:t>Indikatorer</w:t>
      </w:r>
      <w:bookmarkEnd w:id="101"/>
    </w:p>
    <w:p w14:paraId="2D065F62" w14:textId="77777777" w:rsidR="00A77B3E" w:rsidRPr="00800D1B" w:rsidRDefault="00A77B3E">
      <w:pPr>
        <w:spacing w:before="100"/>
        <w:rPr>
          <w:color w:val="000000"/>
          <w:sz w:val="0"/>
          <w:lang w:val="sv-SE"/>
        </w:rPr>
      </w:pPr>
    </w:p>
    <w:p w14:paraId="2D065F63" w14:textId="77777777" w:rsidR="00A77B3E" w:rsidRPr="00800D1B" w:rsidRDefault="00623E14">
      <w:pPr>
        <w:spacing w:before="100"/>
        <w:rPr>
          <w:color w:val="000000"/>
          <w:sz w:val="0"/>
          <w:lang w:val="sv-SE"/>
        </w:rPr>
      </w:pPr>
      <w:r w:rsidRPr="00800D1B">
        <w:rPr>
          <w:color w:val="000000"/>
          <w:lang w:val="sv-SE"/>
        </w:rPr>
        <w:t>Referens: Artikel 22.3 d ii i förordningen om gemensamma bestämmelser och artikel 8 i Eruf-förordningen och förordningen om Sammanhållningsfonden</w:t>
      </w:r>
    </w:p>
    <w:p w14:paraId="2D065F64" w14:textId="1AD2A403" w:rsidR="00A77B3E" w:rsidRPr="00800D1B" w:rsidRDefault="00623E14" w:rsidP="003D08B5">
      <w:pPr>
        <w:spacing w:before="100" w:after="100"/>
        <w:rPr>
          <w:lang w:val="sv-SE"/>
        </w:rPr>
      </w:pPr>
      <w:bookmarkStart w:id="102" w:name="_Toc256000343"/>
      <w:r w:rsidRPr="00800D1B">
        <w:rPr>
          <w:lang w:val="sv-SE"/>
        </w:rPr>
        <w:t>Tabell 2: Utfallsindikatorer</w:t>
      </w:r>
      <w:bookmarkEnd w:id="102"/>
    </w:p>
    <w:tbl>
      <w:tblPr>
        <w:tblStyle w:val="Tabellrutnt"/>
        <w:tblW w:w="5000" w:type="pct"/>
        <w:tblLook w:val="04A0" w:firstRow="1" w:lastRow="0" w:firstColumn="1" w:lastColumn="0" w:noHBand="0" w:noVBand="1"/>
        <w:tblDescription w:val="En tabell med nio kolumner: Prioritering; Specifikt mål; Fond; Regionkategori; ID; Indikator; Mätenhet; Delmål (2024); Mål (2029). Tabellen visar information om Utfallsindikatorer."/>
      </w:tblPr>
      <w:tblGrid>
        <w:gridCol w:w="1133"/>
        <w:gridCol w:w="1165"/>
        <w:gridCol w:w="623"/>
        <w:gridCol w:w="1933"/>
        <w:gridCol w:w="856"/>
        <w:gridCol w:w="5509"/>
        <w:gridCol w:w="1400"/>
        <w:gridCol w:w="1292"/>
        <w:gridCol w:w="1261"/>
      </w:tblGrid>
      <w:tr w:rsidR="003422DB" w:rsidRPr="00800D1B" w14:paraId="2D065F6F" w14:textId="77777777" w:rsidTr="00B76590">
        <w:tc>
          <w:tcPr>
            <w:tcW w:w="0" w:type="auto"/>
          </w:tcPr>
          <w:p w14:paraId="2D065F66" w14:textId="77777777" w:rsidR="00A77B3E" w:rsidRPr="00800D1B" w:rsidRDefault="00623E14" w:rsidP="00B76590">
            <w:pPr>
              <w:spacing w:before="100" w:after="100"/>
              <w:ind w:left="-72"/>
              <w:jc w:val="center"/>
              <w:rPr>
                <w:color w:val="000000"/>
                <w:sz w:val="20"/>
                <w:lang w:val="sv-SE"/>
              </w:rPr>
            </w:pPr>
            <w:r w:rsidRPr="00800D1B">
              <w:rPr>
                <w:color w:val="000000"/>
                <w:sz w:val="20"/>
                <w:lang w:val="sv-SE"/>
              </w:rPr>
              <w:t>Prioritering</w:t>
            </w:r>
          </w:p>
        </w:tc>
        <w:tc>
          <w:tcPr>
            <w:tcW w:w="0" w:type="auto"/>
          </w:tcPr>
          <w:p w14:paraId="2D065F67" w14:textId="77777777" w:rsidR="00A77B3E" w:rsidRPr="00800D1B" w:rsidRDefault="00623E14" w:rsidP="00B76590">
            <w:pPr>
              <w:spacing w:before="100" w:after="100"/>
              <w:ind w:left="-72"/>
              <w:jc w:val="center"/>
              <w:rPr>
                <w:color w:val="000000"/>
                <w:sz w:val="20"/>
                <w:lang w:val="sv-SE"/>
              </w:rPr>
            </w:pPr>
            <w:r w:rsidRPr="00800D1B">
              <w:rPr>
                <w:color w:val="000000"/>
                <w:sz w:val="20"/>
                <w:lang w:val="sv-SE"/>
              </w:rPr>
              <w:t>Specifikt mål</w:t>
            </w:r>
          </w:p>
        </w:tc>
        <w:tc>
          <w:tcPr>
            <w:tcW w:w="0" w:type="auto"/>
          </w:tcPr>
          <w:p w14:paraId="2D065F68" w14:textId="77777777" w:rsidR="00A77B3E" w:rsidRPr="00800D1B" w:rsidRDefault="00623E14" w:rsidP="00B76590">
            <w:pPr>
              <w:spacing w:before="100" w:after="100"/>
              <w:ind w:left="-72"/>
              <w:jc w:val="center"/>
              <w:rPr>
                <w:color w:val="000000"/>
                <w:sz w:val="20"/>
                <w:lang w:val="sv-SE"/>
              </w:rPr>
            </w:pPr>
            <w:r w:rsidRPr="00800D1B">
              <w:rPr>
                <w:color w:val="000000"/>
                <w:sz w:val="20"/>
                <w:lang w:val="sv-SE"/>
              </w:rPr>
              <w:t>Fond</w:t>
            </w:r>
          </w:p>
        </w:tc>
        <w:tc>
          <w:tcPr>
            <w:tcW w:w="0" w:type="auto"/>
          </w:tcPr>
          <w:p w14:paraId="2D065F69" w14:textId="77777777" w:rsidR="00A77B3E" w:rsidRPr="00800D1B" w:rsidRDefault="00623E14" w:rsidP="00B76590">
            <w:pPr>
              <w:spacing w:before="100" w:after="100"/>
              <w:ind w:left="-72"/>
              <w:jc w:val="center"/>
              <w:rPr>
                <w:color w:val="000000"/>
                <w:sz w:val="20"/>
                <w:lang w:val="sv-SE"/>
              </w:rPr>
            </w:pPr>
            <w:r w:rsidRPr="00800D1B">
              <w:rPr>
                <w:color w:val="000000"/>
                <w:sz w:val="20"/>
                <w:lang w:val="sv-SE"/>
              </w:rPr>
              <w:t>Regionkategori</w:t>
            </w:r>
          </w:p>
        </w:tc>
        <w:tc>
          <w:tcPr>
            <w:tcW w:w="0" w:type="auto"/>
          </w:tcPr>
          <w:p w14:paraId="2D065F6A" w14:textId="77777777" w:rsidR="00A77B3E" w:rsidRPr="00800D1B" w:rsidRDefault="00623E14" w:rsidP="00B76590">
            <w:pPr>
              <w:spacing w:before="100" w:after="100"/>
              <w:ind w:left="-72"/>
              <w:jc w:val="center"/>
              <w:rPr>
                <w:color w:val="000000"/>
                <w:sz w:val="20"/>
                <w:lang w:val="sv-SE"/>
              </w:rPr>
            </w:pPr>
            <w:r w:rsidRPr="00800D1B">
              <w:rPr>
                <w:color w:val="000000"/>
                <w:sz w:val="20"/>
                <w:lang w:val="sv-SE"/>
              </w:rPr>
              <w:t>ID</w:t>
            </w:r>
          </w:p>
        </w:tc>
        <w:tc>
          <w:tcPr>
            <w:tcW w:w="0" w:type="auto"/>
          </w:tcPr>
          <w:p w14:paraId="2D065F6B" w14:textId="77777777" w:rsidR="00A77B3E" w:rsidRPr="00800D1B" w:rsidRDefault="00623E14" w:rsidP="00B76590">
            <w:pPr>
              <w:spacing w:before="100" w:after="100"/>
              <w:ind w:left="-72"/>
              <w:jc w:val="center"/>
              <w:rPr>
                <w:color w:val="000000"/>
                <w:sz w:val="20"/>
                <w:lang w:val="sv-SE"/>
              </w:rPr>
            </w:pPr>
            <w:r w:rsidRPr="00800D1B">
              <w:rPr>
                <w:color w:val="000000"/>
                <w:sz w:val="20"/>
                <w:lang w:val="sv-SE"/>
              </w:rPr>
              <w:t>Indikator</w:t>
            </w:r>
          </w:p>
        </w:tc>
        <w:tc>
          <w:tcPr>
            <w:tcW w:w="0" w:type="auto"/>
          </w:tcPr>
          <w:p w14:paraId="2D065F6C" w14:textId="77777777" w:rsidR="00A77B3E" w:rsidRPr="00800D1B" w:rsidRDefault="00623E14" w:rsidP="00B76590">
            <w:pPr>
              <w:spacing w:before="100" w:after="100"/>
              <w:ind w:left="-72"/>
              <w:jc w:val="center"/>
              <w:rPr>
                <w:color w:val="000000"/>
                <w:sz w:val="20"/>
                <w:lang w:val="sv-SE"/>
              </w:rPr>
            </w:pPr>
            <w:r w:rsidRPr="00800D1B">
              <w:rPr>
                <w:color w:val="000000"/>
                <w:sz w:val="20"/>
                <w:lang w:val="sv-SE"/>
              </w:rPr>
              <w:t>Mätenhet</w:t>
            </w:r>
          </w:p>
        </w:tc>
        <w:tc>
          <w:tcPr>
            <w:tcW w:w="0" w:type="auto"/>
          </w:tcPr>
          <w:p w14:paraId="2D065F6D" w14:textId="77777777" w:rsidR="00A77B3E" w:rsidRPr="00800D1B" w:rsidRDefault="00623E14" w:rsidP="00B76590">
            <w:pPr>
              <w:spacing w:before="100" w:after="100"/>
              <w:ind w:left="-72"/>
              <w:jc w:val="center"/>
              <w:rPr>
                <w:color w:val="000000"/>
                <w:sz w:val="20"/>
                <w:lang w:val="sv-SE"/>
              </w:rPr>
            </w:pPr>
            <w:r w:rsidRPr="00800D1B">
              <w:rPr>
                <w:color w:val="000000"/>
                <w:sz w:val="20"/>
                <w:lang w:val="sv-SE"/>
              </w:rPr>
              <w:t>Delmål (2024)</w:t>
            </w:r>
          </w:p>
        </w:tc>
        <w:tc>
          <w:tcPr>
            <w:tcW w:w="0" w:type="auto"/>
          </w:tcPr>
          <w:p w14:paraId="2D065F6E" w14:textId="77777777" w:rsidR="00A77B3E" w:rsidRPr="00800D1B" w:rsidRDefault="00623E14" w:rsidP="00B76590">
            <w:pPr>
              <w:spacing w:before="100" w:after="100"/>
              <w:ind w:left="-72"/>
              <w:jc w:val="center"/>
              <w:rPr>
                <w:color w:val="000000"/>
                <w:sz w:val="20"/>
                <w:lang w:val="sv-SE"/>
              </w:rPr>
            </w:pPr>
            <w:r w:rsidRPr="00800D1B">
              <w:rPr>
                <w:color w:val="000000"/>
                <w:sz w:val="20"/>
                <w:lang w:val="sv-SE"/>
              </w:rPr>
              <w:t>Mål (2029)</w:t>
            </w:r>
          </w:p>
        </w:tc>
      </w:tr>
      <w:tr w:rsidR="003422DB" w:rsidRPr="00800D1B" w14:paraId="2D065F79" w14:textId="77777777" w:rsidTr="00B76590">
        <w:tc>
          <w:tcPr>
            <w:tcW w:w="0" w:type="auto"/>
          </w:tcPr>
          <w:p w14:paraId="2D065F70" w14:textId="77777777" w:rsidR="00A77B3E" w:rsidRPr="00800D1B" w:rsidRDefault="00623E14" w:rsidP="00B76590">
            <w:pPr>
              <w:spacing w:before="100" w:after="100"/>
              <w:ind w:left="-72"/>
              <w:rPr>
                <w:color w:val="000000"/>
                <w:sz w:val="20"/>
                <w:lang w:val="sv-SE"/>
              </w:rPr>
            </w:pPr>
            <w:r w:rsidRPr="00800D1B">
              <w:rPr>
                <w:color w:val="000000"/>
                <w:sz w:val="20"/>
                <w:lang w:val="sv-SE"/>
              </w:rPr>
              <w:t>4</w:t>
            </w:r>
          </w:p>
        </w:tc>
        <w:tc>
          <w:tcPr>
            <w:tcW w:w="0" w:type="auto"/>
          </w:tcPr>
          <w:p w14:paraId="2D065F71" w14:textId="77777777" w:rsidR="00A77B3E" w:rsidRPr="00800D1B" w:rsidRDefault="00623E14" w:rsidP="00B76590">
            <w:pPr>
              <w:spacing w:before="100" w:after="100"/>
              <w:ind w:left="-72"/>
              <w:rPr>
                <w:color w:val="000000"/>
                <w:sz w:val="20"/>
                <w:lang w:val="sv-SE"/>
              </w:rPr>
            </w:pPr>
            <w:r w:rsidRPr="00800D1B">
              <w:rPr>
                <w:color w:val="000000"/>
                <w:sz w:val="20"/>
                <w:lang w:val="sv-SE"/>
              </w:rPr>
              <w:t>RSO2.2</w:t>
            </w:r>
          </w:p>
        </w:tc>
        <w:tc>
          <w:tcPr>
            <w:tcW w:w="0" w:type="auto"/>
          </w:tcPr>
          <w:p w14:paraId="2D065F72" w14:textId="77777777" w:rsidR="00A77B3E" w:rsidRPr="00800D1B" w:rsidRDefault="00623E14" w:rsidP="00B76590">
            <w:pPr>
              <w:spacing w:before="100" w:after="100"/>
              <w:ind w:left="-72"/>
              <w:rPr>
                <w:color w:val="000000"/>
                <w:sz w:val="20"/>
                <w:lang w:val="sv-SE"/>
              </w:rPr>
            </w:pPr>
            <w:r w:rsidRPr="00800D1B">
              <w:rPr>
                <w:color w:val="000000"/>
                <w:sz w:val="20"/>
                <w:lang w:val="sv-SE"/>
              </w:rPr>
              <w:t>Eruf</w:t>
            </w:r>
          </w:p>
        </w:tc>
        <w:tc>
          <w:tcPr>
            <w:tcW w:w="0" w:type="auto"/>
          </w:tcPr>
          <w:p w14:paraId="2D065F73" w14:textId="77777777" w:rsidR="00A77B3E" w:rsidRPr="00800D1B" w:rsidRDefault="00623E14" w:rsidP="00B76590">
            <w:pPr>
              <w:spacing w:before="100" w:after="100"/>
              <w:ind w:left="-72"/>
              <w:rPr>
                <w:color w:val="000000"/>
                <w:sz w:val="20"/>
                <w:lang w:val="sv-SE"/>
              </w:rPr>
            </w:pPr>
            <w:r w:rsidRPr="00800D1B">
              <w:rPr>
                <w:color w:val="000000"/>
                <w:sz w:val="20"/>
                <w:lang w:val="sv-SE"/>
              </w:rPr>
              <w:t>Mer utvecklade regioner</w:t>
            </w:r>
          </w:p>
        </w:tc>
        <w:tc>
          <w:tcPr>
            <w:tcW w:w="0" w:type="auto"/>
          </w:tcPr>
          <w:p w14:paraId="2D065F74" w14:textId="77777777" w:rsidR="00A77B3E" w:rsidRPr="00800D1B" w:rsidRDefault="00623E14" w:rsidP="00B76590">
            <w:pPr>
              <w:spacing w:before="100" w:after="100"/>
              <w:ind w:left="-72"/>
              <w:rPr>
                <w:color w:val="000000"/>
                <w:sz w:val="20"/>
                <w:lang w:val="sv-SE"/>
              </w:rPr>
            </w:pPr>
            <w:r w:rsidRPr="00800D1B">
              <w:rPr>
                <w:color w:val="000000"/>
                <w:sz w:val="20"/>
                <w:lang w:val="sv-SE"/>
              </w:rPr>
              <w:t>RCO01</w:t>
            </w:r>
          </w:p>
        </w:tc>
        <w:tc>
          <w:tcPr>
            <w:tcW w:w="0" w:type="auto"/>
          </w:tcPr>
          <w:p w14:paraId="2D065F75" w14:textId="77777777" w:rsidR="00A77B3E" w:rsidRPr="00800D1B" w:rsidRDefault="00623E14" w:rsidP="00B76590">
            <w:pPr>
              <w:spacing w:before="100" w:after="100"/>
              <w:ind w:left="-72"/>
              <w:rPr>
                <w:color w:val="000000"/>
                <w:sz w:val="20"/>
                <w:lang w:val="sv-SE"/>
              </w:rPr>
            </w:pPr>
            <w:r w:rsidRPr="00800D1B">
              <w:rPr>
                <w:color w:val="000000"/>
                <w:sz w:val="20"/>
                <w:lang w:val="sv-SE"/>
              </w:rPr>
              <w:t>Företag som får stöd (varav mikroföretag, små företag, medelstora företag, stora företag)</w:t>
            </w:r>
          </w:p>
        </w:tc>
        <w:tc>
          <w:tcPr>
            <w:tcW w:w="0" w:type="auto"/>
          </w:tcPr>
          <w:p w14:paraId="2D065F76" w14:textId="77777777" w:rsidR="00A77B3E" w:rsidRPr="00800D1B" w:rsidRDefault="00623E14" w:rsidP="00B76590">
            <w:pPr>
              <w:spacing w:before="100" w:after="100"/>
              <w:ind w:left="-72"/>
              <w:rPr>
                <w:color w:val="000000"/>
                <w:sz w:val="20"/>
                <w:lang w:val="sv-SE"/>
              </w:rPr>
            </w:pPr>
            <w:r w:rsidRPr="00800D1B">
              <w:rPr>
                <w:color w:val="000000"/>
                <w:sz w:val="20"/>
                <w:lang w:val="sv-SE"/>
              </w:rPr>
              <w:t>företag</w:t>
            </w:r>
          </w:p>
        </w:tc>
        <w:tc>
          <w:tcPr>
            <w:tcW w:w="0" w:type="auto"/>
          </w:tcPr>
          <w:p w14:paraId="2D065F77" w14:textId="77777777" w:rsidR="00A77B3E" w:rsidRPr="00800D1B" w:rsidRDefault="00623E14" w:rsidP="00B76590">
            <w:pPr>
              <w:spacing w:before="100" w:after="100"/>
              <w:ind w:left="-72"/>
              <w:jc w:val="right"/>
              <w:rPr>
                <w:color w:val="000000"/>
                <w:sz w:val="20"/>
                <w:lang w:val="sv-SE"/>
              </w:rPr>
            </w:pPr>
            <w:r w:rsidRPr="00800D1B">
              <w:rPr>
                <w:color w:val="000000"/>
                <w:sz w:val="20"/>
                <w:lang w:val="sv-SE"/>
              </w:rPr>
              <w:t>4,00</w:t>
            </w:r>
          </w:p>
        </w:tc>
        <w:tc>
          <w:tcPr>
            <w:tcW w:w="0" w:type="auto"/>
          </w:tcPr>
          <w:p w14:paraId="2D065F78" w14:textId="77777777" w:rsidR="00A77B3E" w:rsidRPr="00800D1B" w:rsidRDefault="00623E14" w:rsidP="00B76590">
            <w:pPr>
              <w:spacing w:before="100" w:after="100"/>
              <w:ind w:left="-72"/>
              <w:jc w:val="right"/>
              <w:rPr>
                <w:color w:val="000000"/>
                <w:sz w:val="20"/>
                <w:lang w:val="sv-SE"/>
              </w:rPr>
            </w:pPr>
            <w:r w:rsidRPr="00800D1B">
              <w:rPr>
                <w:color w:val="000000"/>
                <w:sz w:val="20"/>
                <w:lang w:val="sv-SE"/>
              </w:rPr>
              <w:t>68,00</w:t>
            </w:r>
          </w:p>
        </w:tc>
      </w:tr>
      <w:tr w:rsidR="003422DB" w:rsidRPr="00800D1B" w14:paraId="2D065F83" w14:textId="77777777" w:rsidTr="00B76590">
        <w:tc>
          <w:tcPr>
            <w:tcW w:w="0" w:type="auto"/>
          </w:tcPr>
          <w:p w14:paraId="2D065F7A" w14:textId="77777777" w:rsidR="00A77B3E" w:rsidRPr="00800D1B" w:rsidRDefault="00623E14" w:rsidP="00B76590">
            <w:pPr>
              <w:spacing w:before="100" w:after="100"/>
              <w:ind w:left="-72"/>
              <w:rPr>
                <w:color w:val="000000"/>
                <w:sz w:val="20"/>
                <w:lang w:val="sv-SE"/>
              </w:rPr>
            </w:pPr>
            <w:r w:rsidRPr="00800D1B">
              <w:rPr>
                <w:color w:val="000000"/>
                <w:sz w:val="20"/>
                <w:lang w:val="sv-SE"/>
              </w:rPr>
              <w:t>4</w:t>
            </w:r>
          </w:p>
        </w:tc>
        <w:tc>
          <w:tcPr>
            <w:tcW w:w="0" w:type="auto"/>
          </w:tcPr>
          <w:p w14:paraId="2D065F7B" w14:textId="77777777" w:rsidR="00A77B3E" w:rsidRPr="00800D1B" w:rsidRDefault="00623E14" w:rsidP="00B76590">
            <w:pPr>
              <w:spacing w:before="100" w:after="100"/>
              <w:ind w:left="-72"/>
              <w:rPr>
                <w:color w:val="000000"/>
                <w:sz w:val="20"/>
                <w:lang w:val="sv-SE"/>
              </w:rPr>
            </w:pPr>
            <w:r w:rsidRPr="00800D1B">
              <w:rPr>
                <w:color w:val="000000"/>
                <w:sz w:val="20"/>
                <w:lang w:val="sv-SE"/>
              </w:rPr>
              <w:t>RSO2.2</w:t>
            </w:r>
          </w:p>
        </w:tc>
        <w:tc>
          <w:tcPr>
            <w:tcW w:w="0" w:type="auto"/>
          </w:tcPr>
          <w:p w14:paraId="2D065F7C" w14:textId="77777777" w:rsidR="00A77B3E" w:rsidRPr="00800D1B" w:rsidRDefault="00623E14" w:rsidP="00B76590">
            <w:pPr>
              <w:spacing w:before="100" w:after="100"/>
              <w:ind w:left="-72"/>
              <w:rPr>
                <w:color w:val="000000"/>
                <w:sz w:val="20"/>
                <w:lang w:val="sv-SE"/>
              </w:rPr>
            </w:pPr>
            <w:r w:rsidRPr="00800D1B">
              <w:rPr>
                <w:color w:val="000000"/>
                <w:sz w:val="20"/>
                <w:lang w:val="sv-SE"/>
              </w:rPr>
              <w:t>Eruf</w:t>
            </w:r>
          </w:p>
        </w:tc>
        <w:tc>
          <w:tcPr>
            <w:tcW w:w="0" w:type="auto"/>
          </w:tcPr>
          <w:p w14:paraId="2D065F7D" w14:textId="77777777" w:rsidR="00A77B3E" w:rsidRPr="00800D1B" w:rsidRDefault="00623E14" w:rsidP="00B76590">
            <w:pPr>
              <w:spacing w:before="100" w:after="100"/>
              <w:ind w:left="-72"/>
              <w:rPr>
                <w:color w:val="000000"/>
                <w:sz w:val="20"/>
                <w:lang w:val="sv-SE"/>
              </w:rPr>
            </w:pPr>
            <w:r w:rsidRPr="00800D1B">
              <w:rPr>
                <w:color w:val="000000"/>
                <w:sz w:val="20"/>
                <w:lang w:val="sv-SE"/>
              </w:rPr>
              <w:t>Mer utvecklade regioner</w:t>
            </w:r>
          </w:p>
        </w:tc>
        <w:tc>
          <w:tcPr>
            <w:tcW w:w="0" w:type="auto"/>
          </w:tcPr>
          <w:p w14:paraId="2D065F7E" w14:textId="77777777" w:rsidR="00A77B3E" w:rsidRPr="00800D1B" w:rsidRDefault="00623E14" w:rsidP="00B76590">
            <w:pPr>
              <w:spacing w:before="100" w:after="100"/>
              <w:ind w:left="-72"/>
              <w:rPr>
                <w:color w:val="000000"/>
                <w:sz w:val="20"/>
                <w:lang w:val="sv-SE"/>
              </w:rPr>
            </w:pPr>
            <w:r w:rsidRPr="00800D1B">
              <w:rPr>
                <w:color w:val="000000"/>
                <w:sz w:val="20"/>
                <w:lang w:val="sv-SE"/>
              </w:rPr>
              <w:t>RCO04</w:t>
            </w:r>
          </w:p>
        </w:tc>
        <w:tc>
          <w:tcPr>
            <w:tcW w:w="0" w:type="auto"/>
          </w:tcPr>
          <w:p w14:paraId="2D065F7F" w14:textId="77777777" w:rsidR="00A77B3E" w:rsidRPr="00800D1B" w:rsidRDefault="00623E14" w:rsidP="00B76590">
            <w:pPr>
              <w:spacing w:before="100" w:after="100"/>
              <w:ind w:left="-72"/>
              <w:rPr>
                <w:color w:val="000000"/>
                <w:sz w:val="20"/>
                <w:lang w:val="sv-SE"/>
              </w:rPr>
            </w:pPr>
            <w:r w:rsidRPr="00800D1B">
              <w:rPr>
                <w:color w:val="000000"/>
                <w:sz w:val="20"/>
                <w:lang w:val="sv-SE"/>
              </w:rPr>
              <w:t>Företag som får icke-finansiellt stöd</w:t>
            </w:r>
          </w:p>
        </w:tc>
        <w:tc>
          <w:tcPr>
            <w:tcW w:w="0" w:type="auto"/>
          </w:tcPr>
          <w:p w14:paraId="2D065F80" w14:textId="77777777" w:rsidR="00A77B3E" w:rsidRPr="00800D1B" w:rsidRDefault="00623E14" w:rsidP="00B76590">
            <w:pPr>
              <w:spacing w:before="100" w:after="100"/>
              <w:ind w:left="-72"/>
              <w:rPr>
                <w:color w:val="000000"/>
                <w:sz w:val="20"/>
                <w:lang w:val="sv-SE"/>
              </w:rPr>
            </w:pPr>
            <w:r w:rsidRPr="00800D1B">
              <w:rPr>
                <w:color w:val="000000"/>
                <w:sz w:val="20"/>
                <w:lang w:val="sv-SE"/>
              </w:rPr>
              <w:t>företag</w:t>
            </w:r>
          </w:p>
        </w:tc>
        <w:tc>
          <w:tcPr>
            <w:tcW w:w="0" w:type="auto"/>
          </w:tcPr>
          <w:p w14:paraId="2D065F81" w14:textId="77777777" w:rsidR="00A77B3E" w:rsidRPr="00800D1B" w:rsidRDefault="00623E14" w:rsidP="00B76590">
            <w:pPr>
              <w:spacing w:before="100" w:after="100"/>
              <w:ind w:left="-72"/>
              <w:jc w:val="right"/>
              <w:rPr>
                <w:color w:val="000000"/>
                <w:sz w:val="20"/>
                <w:lang w:val="sv-SE"/>
              </w:rPr>
            </w:pPr>
            <w:r w:rsidRPr="00800D1B">
              <w:rPr>
                <w:color w:val="000000"/>
                <w:sz w:val="20"/>
                <w:lang w:val="sv-SE"/>
              </w:rPr>
              <w:t>4,00</w:t>
            </w:r>
          </w:p>
        </w:tc>
        <w:tc>
          <w:tcPr>
            <w:tcW w:w="0" w:type="auto"/>
          </w:tcPr>
          <w:p w14:paraId="2D065F82" w14:textId="77777777" w:rsidR="00A77B3E" w:rsidRPr="00800D1B" w:rsidRDefault="00623E14" w:rsidP="00B76590">
            <w:pPr>
              <w:spacing w:before="100" w:after="100"/>
              <w:ind w:left="-72"/>
              <w:jc w:val="right"/>
              <w:rPr>
                <w:color w:val="000000"/>
                <w:sz w:val="20"/>
                <w:lang w:val="sv-SE"/>
              </w:rPr>
            </w:pPr>
            <w:r w:rsidRPr="00800D1B">
              <w:rPr>
                <w:color w:val="000000"/>
                <w:sz w:val="20"/>
                <w:lang w:val="sv-SE"/>
              </w:rPr>
              <w:t>68,00</w:t>
            </w:r>
          </w:p>
        </w:tc>
      </w:tr>
      <w:tr w:rsidR="003422DB" w:rsidRPr="00800D1B" w14:paraId="2D065F8D" w14:textId="77777777" w:rsidTr="00B76590">
        <w:tc>
          <w:tcPr>
            <w:tcW w:w="0" w:type="auto"/>
          </w:tcPr>
          <w:p w14:paraId="2D065F84" w14:textId="77777777" w:rsidR="00A77B3E" w:rsidRPr="00800D1B" w:rsidRDefault="00623E14" w:rsidP="00B76590">
            <w:pPr>
              <w:spacing w:before="100" w:after="100"/>
              <w:ind w:left="-72"/>
              <w:rPr>
                <w:color w:val="000000"/>
                <w:sz w:val="20"/>
                <w:lang w:val="sv-SE"/>
              </w:rPr>
            </w:pPr>
            <w:r w:rsidRPr="00800D1B">
              <w:rPr>
                <w:color w:val="000000"/>
                <w:sz w:val="20"/>
                <w:lang w:val="sv-SE"/>
              </w:rPr>
              <w:t>4</w:t>
            </w:r>
          </w:p>
        </w:tc>
        <w:tc>
          <w:tcPr>
            <w:tcW w:w="0" w:type="auto"/>
          </w:tcPr>
          <w:p w14:paraId="2D065F85" w14:textId="77777777" w:rsidR="00A77B3E" w:rsidRPr="00800D1B" w:rsidRDefault="00623E14" w:rsidP="00B76590">
            <w:pPr>
              <w:spacing w:before="100" w:after="100"/>
              <w:ind w:left="-72"/>
              <w:rPr>
                <w:color w:val="000000"/>
                <w:sz w:val="20"/>
                <w:lang w:val="sv-SE"/>
              </w:rPr>
            </w:pPr>
            <w:r w:rsidRPr="00800D1B">
              <w:rPr>
                <w:color w:val="000000"/>
                <w:sz w:val="20"/>
                <w:lang w:val="sv-SE"/>
              </w:rPr>
              <w:t>RSO2.2</w:t>
            </w:r>
          </w:p>
        </w:tc>
        <w:tc>
          <w:tcPr>
            <w:tcW w:w="0" w:type="auto"/>
          </w:tcPr>
          <w:p w14:paraId="2D065F86" w14:textId="77777777" w:rsidR="00A77B3E" w:rsidRPr="00800D1B" w:rsidRDefault="00623E14" w:rsidP="00B76590">
            <w:pPr>
              <w:spacing w:before="100" w:after="100"/>
              <w:ind w:left="-72"/>
              <w:rPr>
                <w:color w:val="000000"/>
                <w:sz w:val="20"/>
                <w:lang w:val="sv-SE"/>
              </w:rPr>
            </w:pPr>
            <w:r w:rsidRPr="00800D1B">
              <w:rPr>
                <w:color w:val="000000"/>
                <w:sz w:val="20"/>
                <w:lang w:val="sv-SE"/>
              </w:rPr>
              <w:t>Eruf</w:t>
            </w:r>
          </w:p>
        </w:tc>
        <w:tc>
          <w:tcPr>
            <w:tcW w:w="0" w:type="auto"/>
          </w:tcPr>
          <w:p w14:paraId="2D065F87" w14:textId="77777777" w:rsidR="00A77B3E" w:rsidRPr="00800D1B" w:rsidRDefault="00623E14" w:rsidP="00B76590">
            <w:pPr>
              <w:spacing w:before="100" w:after="100"/>
              <w:ind w:left="-72"/>
              <w:rPr>
                <w:color w:val="000000"/>
                <w:sz w:val="20"/>
                <w:lang w:val="sv-SE"/>
              </w:rPr>
            </w:pPr>
            <w:r w:rsidRPr="00800D1B">
              <w:rPr>
                <w:color w:val="000000"/>
                <w:sz w:val="20"/>
                <w:lang w:val="sv-SE"/>
              </w:rPr>
              <w:t>Mer utvecklade regioner</w:t>
            </w:r>
          </w:p>
        </w:tc>
        <w:tc>
          <w:tcPr>
            <w:tcW w:w="0" w:type="auto"/>
          </w:tcPr>
          <w:p w14:paraId="2D065F88" w14:textId="77777777" w:rsidR="00A77B3E" w:rsidRPr="00800D1B" w:rsidRDefault="00623E14" w:rsidP="00B76590">
            <w:pPr>
              <w:spacing w:before="100" w:after="100"/>
              <w:ind w:left="-72"/>
              <w:rPr>
                <w:color w:val="000000"/>
                <w:sz w:val="20"/>
                <w:lang w:val="sv-SE"/>
              </w:rPr>
            </w:pPr>
            <w:r w:rsidRPr="00800D1B">
              <w:rPr>
                <w:color w:val="000000"/>
                <w:sz w:val="20"/>
                <w:lang w:val="sv-SE"/>
              </w:rPr>
              <w:t>RCO22</w:t>
            </w:r>
          </w:p>
        </w:tc>
        <w:tc>
          <w:tcPr>
            <w:tcW w:w="0" w:type="auto"/>
          </w:tcPr>
          <w:p w14:paraId="2D065F89" w14:textId="77777777" w:rsidR="00A77B3E" w:rsidRPr="00800D1B" w:rsidRDefault="00623E14" w:rsidP="00B76590">
            <w:pPr>
              <w:spacing w:before="100" w:after="100"/>
              <w:ind w:left="-72"/>
              <w:rPr>
                <w:color w:val="000000"/>
                <w:sz w:val="20"/>
                <w:lang w:val="sv-SE"/>
              </w:rPr>
            </w:pPr>
            <w:r w:rsidRPr="00800D1B">
              <w:rPr>
                <w:color w:val="000000"/>
                <w:sz w:val="20"/>
                <w:lang w:val="sv-SE"/>
              </w:rPr>
              <w:t>Ytterligare produktionskapacitet för förnybar energi (av vilken el, värme)</w:t>
            </w:r>
          </w:p>
        </w:tc>
        <w:tc>
          <w:tcPr>
            <w:tcW w:w="0" w:type="auto"/>
          </w:tcPr>
          <w:p w14:paraId="2D065F8A" w14:textId="77777777" w:rsidR="00A77B3E" w:rsidRPr="00800D1B" w:rsidRDefault="00623E14" w:rsidP="00B76590">
            <w:pPr>
              <w:spacing w:before="100" w:after="100"/>
              <w:ind w:left="-72"/>
              <w:rPr>
                <w:color w:val="000000"/>
                <w:sz w:val="20"/>
                <w:lang w:val="sv-SE"/>
              </w:rPr>
            </w:pPr>
            <w:r w:rsidRPr="00800D1B">
              <w:rPr>
                <w:color w:val="000000"/>
                <w:sz w:val="20"/>
                <w:lang w:val="sv-SE"/>
              </w:rPr>
              <w:t>MW</w:t>
            </w:r>
          </w:p>
        </w:tc>
        <w:tc>
          <w:tcPr>
            <w:tcW w:w="0" w:type="auto"/>
          </w:tcPr>
          <w:p w14:paraId="2D065F8B" w14:textId="77777777" w:rsidR="00A77B3E" w:rsidRPr="00800D1B" w:rsidRDefault="00623E14" w:rsidP="00B76590">
            <w:pPr>
              <w:spacing w:before="100" w:after="100"/>
              <w:ind w:left="-72"/>
              <w:jc w:val="right"/>
              <w:rPr>
                <w:color w:val="000000"/>
                <w:sz w:val="20"/>
                <w:lang w:val="sv-SE"/>
              </w:rPr>
            </w:pPr>
            <w:r w:rsidRPr="00800D1B">
              <w:rPr>
                <w:color w:val="000000"/>
                <w:sz w:val="20"/>
                <w:lang w:val="sv-SE"/>
              </w:rPr>
              <w:t>7,40</w:t>
            </w:r>
          </w:p>
        </w:tc>
        <w:tc>
          <w:tcPr>
            <w:tcW w:w="0" w:type="auto"/>
          </w:tcPr>
          <w:p w14:paraId="2D065F8C" w14:textId="77777777" w:rsidR="00A77B3E" w:rsidRPr="00800D1B" w:rsidRDefault="00623E14" w:rsidP="00B76590">
            <w:pPr>
              <w:spacing w:before="100" w:after="100"/>
              <w:ind w:left="-72"/>
              <w:jc w:val="right"/>
              <w:rPr>
                <w:color w:val="000000"/>
                <w:sz w:val="20"/>
                <w:lang w:val="sv-SE"/>
              </w:rPr>
            </w:pPr>
            <w:r w:rsidRPr="00800D1B">
              <w:rPr>
                <w:color w:val="000000"/>
                <w:sz w:val="20"/>
                <w:lang w:val="sv-SE"/>
              </w:rPr>
              <w:t>149,00</w:t>
            </w:r>
          </w:p>
        </w:tc>
      </w:tr>
      <w:tr w:rsidR="003422DB" w:rsidRPr="00800D1B" w14:paraId="2D065F97" w14:textId="77777777" w:rsidTr="00B76590">
        <w:tc>
          <w:tcPr>
            <w:tcW w:w="0" w:type="auto"/>
          </w:tcPr>
          <w:p w14:paraId="2D065F8E" w14:textId="77777777" w:rsidR="00A77B3E" w:rsidRPr="00800D1B" w:rsidRDefault="00623E14" w:rsidP="00B76590">
            <w:pPr>
              <w:spacing w:before="100" w:after="100"/>
              <w:ind w:left="-72"/>
              <w:rPr>
                <w:color w:val="000000"/>
                <w:sz w:val="20"/>
                <w:lang w:val="sv-SE"/>
              </w:rPr>
            </w:pPr>
            <w:r w:rsidRPr="00800D1B">
              <w:rPr>
                <w:color w:val="000000"/>
                <w:sz w:val="20"/>
                <w:lang w:val="sv-SE"/>
              </w:rPr>
              <w:t>4</w:t>
            </w:r>
          </w:p>
        </w:tc>
        <w:tc>
          <w:tcPr>
            <w:tcW w:w="0" w:type="auto"/>
          </w:tcPr>
          <w:p w14:paraId="2D065F8F" w14:textId="77777777" w:rsidR="00A77B3E" w:rsidRPr="00800D1B" w:rsidRDefault="00623E14" w:rsidP="00B76590">
            <w:pPr>
              <w:spacing w:before="100" w:after="100"/>
              <w:ind w:left="-72"/>
              <w:rPr>
                <w:color w:val="000000"/>
                <w:sz w:val="20"/>
                <w:lang w:val="sv-SE"/>
              </w:rPr>
            </w:pPr>
            <w:r w:rsidRPr="00800D1B">
              <w:rPr>
                <w:color w:val="000000"/>
                <w:sz w:val="20"/>
                <w:lang w:val="sv-SE"/>
              </w:rPr>
              <w:t>RSO2.2</w:t>
            </w:r>
          </w:p>
        </w:tc>
        <w:tc>
          <w:tcPr>
            <w:tcW w:w="0" w:type="auto"/>
          </w:tcPr>
          <w:p w14:paraId="2D065F90" w14:textId="77777777" w:rsidR="00A77B3E" w:rsidRPr="00800D1B" w:rsidRDefault="00623E14" w:rsidP="00B76590">
            <w:pPr>
              <w:spacing w:before="100" w:after="100"/>
              <w:ind w:left="-72"/>
              <w:rPr>
                <w:color w:val="000000"/>
                <w:sz w:val="20"/>
                <w:lang w:val="sv-SE"/>
              </w:rPr>
            </w:pPr>
            <w:r w:rsidRPr="00800D1B">
              <w:rPr>
                <w:color w:val="000000"/>
                <w:sz w:val="20"/>
                <w:lang w:val="sv-SE"/>
              </w:rPr>
              <w:t>Eruf</w:t>
            </w:r>
          </w:p>
        </w:tc>
        <w:tc>
          <w:tcPr>
            <w:tcW w:w="0" w:type="auto"/>
          </w:tcPr>
          <w:p w14:paraId="2D065F91" w14:textId="77777777" w:rsidR="00A77B3E" w:rsidRPr="00800D1B" w:rsidRDefault="00623E14" w:rsidP="00B76590">
            <w:pPr>
              <w:spacing w:before="100" w:after="100"/>
              <w:ind w:left="-72"/>
              <w:rPr>
                <w:color w:val="000000"/>
                <w:sz w:val="20"/>
                <w:lang w:val="sv-SE"/>
              </w:rPr>
            </w:pPr>
            <w:r w:rsidRPr="00800D1B">
              <w:rPr>
                <w:color w:val="000000"/>
                <w:sz w:val="20"/>
                <w:lang w:val="sv-SE"/>
              </w:rPr>
              <w:t>Mer utvecklade regioner</w:t>
            </w:r>
          </w:p>
        </w:tc>
        <w:tc>
          <w:tcPr>
            <w:tcW w:w="0" w:type="auto"/>
          </w:tcPr>
          <w:p w14:paraId="2D065F92" w14:textId="77777777" w:rsidR="00A77B3E" w:rsidRPr="00800D1B" w:rsidRDefault="00623E14" w:rsidP="00B76590">
            <w:pPr>
              <w:spacing w:before="100" w:after="100"/>
              <w:ind w:left="-72"/>
              <w:rPr>
                <w:color w:val="000000"/>
                <w:sz w:val="20"/>
                <w:lang w:val="sv-SE"/>
              </w:rPr>
            </w:pPr>
            <w:r w:rsidRPr="00800D1B">
              <w:rPr>
                <w:color w:val="000000"/>
                <w:sz w:val="20"/>
                <w:lang w:val="sv-SE"/>
              </w:rPr>
              <w:t>SWO01</w:t>
            </w:r>
          </w:p>
        </w:tc>
        <w:tc>
          <w:tcPr>
            <w:tcW w:w="0" w:type="auto"/>
          </w:tcPr>
          <w:p w14:paraId="2D065F93" w14:textId="77777777" w:rsidR="00A77B3E" w:rsidRPr="00800D1B" w:rsidRDefault="00623E14" w:rsidP="00B76590">
            <w:pPr>
              <w:spacing w:before="100" w:after="100"/>
              <w:ind w:left="-72"/>
              <w:rPr>
                <w:color w:val="000000"/>
                <w:sz w:val="20"/>
                <w:lang w:val="sv-SE"/>
              </w:rPr>
            </w:pPr>
            <w:r w:rsidRPr="00800D1B">
              <w:rPr>
                <w:color w:val="000000"/>
                <w:sz w:val="20"/>
                <w:lang w:val="sv-SE"/>
              </w:rPr>
              <w:t>Antal organisationer som får stöd</w:t>
            </w:r>
          </w:p>
        </w:tc>
        <w:tc>
          <w:tcPr>
            <w:tcW w:w="0" w:type="auto"/>
          </w:tcPr>
          <w:p w14:paraId="2D065F94" w14:textId="77777777" w:rsidR="00A77B3E" w:rsidRPr="00800D1B" w:rsidRDefault="00623E14" w:rsidP="00B76590">
            <w:pPr>
              <w:spacing w:before="100" w:after="100"/>
              <w:ind w:left="-72"/>
              <w:rPr>
                <w:color w:val="000000"/>
                <w:sz w:val="20"/>
                <w:lang w:val="sv-SE"/>
              </w:rPr>
            </w:pPr>
            <w:r w:rsidRPr="00800D1B">
              <w:rPr>
                <w:color w:val="000000"/>
                <w:sz w:val="20"/>
                <w:lang w:val="sv-SE"/>
              </w:rPr>
              <w:t>Organisationer</w:t>
            </w:r>
          </w:p>
        </w:tc>
        <w:tc>
          <w:tcPr>
            <w:tcW w:w="0" w:type="auto"/>
          </w:tcPr>
          <w:p w14:paraId="2D065F95" w14:textId="77777777" w:rsidR="00A77B3E" w:rsidRPr="00800D1B" w:rsidRDefault="00623E14" w:rsidP="00B76590">
            <w:pPr>
              <w:spacing w:before="100" w:after="100"/>
              <w:ind w:left="-72"/>
              <w:jc w:val="right"/>
              <w:rPr>
                <w:color w:val="000000"/>
                <w:sz w:val="20"/>
                <w:lang w:val="sv-SE"/>
              </w:rPr>
            </w:pPr>
            <w:r w:rsidRPr="00800D1B">
              <w:rPr>
                <w:color w:val="000000"/>
                <w:sz w:val="20"/>
                <w:lang w:val="sv-SE"/>
              </w:rPr>
              <w:t>0,00</w:t>
            </w:r>
          </w:p>
        </w:tc>
        <w:tc>
          <w:tcPr>
            <w:tcW w:w="0" w:type="auto"/>
          </w:tcPr>
          <w:p w14:paraId="2D065F96" w14:textId="77777777" w:rsidR="00A77B3E" w:rsidRPr="00800D1B" w:rsidRDefault="00623E14" w:rsidP="00B76590">
            <w:pPr>
              <w:spacing w:before="100" w:after="100"/>
              <w:ind w:left="-72"/>
              <w:jc w:val="right"/>
              <w:rPr>
                <w:color w:val="000000"/>
                <w:sz w:val="20"/>
                <w:lang w:val="sv-SE"/>
              </w:rPr>
            </w:pPr>
            <w:r w:rsidRPr="00800D1B">
              <w:rPr>
                <w:color w:val="000000"/>
                <w:sz w:val="20"/>
                <w:lang w:val="sv-SE"/>
              </w:rPr>
              <w:t>4,00</w:t>
            </w:r>
          </w:p>
        </w:tc>
      </w:tr>
      <w:tr w:rsidR="003422DB" w:rsidRPr="00800D1B" w14:paraId="2D065FA1" w14:textId="77777777" w:rsidTr="00B76590">
        <w:tc>
          <w:tcPr>
            <w:tcW w:w="0" w:type="auto"/>
          </w:tcPr>
          <w:p w14:paraId="2D065F98" w14:textId="77777777" w:rsidR="00A77B3E" w:rsidRPr="00800D1B" w:rsidRDefault="00623E14" w:rsidP="00B76590">
            <w:pPr>
              <w:spacing w:before="100" w:after="100"/>
              <w:ind w:left="-72"/>
              <w:rPr>
                <w:color w:val="000000"/>
                <w:sz w:val="20"/>
                <w:lang w:val="sv-SE"/>
              </w:rPr>
            </w:pPr>
            <w:r w:rsidRPr="00800D1B">
              <w:rPr>
                <w:color w:val="000000"/>
                <w:sz w:val="20"/>
                <w:lang w:val="sv-SE"/>
              </w:rPr>
              <w:t>4</w:t>
            </w:r>
          </w:p>
        </w:tc>
        <w:tc>
          <w:tcPr>
            <w:tcW w:w="0" w:type="auto"/>
          </w:tcPr>
          <w:p w14:paraId="2D065F99" w14:textId="77777777" w:rsidR="00A77B3E" w:rsidRPr="00800D1B" w:rsidRDefault="00623E14" w:rsidP="00B76590">
            <w:pPr>
              <w:spacing w:before="100" w:after="100"/>
              <w:ind w:left="-72"/>
              <w:rPr>
                <w:color w:val="000000"/>
                <w:sz w:val="20"/>
                <w:lang w:val="sv-SE"/>
              </w:rPr>
            </w:pPr>
            <w:r w:rsidRPr="00800D1B">
              <w:rPr>
                <w:color w:val="000000"/>
                <w:sz w:val="20"/>
                <w:lang w:val="sv-SE"/>
              </w:rPr>
              <w:t>RSO2.2</w:t>
            </w:r>
          </w:p>
        </w:tc>
        <w:tc>
          <w:tcPr>
            <w:tcW w:w="0" w:type="auto"/>
          </w:tcPr>
          <w:p w14:paraId="2D065F9A" w14:textId="77777777" w:rsidR="00A77B3E" w:rsidRPr="00800D1B" w:rsidRDefault="00623E14" w:rsidP="00B76590">
            <w:pPr>
              <w:spacing w:before="100" w:after="100"/>
              <w:ind w:left="-72"/>
              <w:rPr>
                <w:color w:val="000000"/>
                <w:sz w:val="20"/>
                <w:lang w:val="sv-SE"/>
              </w:rPr>
            </w:pPr>
            <w:r w:rsidRPr="00800D1B">
              <w:rPr>
                <w:color w:val="000000"/>
                <w:sz w:val="20"/>
                <w:lang w:val="sv-SE"/>
              </w:rPr>
              <w:t>Eruf</w:t>
            </w:r>
          </w:p>
        </w:tc>
        <w:tc>
          <w:tcPr>
            <w:tcW w:w="0" w:type="auto"/>
          </w:tcPr>
          <w:p w14:paraId="2D065F9B" w14:textId="77777777" w:rsidR="00A77B3E" w:rsidRPr="00800D1B" w:rsidRDefault="00623E14" w:rsidP="00B76590">
            <w:pPr>
              <w:spacing w:before="100" w:after="100"/>
              <w:ind w:left="-72"/>
              <w:rPr>
                <w:color w:val="000000"/>
                <w:sz w:val="20"/>
                <w:lang w:val="sv-SE"/>
              </w:rPr>
            </w:pPr>
            <w:r w:rsidRPr="00800D1B">
              <w:rPr>
                <w:color w:val="000000"/>
                <w:sz w:val="20"/>
                <w:lang w:val="sv-SE"/>
              </w:rPr>
              <w:t>Mer utvecklade regioner</w:t>
            </w:r>
          </w:p>
        </w:tc>
        <w:tc>
          <w:tcPr>
            <w:tcW w:w="0" w:type="auto"/>
          </w:tcPr>
          <w:p w14:paraId="2D065F9C" w14:textId="77777777" w:rsidR="00A77B3E" w:rsidRPr="00800D1B" w:rsidRDefault="00623E14" w:rsidP="00B76590">
            <w:pPr>
              <w:spacing w:before="100" w:after="100"/>
              <w:ind w:left="-72"/>
              <w:rPr>
                <w:color w:val="000000"/>
                <w:sz w:val="20"/>
                <w:lang w:val="sv-SE"/>
              </w:rPr>
            </w:pPr>
            <w:r w:rsidRPr="00800D1B">
              <w:rPr>
                <w:color w:val="000000"/>
                <w:sz w:val="20"/>
                <w:lang w:val="sv-SE"/>
              </w:rPr>
              <w:t>SWO02</w:t>
            </w:r>
          </w:p>
        </w:tc>
        <w:tc>
          <w:tcPr>
            <w:tcW w:w="0" w:type="auto"/>
          </w:tcPr>
          <w:p w14:paraId="2D065F9D" w14:textId="77777777" w:rsidR="00A77B3E" w:rsidRPr="00800D1B" w:rsidRDefault="00623E14" w:rsidP="00B76590">
            <w:pPr>
              <w:spacing w:before="100" w:after="100"/>
              <w:ind w:left="-72"/>
              <w:rPr>
                <w:color w:val="000000"/>
                <w:sz w:val="20"/>
                <w:lang w:val="sv-SE"/>
              </w:rPr>
            </w:pPr>
            <w:r w:rsidRPr="00800D1B">
              <w:rPr>
                <w:color w:val="000000"/>
                <w:sz w:val="20"/>
                <w:lang w:val="sv-SE"/>
              </w:rPr>
              <w:t>Investeringar i euro</w:t>
            </w:r>
          </w:p>
        </w:tc>
        <w:tc>
          <w:tcPr>
            <w:tcW w:w="0" w:type="auto"/>
          </w:tcPr>
          <w:p w14:paraId="2D065F9E" w14:textId="77777777" w:rsidR="00A77B3E" w:rsidRPr="00800D1B" w:rsidRDefault="00623E14" w:rsidP="00B76590">
            <w:pPr>
              <w:spacing w:before="100" w:after="100"/>
              <w:ind w:left="-72"/>
              <w:rPr>
                <w:color w:val="000000"/>
                <w:sz w:val="20"/>
                <w:lang w:val="sv-SE"/>
              </w:rPr>
            </w:pPr>
            <w:r w:rsidRPr="00800D1B">
              <w:rPr>
                <w:color w:val="000000"/>
                <w:sz w:val="20"/>
                <w:lang w:val="sv-SE"/>
              </w:rPr>
              <w:t>euro</w:t>
            </w:r>
          </w:p>
        </w:tc>
        <w:tc>
          <w:tcPr>
            <w:tcW w:w="0" w:type="auto"/>
          </w:tcPr>
          <w:p w14:paraId="2D065F9F" w14:textId="77777777" w:rsidR="00A77B3E" w:rsidRPr="00800D1B" w:rsidRDefault="00623E14" w:rsidP="00B76590">
            <w:pPr>
              <w:spacing w:before="100" w:after="100"/>
              <w:ind w:left="-72"/>
              <w:jc w:val="right"/>
              <w:rPr>
                <w:color w:val="000000"/>
                <w:sz w:val="20"/>
                <w:lang w:val="sv-SE"/>
              </w:rPr>
            </w:pPr>
            <w:r w:rsidRPr="00800D1B">
              <w:rPr>
                <w:color w:val="000000"/>
                <w:sz w:val="20"/>
                <w:lang w:val="sv-SE"/>
              </w:rPr>
              <w:t>123 988,90</w:t>
            </w:r>
          </w:p>
        </w:tc>
        <w:tc>
          <w:tcPr>
            <w:tcW w:w="0" w:type="auto"/>
          </w:tcPr>
          <w:p w14:paraId="2D065FA0" w14:textId="77777777" w:rsidR="00A77B3E" w:rsidRPr="00800D1B" w:rsidRDefault="00623E14" w:rsidP="00B76590">
            <w:pPr>
              <w:spacing w:before="100" w:after="100"/>
              <w:ind w:left="-72"/>
              <w:jc w:val="right"/>
              <w:rPr>
                <w:color w:val="000000"/>
                <w:sz w:val="20"/>
                <w:lang w:val="sv-SE"/>
              </w:rPr>
            </w:pPr>
            <w:r w:rsidRPr="00800D1B">
              <w:rPr>
                <w:color w:val="000000"/>
                <w:sz w:val="20"/>
                <w:lang w:val="sv-SE"/>
              </w:rPr>
              <w:t>2 479 778,40</w:t>
            </w:r>
          </w:p>
        </w:tc>
      </w:tr>
    </w:tbl>
    <w:p w14:paraId="2D065FA3" w14:textId="77777777" w:rsidR="00A77B3E" w:rsidRPr="00800D1B" w:rsidRDefault="00623E14" w:rsidP="004A21EA">
      <w:pPr>
        <w:spacing w:before="300"/>
        <w:rPr>
          <w:color w:val="000000"/>
          <w:sz w:val="0"/>
          <w:lang w:val="sv-SE"/>
        </w:rPr>
      </w:pPr>
      <w:r w:rsidRPr="00800D1B">
        <w:rPr>
          <w:color w:val="000000"/>
          <w:lang w:val="sv-SE"/>
        </w:rPr>
        <w:t>Referens: Artikel 22.3 d ii i förordningen om gemensamma bestämmelser</w:t>
      </w:r>
    </w:p>
    <w:p w14:paraId="2D065FA4" w14:textId="6782E2BD" w:rsidR="00A77B3E" w:rsidRPr="00800D1B" w:rsidRDefault="00623E14" w:rsidP="003D08B5">
      <w:pPr>
        <w:spacing w:before="100" w:after="100"/>
        <w:rPr>
          <w:lang w:val="sv-SE"/>
        </w:rPr>
      </w:pPr>
      <w:bookmarkStart w:id="103" w:name="_Toc256000344"/>
      <w:r w:rsidRPr="00800D1B">
        <w:rPr>
          <w:lang w:val="sv-SE"/>
        </w:rPr>
        <w:t>Tabell 3: Resultatindikatorer</w:t>
      </w:r>
      <w:bookmarkEnd w:id="103"/>
    </w:p>
    <w:tbl>
      <w:tblPr>
        <w:tblStyle w:val="Tabellrutnt"/>
        <w:tblW w:w="5000" w:type="pct"/>
        <w:tblLook w:val="04A0" w:firstRow="1" w:lastRow="0" w:firstColumn="1" w:lastColumn="0" w:noHBand="0" w:noVBand="1"/>
        <w:tblDescription w:val="En tabell med tolv kolumner: Prioritering; Specifikt mål; Fond; Regionkategori; ID; Indikator; Mätenhet; Utgångsvärde eller referensvärde; Referensår; Mål (2029); Datakälla; Kommentarer. Tabellen visar information om Resultatindikatorer."/>
      </w:tblPr>
      <w:tblGrid>
        <w:gridCol w:w="1074"/>
        <w:gridCol w:w="896"/>
        <w:gridCol w:w="562"/>
        <w:gridCol w:w="1430"/>
        <w:gridCol w:w="784"/>
        <w:gridCol w:w="2538"/>
        <w:gridCol w:w="2136"/>
        <w:gridCol w:w="1357"/>
        <w:gridCol w:w="1017"/>
        <w:gridCol w:w="1200"/>
        <w:gridCol w:w="917"/>
        <w:gridCol w:w="1261"/>
      </w:tblGrid>
      <w:tr w:rsidR="003422DB" w:rsidRPr="00800D1B" w14:paraId="2D065FB2" w14:textId="77777777" w:rsidTr="00B76590">
        <w:tc>
          <w:tcPr>
            <w:tcW w:w="0" w:type="auto"/>
          </w:tcPr>
          <w:p w14:paraId="2D065FA6" w14:textId="77777777" w:rsidR="00A77B3E" w:rsidRPr="00800D1B" w:rsidRDefault="00623E14" w:rsidP="00B76590">
            <w:pPr>
              <w:spacing w:before="100" w:after="100"/>
              <w:ind w:left="-72"/>
              <w:jc w:val="center"/>
              <w:rPr>
                <w:color w:val="000000"/>
                <w:sz w:val="20"/>
                <w:lang w:val="sv-SE"/>
              </w:rPr>
            </w:pPr>
            <w:r w:rsidRPr="00800D1B">
              <w:rPr>
                <w:color w:val="000000"/>
                <w:sz w:val="20"/>
                <w:lang w:val="sv-SE"/>
              </w:rPr>
              <w:t>Prioritering</w:t>
            </w:r>
          </w:p>
        </w:tc>
        <w:tc>
          <w:tcPr>
            <w:tcW w:w="0" w:type="auto"/>
          </w:tcPr>
          <w:p w14:paraId="2D065FA7" w14:textId="77777777" w:rsidR="00A77B3E" w:rsidRPr="00800D1B" w:rsidRDefault="00623E14" w:rsidP="00B76590">
            <w:pPr>
              <w:spacing w:before="100" w:after="100"/>
              <w:ind w:left="-72"/>
              <w:jc w:val="center"/>
              <w:rPr>
                <w:color w:val="000000"/>
                <w:sz w:val="20"/>
                <w:lang w:val="sv-SE"/>
              </w:rPr>
            </w:pPr>
            <w:r w:rsidRPr="00800D1B">
              <w:rPr>
                <w:color w:val="000000"/>
                <w:sz w:val="20"/>
                <w:lang w:val="sv-SE"/>
              </w:rPr>
              <w:t>Specifikt mål</w:t>
            </w:r>
          </w:p>
        </w:tc>
        <w:tc>
          <w:tcPr>
            <w:tcW w:w="0" w:type="auto"/>
          </w:tcPr>
          <w:p w14:paraId="2D065FA8" w14:textId="77777777" w:rsidR="00A77B3E" w:rsidRPr="00800D1B" w:rsidRDefault="00623E14" w:rsidP="00B76590">
            <w:pPr>
              <w:spacing w:before="100" w:after="100"/>
              <w:ind w:left="-72"/>
              <w:jc w:val="center"/>
              <w:rPr>
                <w:color w:val="000000"/>
                <w:sz w:val="20"/>
                <w:lang w:val="sv-SE"/>
              </w:rPr>
            </w:pPr>
            <w:r w:rsidRPr="00800D1B">
              <w:rPr>
                <w:color w:val="000000"/>
                <w:sz w:val="20"/>
                <w:lang w:val="sv-SE"/>
              </w:rPr>
              <w:t>Fond</w:t>
            </w:r>
          </w:p>
        </w:tc>
        <w:tc>
          <w:tcPr>
            <w:tcW w:w="0" w:type="auto"/>
          </w:tcPr>
          <w:p w14:paraId="2D065FA9" w14:textId="77777777" w:rsidR="00A77B3E" w:rsidRPr="00800D1B" w:rsidRDefault="00623E14" w:rsidP="00B76590">
            <w:pPr>
              <w:spacing w:before="100" w:after="100"/>
              <w:ind w:left="-72"/>
              <w:jc w:val="center"/>
              <w:rPr>
                <w:color w:val="000000"/>
                <w:sz w:val="20"/>
                <w:lang w:val="sv-SE"/>
              </w:rPr>
            </w:pPr>
            <w:r w:rsidRPr="00800D1B">
              <w:rPr>
                <w:color w:val="000000"/>
                <w:sz w:val="20"/>
                <w:lang w:val="sv-SE"/>
              </w:rPr>
              <w:t>Regionkategori</w:t>
            </w:r>
          </w:p>
        </w:tc>
        <w:tc>
          <w:tcPr>
            <w:tcW w:w="0" w:type="auto"/>
          </w:tcPr>
          <w:p w14:paraId="2D065FAA" w14:textId="77777777" w:rsidR="00A77B3E" w:rsidRPr="00800D1B" w:rsidRDefault="00623E14" w:rsidP="00B76590">
            <w:pPr>
              <w:spacing w:before="100" w:after="100"/>
              <w:ind w:left="-72"/>
              <w:jc w:val="center"/>
              <w:rPr>
                <w:color w:val="000000"/>
                <w:sz w:val="20"/>
                <w:lang w:val="sv-SE"/>
              </w:rPr>
            </w:pPr>
            <w:r w:rsidRPr="00800D1B">
              <w:rPr>
                <w:color w:val="000000"/>
                <w:sz w:val="20"/>
                <w:lang w:val="sv-SE"/>
              </w:rPr>
              <w:t>ID</w:t>
            </w:r>
          </w:p>
        </w:tc>
        <w:tc>
          <w:tcPr>
            <w:tcW w:w="0" w:type="auto"/>
          </w:tcPr>
          <w:p w14:paraId="2D065FAB" w14:textId="77777777" w:rsidR="00A77B3E" w:rsidRPr="00800D1B" w:rsidRDefault="00623E14" w:rsidP="00B76590">
            <w:pPr>
              <w:spacing w:before="100" w:after="100"/>
              <w:ind w:left="-72"/>
              <w:jc w:val="center"/>
              <w:rPr>
                <w:color w:val="000000"/>
                <w:sz w:val="20"/>
                <w:lang w:val="sv-SE"/>
              </w:rPr>
            </w:pPr>
            <w:r w:rsidRPr="00800D1B">
              <w:rPr>
                <w:color w:val="000000"/>
                <w:sz w:val="20"/>
                <w:lang w:val="sv-SE"/>
              </w:rPr>
              <w:t>Indikator</w:t>
            </w:r>
          </w:p>
        </w:tc>
        <w:tc>
          <w:tcPr>
            <w:tcW w:w="0" w:type="auto"/>
          </w:tcPr>
          <w:p w14:paraId="2D065FAC" w14:textId="77777777" w:rsidR="00A77B3E" w:rsidRPr="00800D1B" w:rsidRDefault="00623E14" w:rsidP="00B76590">
            <w:pPr>
              <w:spacing w:before="100" w:after="100"/>
              <w:ind w:left="-72"/>
              <w:jc w:val="center"/>
              <w:rPr>
                <w:color w:val="000000"/>
                <w:sz w:val="20"/>
                <w:lang w:val="sv-SE"/>
              </w:rPr>
            </w:pPr>
            <w:r w:rsidRPr="00800D1B">
              <w:rPr>
                <w:color w:val="000000"/>
                <w:sz w:val="20"/>
                <w:lang w:val="sv-SE"/>
              </w:rPr>
              <w:t>Mätenhet</w:t>
            </w:r>
          </w:p>
        </w:tc>
        <w:tc>
          <w:tcPr>
            <w:tcW w:w="0" w:type="auto"/>
          </w:tcPr>
          <w:p w14:paraId="2D065FAD" w14:textId="77777777" w:rsidR="00A77B3E" w:rsidRPr="00800D1B" w:rsidRDefault="00623E14" w:rsidP="00B76590">
            <w:pPr>
              <w:spacing w:before="100" w:after="100"/>
              <w:ind w:left="-72"/>
              <w:jc w:val="center"/>
              <w:rPr>
                <w:color w:val="000000"/>
                <w:sz w:val="20"/>
                <w:lang w:val="sv-SE"/>
              </w:rPr>
            </w:pPr>
            <w:r w:rsidRPr="00800D1B">
              <w:rPr>
                <w:color w:val="000000"/>
                <w:sz w:val="20"/>
                <w:lang w:val="sv-SE"/>
              </w:rPr>
              <w:t>Utgångsvärde eller referensvärde</w:t>
            </w:r>
          </w:p>
        </w:tc>
        <w:tc>
          <w:tcPr>
            <w:tcW w:w="0" w:type="auto"/>
          </w:tcPr>
          <w:p w14:paraId="2D065FAE" w14:textId="77777777" w:rsidR="00A77B3E" w:rsidRPr="00800D1B" w:rsidRDefault="00623E14" w:rsidP="00B76590">
            <w:pPr>
              <w:spacing w:before="100" w:after="100"/>
              <w:ind w:left="-72"/>
              <w:jc w:val="center"/>
              <w:rPr>
                <w:color w:val="000000"/>
                <w:sz w:val="20"/>
                <w:lang w:val="sv-SE"/>
              </w:rPr>
            </w:pPr>
            <w:r w:rsidRPr="00800D1B">
              <w:rPr>
                <w:color w:val="000000"/>
                <w:sz w:val="20"/>
                <w:lang w:val="sv-SE"/>
              </w:rPr>
              <w:t>Referensår</w:t>
            </w:r>
          </w:p>
        </w:tc>
        <w:tc>
          <w:tcPr>
            <w:tcW w:w="0" w:type="auto"/>
          </w:tcPr>
          <w:p w14:paraId="2D065FAF" w14:textId="77777777" w:rsidR="00A77B3E" w:rsidRPr="00800D1B" w:rsidRDefault="00623E14" w:rsidP="00B76590">
            <w:pPr>
              <w:spacing w:before="100" w:after="100"/>
              <w:ind w:left="-72"/>
              <w:jc w:val="center"/>
              <w:rPr>
                <w:color w:val="000000"/>
                <w:sz w:val="20"/>
                <w:lang w:val="sv-SE"/>
              </w:rPr>
            </w:pPr>
            <w:r w:rsidRPr="00800D1B">
              <w:rPr>
                <w:color w:val="000000"/>
                <w:sz w:val="20"/>
                <w:lang w:val="sv-SE"/>
              </w:rPr>
              <w:t>Mål (2029)</w:t>
            </w:r>
          </w:p>
        </w:tc>
        <w:tc>
          <w:tcPr>
            <w:tcW w:w="0" w:type="auto"/>
          </w:tcPr>
          <w:p w14:paraId="2D065FB0" w14:textId="77777777" w:rsidR="00A77B3E" w:rsidRPr="00800D1B" w:rsidRDefault="00623E14" w:rsidP="00B76590">
            <w:pPr>
              <w:spacing w:before="100" w:after="100"/>
              <w:ind w:left="-72"/>
              <w:jc w:val="center"/>
              <w:rPr>
                <w:color w:val="000000"/>
                <w:sz w:val="20"/>
                <w:lang w:val="sv-SE"/>
              </w:rPr>
            </w:pPr>
            <w:r w:rsidRPr="00800D1B">
              <w:rPr>
                <w:color w:val="000000"/>
                <w:sz w:val="20"/>
                <w:lang w:val="sv-SE"/>
              </w:rPr>
              <w:t>Datakälla</w:t>
            </w:r>
          </w:p>
        </w:tc>
        <w:tc>
          <w:tcPr>
            <w:tcW w:w="0" w:type="auto"/>
          </w:tcPr>
          <w:p w14:paraId="2D065FB1" w14:textId="77777777" w:rsidR="00A77B3E" w:rsidRPr="00800D1B" w:rsidRDefault="00623E14" w:rsidP="00B76590">
            <w:pPr>
              <w:spacing w:before="100" w:after="100"/>
              <w:ind w:left="-72"/>
              <w:jc w:val="center"/>
              <w:rPr>
                <w:color w:val="000000"/>
                <w:sz w:val="20"/>
                <w:lang w:val="sv-SE"/>
              </w:rPr>
            </w:pPr>
            <w:r w:rsidRPr="00800D1B">
              <w:rPr>
                <w:color w:val="000000"/>
                <w:sz w:val="20"/>
                <w:lang w:val="sv-SE"/>
              </w:rPr>
              <w:t>Kommentarer</w:t>
            </w:r>
          </w:p>
        </w:tc>
      </w:tr>
      <w:tr w:rsidR="003422DB" w:rsidRPr="00800D1B" w14:paraId="2D065FBF" w14:textId="77777777" w:rsidTr="00B76590">
        <w:tc>
          <w:tcPr>
            <w:tcW w:w="0" w:type="auto"/>
          </w:tcPr>
          <w:p w14:paraId="2D065FB3" w14:textId="77777777" w:rsidR="00A77B3E" w:rsidRPr="00800D1B" w:rsidRDefault="00623E14" w:rsidP="00B76590">
            <w:pPr>
              <w:spacing w:before="100" w:after="100"/>
              <w:ind w:left="-72"/>
              <w:rPr>
                <w:color w:val="000000"/>
                <w:sz w:val="20"/>
                <w:lang w:val="sv-SE"/>
              </w:rPr>
            </w:pPr>
            <w:r w:rsidRPr="00800D1B">
              <w:rPr>
                <w:color w:val="000000"/>
                <w:sz w:val="20"/>
                <w:lang w:val="sv-SE"/>
              </w:rPr>
              <w:t>4</w:t>
            </w:r>
          </w:p>
        </w:tc>
        <w:tc>
          <w:tcPr>
            <w:tcW w:w="0" w:type="auto"/>
          </w:tcPr>
          <w:p w14:paraId="2D065FB4" w14:textId="77777777" w:rsidR="00A77B3E" w:rsidRPr="00800D1B" w:rsidRDefault="00623E14" w:rsidP="00B76590">
            <w:pPr>
              <w:spacing w:before="100" w:after="100"/>
              <w:ind w:left="-72"/>
              <w:rPr>
                <w:color w:val="000000"/>
                <w:sz w:val="20"/>
                <w:lang w:val="sv-SE"/>
              </w:rPr>
            </w:pPr>
            <w:r w:rsidRPr="00800D1B">
              <w:rPr>
                <w:color w:val="000000"/>
                <w:sz w:val="20"/>
                <w:lang w:val="sv-SE"/>
              </w:rPr>
              <w:t>RSO2.2</w:t>
            </w:r>
          </w:p>
        </w:tc>
        <w:tc>
          <w:tcPr>
            <w:tcW w:w="0" w:type="auto"/>
          </w:tcPr>
          <w:p w14:paraId="2D065FB5" w14:textId="77777777" w:rsidR="00A77B3E" w:rsidRPr="00800D1B" w:rsidRDefault="00623E14" w:rsidP="00B76590">
            <w:pPr>
              <w:spacing w:before="100" w:after="100"/>
              <w:ind w:left="-72"/>
              <w:rPr>
                <w:color w:val="000000"/>
                <w:sz w:val="20"/>
                <w:lang w:val="sv-SE"/>
              </w:rPr>
            </w:pPr>
            <w:r w:rsidRPr="00800D1B">
              <w:rPr>
                <w:color w:val="000000"/>
                <w:sz w:val="20"/>
                <w:lang w:val="sv-SE"/>
              </w:rPr>
              <w:t>Eruf</w:t>
            </w:r>
          </w:p>
        </w:tc>
        <w:tc>
          <w:tcPr>
            <w:tcW w:w="0" w:type="auto"/>
          </w:tcPr>
          <w:p w14:paraId="2D065FB6" w14:textId="77777777" w:rsidR="00A77B3E" w:rsidRPr="00800D1B" w:rsidRDefault="00623E14" w:rsidP="00B76590">
            <w:pPr>
              <w:spacing w:before="100" w:after="100"/>
              <w:ind w:left="-72"/>
              <w:rPr>
                <w:color w:val="000000"/>
                <w:sz w:val="20"/>
                <w:lang w:val="sv-SE"/>
              </w:rPr>
            </w:pPr>
            <w:r w:rsidRPr="00800D1B">
              <w:rPr>
                <w:color w:val="000000"/>
                <w:sz w:val="20"/>
                <w:lang w:val="sv-SE"/>
              </w:rPr>
              <w:t>Mer utvecklade regioner</w:t>
            </w:r>
          </w:p>
        </w:tc>
        <w:tc>
          <w:tcPr>
            <w:tcW w:w="0" w:type="auto"/>
          </w:tcPr>
          <w:p w14:paraId="2D065FB7" w14:textId="77777777" w:rsidR="00A77B3E" w:rsidRPr="00800D1B" w:rsidRDefault="00623E14" w:rsidP="00B76590">
            <w:pPr>
              <w:spacing w:before="100" w:after="100"/>
              <w:ind w:left="-72"/>
              <w:rPr>
                <w:color w:val="000000"/>
                <w:sz w:val="20"/>
                <w:lang w:val="sv-SE"/>
              </w:rPr>
            </w:pPr>
            <w:r w:rsidRPr="00800D1B">
              <w:rPr>
                <w:color w:val="000000"/>
                <w:sz w:val="20"/>
                <w:lang w:val="sv-SE"/>
              </w:rPr>
              <w:t>RCR03</w:t>
            </w:r>
          </w:p>
        </w:tc>
        <w:tc>
          <w:tcPr>
            <w:tcW w:w="0" w:type="auto"/>
          </w:tcPr>
          <w:p w14:paraId="2D065FB8" w14:textId="77777777" w:rsidR="00A77B3E" w:rsidRPr="00800D1B" w:rsidRDefault="00623E14" w:rsidP="00B76590">
            <w:pPr>
              <w:spacing w:before="100" w:after="100"/>
              <w:ind w:left="-72"/>
              <w:rPr>
                <w:color w:val="000000"/>
                <w:sz w:val="20"/>
                <w:lang w:val="sv-SE"/>
              </w:rPr>
            </w:pPr>
            <w:r w:rsidRPr="00800D1B">
              <w:rPr>
                <w:color w:val="000000"/>
                <w:sz w:val="20"/>
                <w:lang w:val="sv-SE"/>
              </w:rPr>
              <w:t>Små och medelstora företag (SMF) som inför produkt- eller processinnovationer</w:t>
            </w:r>
          </w:p>
        </w:tc>
        <w:tc>
          <w:tcPr>
            <w:tcW w:w="0" w:type="auto"/>
          </w:tcPr>
          <w:p w14:paraId="2D065FB9" w14:textId="77777777" w:rsidR="00A77B3E" w:rsidRPr="00800D1B" w:rsidRDefault="00623E14" w:rsidP="00B76590">
            <w:pPr>
              <w:spacing w:before="100" w:after="100"/>
              <w:ind w:left="-72"/>
              <w:rPr>
                <w:color w:val="000000"/>
                <w:sz w:val="20"/>
                <w:lang w:val="sv-SE"/>
              </w:rPr>
            </w:pPr>
            <w:r w:rsidRPr="00800D1B">
              <w:rPr>
                <w:color w:val="000000"/>
                <w:sz w:val="20"/>
                <w:lang w:val="sv-SE"/>
              </w:rPr>
              <w:t>företag</w:t>
            </w:r>
          </w:p>
        </w:tc>
        <w:tc>
          <w:tcPr>
            <w:tcW w:w="0" w:type="auto"/>
          </w:tcPr>
          <w:p w14:paraId="2D065FBA" w14:textId="77777777" w:rsidR="00A77B3E" w:rsidRPr="00800D1B" w:rsidRDefault="00623E14" w:rsidP="00B76590">
            <w:pPr>
              <w:spacing w:before="100" w:after="100"/>
              <w:ind w:left="-72"/>
              <w:jc w:val="right"/>
              <w:rPr>
                <w:color w:val="000000"/>
                <w:sz w:val="20"/>
                <w:lang w:val="sv-SE"/>
              </w:rPr>
            </w:pPr>
            <w:r w:rsidRPr="00800D1B">
              <w:rPr>
                <w:color w:val="000000"/>
                <w:sz w:val="20"/>
                <w:lang w:val="sv-SE"/>
              </w:rPr>
              <w:t>0,00</w:t>
            </w:r>
          </w:p>
        </w:tc>
        <w:tc>
          <w:tcPr>
            <w:tcW w:w="0" w:type="auto"/>
          </w:tcPr>
          <w:p w14:paraId="2D065FBB" w14:textId="77777777" w:rsidR="00A77B3E" w:rsidRPr="00800D1B" w:rsidRDefault="00623E14" w:rsidP="00B76590">
            <w:pPr>
              <w:spacing w:before="100" w:after="100"/>
              <w:ind w:left="-72"/>
              <w:jc w:val="center"/>
              <w:rPr>
                <w:color w:val="000000"/>
                <w:sz w:val="20"/>
                <w:lang w:val="sv-SE"/>
              </w:rPr>
            </w:pPr>
            <w:r w:rsidRPr="00800D1B">
              <w:rPr>
                <w:color w:val="000000"/>
                <w:sz w:val="20"/>
                <w:lang w:val="sv-SE"/>
              </w:rPr>
              <w:t>2021</w:t>
            </w:r>
          </w:p>
        </w:tc>
        <w:tc>
          <w:tcPr>
            <w:tcW w:w="0" w:type="auto"/>
          </w:tcPr>
          <w:p w14:paraId="2D065FBC" w14:textId="77777777" w:rsidR="00A77B3E" w:rsidRPr="00800D1B" w:rsidRDefault="00623E14" w:rsidP="00B76590">
            <w:pPr>
              <w:spacing w:before="100" w:after="100"/>
              <w:ind w:left="-72"/>
              <w:jc w:val="right"/>
              <w:rPr>
                <w:color w:val="000000"/>
                <w:sz w:val="20"/>
                <w:lang w:val="sv-SE"/>
              </w:rPr>
            </w:pPr>
            <w:r w:rsidRPr="00800D1B">
              <w:rPr>
                <w:color w:val="000000"/>
                <w:sz w:val="20"/>
                <w:lang w:val="sv-SE"/>
              </w:rPr>
              <w:t>4,00</w:t>
            </w:r>
          </w:p>
        </w:tc>
        <w:tc>
          <w:tcPr>
            <w:tcW w:w="0" w:type="auto"/>
          </w:tcPr>
          <w:p w14:paraId="2D065FBD" w14:textId="77777777" w:rsidR="00A77B3E" w:rsidRPr="00800D1B" w:rsidRDefault="00623E14" w:rsidP="00B76590">
            <w:pPr>
              <w:spacing w:before="100" w:after="100"/>
              <w:ind w:left="-72"/>
              <w:rPr>
                <w:color w:val="000000"/>
                <w:sz w:val="20"/>
                <w:lang w:val="sv-SE"/>
              </w:rPr>
            </w:pPr>
            <w:r w:rsidRPr="00800D1B">
              <w:rPr>
                <w:color w:val="000000"/>
                <w:sz w:val="20"/>
                <w:lang w:val="sv-SE"/>
              </w:rPr>
              <w:t>Projekt</w:t>
            </w:r>
          </w:p>
        </w:tc>
        <w:tc>
          <w:tcPr>
            <w:tcW w:w="0" w:type="auto"/>
          </w:tcPr>
          <w:p w14:paraId="2D065FBE" w14:textId="77777777" w:rsidR="00A77B3E" w:rsidRPr="00800D1B" w:rsidRDefault="00A77B3E" w:rsidP="00B76590">
            <w:pPr>
              <w:spacing w:before="100" w:after="100"/>
              <w:ind w:left="-72"/>
              <w:rPr>
                <w:color w:val="000000"/>
                <w:sz w:val="20"/>
                <w:lang w:val="sv-SE"/>
              </w:rPr>
            </w:pPr>
          </w:p>
        </w:tc>
      </w:tr>
      <w:tr w:rsidR="003422DB" w:rsidRPr="00800D1B" w14:paraId="2D065FCC" w14:textId="77777777" w:rsidTr="00B76590">
        <w:tc>
          <w:tcPr>
            <w:tcW w:w="0" w:type="auto"/>
          </w:tcPr>
          <w:p w14:paraId="2D065FC0" w14:textId="77777777" w:rsidR="00A77B3E" w:rsidRPr="00800D1B" w:rsidRDefault="00623E14" w:rsidP="00B76590">
            <w:pPr>
              <w:spacing w:before="100" w:after="100"/>
              <w:ind w:left="-72"/>
              <w:rPr>
                <w:color w:val="000000"/>
                <w:sz w:val="20"/>
                <w:lang w:val="sv-SE"/>
              </w:rPr>
            </w:pPr>
            <w:r w:rsidRPr="00800D1B">
              <w:rPr>
                <w:color w:val="000000"/>
                <w:sz w:val="20"/>
                <w:lang w:val="sv-SE"/>
              </w:rPr>
              <w:t>4</w:t>
            </w:r>
          </w:p>
        </w:tc>
        <w:tc>
          <w:tcPr>
            <w:tcW w:w="0" w:type="auto"/>
          </w:tcPr>
          <w:p w14:paraId="2D065FC1" w14:textId="77777777" w:rsidR="00A77B3E" w:rsidRPr="00800D1B" w:rsidRDefault="00623E14" w:rsidP="00B76590">
            <w:pPr>
              <w:spacing w:before="100" w:after="100"/>
              <w:ind w:left="-72"/>
              <w:rPr>
                <w:color w:val="000000"/>
                <w:sz w:val="20"/>
                <w:lang w:val="sv-SE"/>
              </w:rPr>
            </w:pPr>
            <w:r w:rsidRPr="00800D1B">
              <w:rPr>
                <w:color w:val="000000"/>
                <w:sz w:val="20"/>
                <w:lang w:val="sv-SE"/>
              </w:rPr>
              <w:t>RSO2.2</w:t>
            </w:r>
          </w:p>
        </w:tc>
        <w:tc>
          <w:tcPr>
            <w:tcW w:w="0" w:type="auto"/>
          </w:tcPr>
          <w:p w14:paraId="2D065FC2" w14:textId="77777777" w:rsidR="00A77B3E" w:rsidRPr="00800D1B" w:rsidRDefault="00623E14" w:rsidP="00B76590">
            <w:pPr>
              <w:spacing w:before="100" w:after="100"/>
              <w:ind w:left="-72"/>
              <w:rPr>
                <w:color w:val="000000"/>
                <w:sz w:val="20"/>
                <w:lang w:val="sv-SE"/>
              </w:rPr>
            </w:pPr>
            <w:r w:rsidRPr="00800D1B">
              <w:rPr>
                <w:color w:val="000000"/>
                <w:sz w:val="20"/>
                <w:lang w:val="sv-SE"/>
              </w:rPr>
              <w:t>Eruf</w:t>
            </w:r>
          </w:p>
        </w:tc>
        <w:tc>
          <w:tcPr>
            <w:tcW w:w="0" w:type="auto"/>
          </w:tcPr>
          <w:p w14:paraId="2D065FC3" w14:textId="77777777" w:rsidR="00A77B3E" w:rsidRPr="00800D1B" w:rsidRDefault="00623E14" w:rsidP="00B76590">
            <w:pPr>
              <w:spacing w:before="100" w:after="100"/>
              <w:ind w:left="-72"/>
              <w:rPr>
                <w:color w:val="000000"/>
                <w:sz w:val="20"/>
                <w:lang w:val="sv-SE"/>
              </w:rPr>
            </w:pPr>
            <w:r w:rsidRPr="00800D1B">
              <w:rPr>
                <w:color w:val="000000"/>
                <w:sz w:val="20"/>
                <w:lang w:val="sv-SE"/>
              </w:rPr>
              <w:t>Mer utvecklade regioner</w:t>
            </w:r>
          </w:p>
        </w:tc>
        <w:tc>
          <w:tcPr>
            <w:tcW w:w="0" w:type="auto"/>
          </w:tcPr>
          <w:p w14:paraId="2D065FC4" w14:textId="77777777" w:rsidR="00A77B3E" w:rsidRPr="00800D1B" w:rsidRDefault="00623E14" w:rsidP="00B76590">
            <w:pPr>
              <w:spacing w:before="100" w:after="100"/>
              <w:ind w:left="-72"/>
              <w:rPr>
                <w:color w:val="000000"/>
                <w:sz w:val="20"/>
                <w:lang w:val="sv-SE"/>
              </w:rPr>
            </w:pPr>
            <w:r w:rsidRPr="00800D1B">
              <w:rPr>
                <w:color w:val="000000"/>
                <w:sz w:val="20"/>
                <w:lang w:val="sv-SE"/>
              </w:rPr>
              <w:t>RCR04</w:t>
            </w:r>
          </w:p>
        </w:tc>
        <w:tc>
          <w:tcPr>
            <w:tcW w:w="0" w:type="auto"/>
          </w:tcPr>
          <w:p w14:paraId="2D065FC5" w14:textId="77777777" w:rsidR="00A77B3E" w:rsidRPr="00800D1B" w:rsidRDefault="00623E14" w:rsidP="00D36B53">
            <w:pPr>
              <w:spacing w:before="100" w:after="60"/>
              <w:ind w:left="-72" w:right="-114"/>
              <w:rPr>
                <w:color w:val="000000"/>
                <w:sz w:val="20"/>
                <w:lang w:val="sv-SE"/>
              </w:rPr>
            </w:pPr>
            <w:r w:rsidRPr="00800D1B">
              <w:rPr>
                <w:color w:val="000000"/>
                <w:sz w:val="20"/>
                <w:lang w:val="sv-SE"/>
              </w:rPr>
              <w:t>Små och medelstora företag som inför marknadsförings- eller organisationsinnovationer</w:t>
            </w:r>
          </w:p>
        </w:tc>
        <w:tc>
          <w:tcPr>
            <w:tcW w:w="0" w:type="auto"/>
          </w:tcPr>
          <w:p w14:paraId="2D065FC6" w14:textId="77777777" w:rsidR="00A77B3E" w:rsidRPr="00800D1B" w:rsidRDefault="00623E14" w:rsidP="00B76590">
            <w:pPr>
              <w:spacing w:before="100" w:after="100"/>
              <w:ind w:left="-72"/>
              <w:rPr>
                <w:color w:val="000000"/>
                <w:sz w:val="20"/>
                <w:lang w:val="sv-SE"/>
              </w:rPr>
            </w:pPr>
            <w:r w:rsidRPr="00800D1B">
              <w:rPr>
                <w:color w:val="000000"/>
                <w:sz w:val="20"/>
                <w:lang w:val="sv-SE"/>
              </w:rPr>
              <w:t>företag</w:t>
            </w:r>
          </w:p>
        </w:tc>
        <w:tc>
          <w:tcPr>
            <w:tcW w:w="0" w:type="auto"/>
          </w:tcPr>
          <w:p w14:paraId="2D065FC7" w14:textId="77777777" w:rsidR="00A77B3E" w:rsidRPr="00800D1B" w:rsidRDefault="00623E14" w:rsidP="00B76590">
            <w:pPr>
              <w:spacing w:before="100" w:after="100"/>
              <w:ind w:left="-72"/>
              <w:jc w:val="right"/>
              <w:rPr>
                <w:color w:val="000000"/>
                <w:sz w:val="20"/>
                <w:lang w:val="sv-SE"/>
              </w:rPr>
            </w:pPr>
            <w:r w:rsidRPr="00800D1B">
              <w:rPr>
                <w:color w:val="000000"/>
                <w:sz w:val="20"/>
                <w:lang w:val="sv-SE"/>
              </w:rPr>
              <w:t>0,00</w:t>
            </w:r>
          </w:p>
        </w:tc>
        <w:tc>
          <w:tcPr>
            <w:tcW w:w="0" w:type="auto"/>
          </w:tcPr>
          <w:p w14:paraId="2D065FC8" w14:textId="77777777" w:rsidR="00A77B3E" w:rsidRPr="00800D1B" w:rsidRDefault="00623E14" w:rsidP="00B76590">
            <w:pPr>
              <w:spacing w:before="100" w:after="100"/>
              <w:ind w:left="-72"/>
              <w:jc w:val="center"/>
              <w:rPr>
                <w:color w:val="000000"/>
                <w:sz w:val="20"/>
                <w:lang w:val="sv-SE"/>
              </w:rPr>
            </w:pPr>
            <w:r w:rsidRPr="00800D1B">
              <w:rPr>
                <w:color w:val="000000"/>
                <w:sz w:val="20"/>
                <w:lang w:val="sv-SE"/>
              </w:rPr>
              <w:t>2021</w:t>
            </w:r>
          </w:p>
        </w:tc>
        <w:tc>
          <w:tcPr>
            <w:tcW w:w="0" w:type="auto"/>
          </w:tcPr>
          <w:p w14:paraId="2D065FC9" w14:textId="77777777" w:rsidR="00A77B3E" w:rsidRPr="00800D1B" w:rsidRDefault="00623E14" w:rsidP="00B76590">
            <w:pPr>
              <w:spacing w:before="100" w:after="100"/>
              <w:ind w:left="-72"/>
              <w:jc w:val="right"/>
              <w:rPr>
                <w:color w:val="000000"/>
                <w:sz w:val="20"/>
                <w:lang w:val="sv-SE"/>
              </w:rPr>
            </w:pPr>
            <w:r w:rsidRPr="00800D1B">
              <w:rPr>
                <w:color w:val="000000"/>
                <w:sz w:val="20"/>
                <w:lang w:val="sv-SE"/>
              </w:rPr>
              <w:t>4,00</w:t>
            </w:r>
          </w:p>
        </w:tc>
        <w:tc>
          <w:tcPr>
            <w:tcW w:w="0" w:type="auto"/>
          </w:tcPr>
          <w:p w14:paraId="2D065FCA" w14:textId="77777777" w:rsidR="00A77B3E" w:rsidRPr="00800D1B" w:rsidRDefault="00623E14" w:rsidP="00B76590">
            <w:pPr>
              <w:spacing w:before="100" w:after="100"/>
              <w:ind w:left="-72"/>
              <w:rPr>
                <w:color w:val="000000"/>
                <w:sz w:val="20"/>
                <w:lang w:val="sv-SE"/>
              </w:rPr>
            </w:pPr>
            <w:r w:rsidRPr="00800D1B">
              <w:rPr>
                <w:color w:val="000000"/>
                <w:sz w:val="20"/>
                <w:lang w:val="sv-SE"/>
              </w:rPr>
              <w:t>Projekt</w:t>
            </w:r>
          </w:p>
        </w:tc>
        <w:tc>
          <w:tcPr>
            <w:tcW w:w="0" w:type="auto"/>
          </w:tcPr>
          <w:p w14:paraId="2D065FCB" w14:textId="77777777" w:rsidR="00A77B3E" w:rsidRPr="00800D1B" w:rsidRDefault="00A77B3E" w:rsidP="00B76590">
            <w:pPr>
              <w:spacing w:before="100" w:after="100"/>
              <w:ind w:left="-72"/>
              <w:rPr>
                <w:color w:val="000000"/>
                <w:sz w:val="20"/>
                <w:lang w:val="sv-SE"/>
              </w:rPr>
            </w:pPr>
          </w:p>
        </w:tc>
      </w:tr>
      <w:tr w:rsidR="003422DB" w:rsidRPr="00800D1B" w14:paraId="2D065FD9" w14:textId="77777777" w:rsidTr="00B76590">
        <w:tc>
          <w:tcPr>
            <w:tcW w:w="0" w:type="auto"/>
          </w:tcPr>
          <w:p w14:paraId="2D065FCD" w14:textId="77777777" w:rsidR="00A77B3E" w:rsidRPr="00800D1B" w:rsidRDefault="00623E14" w:rsidP="00B76590">
            <w:pPr>
              <w:spacing w:before="100" w:after="100"/>
              <w:ind w:left="-72"/>
              <w:rPr>
                <w:color w:val="000000"/>
                <w:sz w:val="20"/>
                <w:lang w:val="sv-SE"/>
              </w:rPr>
            </w:pPr>
            <w:r w:rsidRPr="00800D1B">
              <w:rPr>
                <w:color w:val="000000"/>
                <w:sz w:val="20"/>
                <w:lang w:val="sv-SE"/>
              </w:rPr>
              <w:t>4</w:t>
            </w:r>
          </w:p>
        </w:tc>
        <w:tc>
          <w:tcPr>
            <w:tcW w:w="0" w:type="auto"/>
          </w:tcPr>
          <w:p w14:paraId="2D065FCE" w14:textId="77777777" w:rsidR="00A77B3E" w:rsidRPr="00800D1B" w:rsidRDefault="00623E14" w:rsidP="00B76590">
            <w:pPr>
              <w:spacing w:before="100" w:after="100"/>
              <w:ind w:left="-72"/>
              <w:rPr>
                <w:color w:val="000000"/>
                <w:sz w:val="20"/>
                <w:lang w:val="sv-SE"/>
              </w:rPr>
            </w:pPr>
            <w:r w:rsidRPr="00800D1B">
              <w:rPr>
                <w:color w:val="000000"/>
                <w:sz w:val="20"/>
                <w:lang w:val="sv-SE"/>
              </w:rPr>
              <w:t>RSO2.2</w:t>
            </w:r>
          </w:p>
        </w:tc>
        <w:tc>
          <w:tcPr>
            <w:tcW w:w="0" w:type="auto"/>
          </w:tcPr>
          <w:p w14:paraId="2D065FCF" w14:textId="77777777" w:rsidR="00A77B3E" w:rsidRPr="00800D1B" w:rsidRDefault="00623E14" w:rsidP="00B76590">
            <w:pPr>
              <w:spacing w:before="100" w:after="100"/>
              <w:ind w:left="-72"/>
              <w:rPr>
                <w:color w:val="000000"/>
                <w:sz w:val="20"/>
                <w:lang w:val="sv-SE"/>
              </w:rPr>
            </w:pPr>
            <w:r w:rsidRPr="00800D1B">
              <w:rPr>
                <w:color w:val="000000"/>
                <w:sz w:val="20"/>
                <w:lang w:val="sv-SE"/>
              </w:rPr>
              <w:t>Eruf</w:t>
            </w:r>
          </w:p>
        </w:tc>
        <w:tc>
          <w:tcPr>
            <w:tcW w:w="0" w:type="auto"/>
          </w:tcPr>
          <w:p w14:paraId="2D065FD0" w14:textId="77777777" w:rsidR="00A77B3E" w:rsidRPr="00800D1B" w:rsidRDefault="00623E14" w:rsidP="00B76590">
            <w:pPr>
              <w:spacing w:before="100" w:after="100"/>
              <w:ind w:left="-72"/>
              <w:rPr>
                <w:color w:val="000000"/>
                <w:sz w:val="20"/>
                <w:lang w:val="sv-SE"/>
              </w:rPr>
            </w:pPr>
            <w:r w:rsidRPr="00800D1B">
              <w:rPr>
                <w:color w:val="000000"/>
                <w:sz w:val="20"/>
                <w:lang w:val="sv-SE"/>
              </w:rPr>
              <w:t>Mer utvecklade regioner</w:t>
            </w:r>
          </w:p>
        </w:tc>
        <w:tc>
          <w:tcPr>
            <w:tcW w:w="0" w:type="auto"/>
          </w:tcPr>
          <w:p w14:paraId="2D065FD1" w14:textId="77777777" w:rsidR="00A77B3E" w:rsidRPr="00800D1B" w:rsidRDefault="00623E14" w:rsidP="00B76590">
            <w:pPr>
              <w:spacing w:before="100" w:after="100"/>
              <w:ind w:left="-72"/>
              <w:rPr>
                <w:color w:val="000000"/>
                <w:sz w:val="20"/>
                <w:lang w:val="sv-SE"/>
              </w:rPr>
            </w:pPr>
            <w:r w:rsidRPr="00800D1B">
              <w:rPr>
                <w:color w:val="000000"/>
                <w:sz w:val="20"/>
                <w:lang w:val="sv-SE"/>
              </w:rPr>
              <w:t>RCR05</w:t>
            </w:r>
          </w:p>
        </w:tc>
        <w:tc>
          <w:tcPr>
            <w:tcW w:w="0" w:type="auto"/>
          </w:tcPr>
          <w:p w14:paraId="2D065FD2" w14:textId="77777777" w:rsidR="00A77B3E" w:rsidRPr="00800D1B" w:rsidRDefault="00623E14" w:rsidP="008D35C9">
            <w:pPr>
              <w:spacing w:before="100" w:after="60"/>
              <w:ind w:left="-72"/>
              <w:rPr>
                <w:color w:val="000000"/>
                <w:sz w:val="20"/>
                <w:lang w:val="sv-SE"/>
              </w:rPr>
            </w:pPr>
            <w:r w:rsidRPr="00800D1B">
              <w:rPr>
                <w:color w:val="000000"/>
                <w:sz w:val="20"/>
                <w:lang w:val="sv-SE"/>
              </w:rPr>
              <w:t>Små och medelstora företag som gör innovationer inom företaget</w:t>
            </w:r>
          </w:p>
        </w:tc>
        <w:tc>
          <w:tcPr>
            <w:tcW w:w="0" w:type="auto"/>
          </w:tcPr>
          <w:p w14:paraId="2D065FD3" w14:textId="77777777" w:rsidR="00A77B3E" w:rsidRPr="00800D1B" w:rsidRDefault="00623E14" w:rsidP="00B76590">
            <w:pPr>
              <w:spacing w:before="100" w:after="100"/>
              <w:ind w:left="-72"/>
              <w:rPr>
                <w:color w:val="000000"/>
                <w:sz w:val="20"/>
                <w:lang w:val="sv-SE"/>
              </w:rPr>
            </w:pPr>
            <w:r w:rsidRPr="00800D1B">
              <w:rPr>
                <w:color w:val="000000"/>
                <w:sz w:val="20"/>
                <w:lang w:val="sv-SE"/>
              </w:rPr>
              <w:t>företag</w:t>
            </w:r>
          </w:p>
        </w:tc>
        <w:tc>
          <w:tcPr>
            <w:tcW w:w="0" w:type="auto"/>
          </w:tcPr>
          <w:p w14:paraId="2D065FD4" w14:textId="77777777" w:rsidR="00A77B3E" w:rsidRPr="00800D1B" w:rsidRDefault="00623E14" w:rsidP="00B76590">
            <w:pPr>
              <w:spacing w:before="100" w:after="100"/>
              <w:ind w:left="-72"/>
              <w:jc w:val="right"/>
              <w:rPr>
                <w:color w:val="000000"/>
                <w:sz w:val="20"/>
                <w:lang w:val="sv-SE"/>
              </w:rPr>
            </w:pPr>
            <w:r w:rsidRPr="00800D1B">
              <w:rPr>
                <w:color w:val="000000"/>
                <w:sz w:val="20"/>
                <w:lang w:val="sv-SE"/>
              </w:rPr>
              <w:t>0,00</w:t>
            </w:r>
          </w:p>
        </w:tc>
        <w:tc>
          <w:tcPr>
            <w:tcW w:w="0" w:type="auto"/>
          </w:tcPr>
          <w:p w14:paraId="2D065FD5" w14:textId="77777777" w:rsidR="00A77B3E" w:rsidRPr="00800D1B" w:rsidRDefault="00623E14" w:rsidP="00B76590">
            <w:pPr>
              <w:spacing w:before="100" w:after="100"/>
              <w:ind w:left="-72"/>
              <w:jc w:val="center"/>
              <w:rPr>
                <w:color w:val="000000"/>
                <w:sz w:val="20"/>
                <w:lang w:val="sv-SE"/>
              </w:rPr>
            </w:pPr>
            <w:r w:rsidRPr="00800D1B">
              <w:rPr>
                <w:color w:val="000000"/>
                <w:sz w:val="20"/>
                <w:lang w:val="sv-SE"/>
              </w:rPr>
              <w:t>2021</w:t>
            </w:r>
          </w:p>
        </w:tc>
        <w:tc>
          <w:tcPr>
            <w:tcW w:w="0" w:type="auto"/>
          </w:tcPr>
          <w:p w14:paraId="2D065FD6" w14:textId="77777777" w:rsidR="00A77B3E" w:rsidRPr="00800D1B" w:rsidRDefault="00623E14" w:rsidP="00B76590">
            <w:pPr>
              <w:spacing w:before="100" w:after="100"/>
              <w:ind w:left="-72"/>
              <w:jc w:val="right"/>
              <w:rPr>
                <w:color w:val="000000"/>
                <w:sz w:val="20"/>
                <w:lang w:val="sv-SE"/>
              </w:rPr>
            </w:pPr>
            <w:r w:rsidRPr="00800D1B">
              <w:rPr>
                <w:color w:val="000000"/>
                <w:sz w:val="20"/>
                <w:lang w:val="sv-SE"/>
              </w:rPr>
              <w:t>4,00</w:t>
            </w:r>
          </w:p>
        </w:tc>
        <w:tc>
          <w:tcPr>
            <w:tcW w:w="0" w:type="auto"/>
          </w:tcPr>
          <w:p w14:paraId="2D065FD7" w14:textId="77777777" w:rsidR="00A77B3E" w:rsidRPr="00800D1B" w:rsidRDefault="00623E14" w:rsidP="00B76590">
            <w:pPr>
              <w:spacing w:before="100" w:after="100"/>
              <w:ind w:left="-72"/>
              <w:rPr>
                <w:color w:val="000000"/>
                <w:sz w:val="20"/>
                <w:lang w:val="sv-SE"/>
              </w:rPr>
            </w:pPr>
            <w:r w:rsidRPr="00800D1B">
              <w:rPr>
                <w:color w:val="000000"/>
                <w:sz w:val="20"/>
                <w:lang w:val="sv-SE"/>
              </w:rPr>
              <w:t>Projekt</w:t>
            </w:r>
          </w:p>
        </w:tc>
        <w:tc>
          <w:tcPr>
            <w:tcW w:w="0" w:type="auto"/>
          </w:tcPr>
          <w:p w14:paraId="2D065FD8" w14:textId="77777777" w:rsidR="00A77B3E" w:rsidRPr="00800D1B" w:rsidRDefault="00A77B3E" w:rsidP="00B76590">
            <w:pPr>
              <w:spacing w:before="100" w:after="100"/>
              <w:ind w:left="-72"/>
              <w:rPr>
                <w:color w:val="000000"/>
                <w:sz w:val="20"/>
                <w:lang w:val="sv-SE"/>
              </w:rPr>
            </w:pPr>
          </w:p>
        </w:tc>
      </w:tr>
      <w:tr w:rsidR="003422DB" w:rsidRPr="00800D1B" w14:paraId="2D065FE6" w14:textId="77777777" w:rsidTr="00B76590">
        <w:tc>
          <w:tcPr>
            <w:tcW w:w="0" w:type="auto"/>
          </w:tcPr>
          <w:p w14:paraId="2D065FDA" w14:textId="77777777" w:rsidR="00A77B3E" w:rsidRPr="00800D1B" w:rsidRDefault="00623E14" w:rsidP="00B76590">
            <w:pPr>
              <w:spacing w:before="100" w:after="100"/>
              <w:ind w:left="-72"/>
              <w:rPr>
                <w:color w:val="000000"/>
                <w:sz w:val="20"/>
                <w:lang w:val="sv-SE"/>
              </w:rPr>
            </w:pPr>
            <w:r w:rsidRPr="00800D1B">
              <w:rPr>
                <w:color w:val="000000"/>
                <w:sz w:val="20"/>
                <w:lang w:val="sv-SE"/>
              </w:rPr>
              <w:t>4</w:t>
            </w:r>
          </w:p>
        </w:tc>
        <w:tc>
          <w:tcPr>
            <w:tcW w:w="0" w:type="auto"/>
          </w:tcPr>
          <w:p w14:paraId="2D065FDB" w14:textId="77777777" w:rsidR="00A77B3E" w:rsidRPr="00800D1B" w:rsidRDefault="00623E14" w:rsidP="00B76590">
            <w:pPr>
              <w:spacing w:before="100" w:after="100"/>
              <w:ind w:left="-72"/>
              <w:rPr>
                <w:color w:val="000000"/>
                <w:sz w:val="20"/>
                <w:lang w:val="sv-SE"/>
              </w:rPr>
            </w:pPr>
            <w:r w:rsidRPr="00800D1B">
              <w:rPr>
                <w:color w:val="000000"/>
                <w:sz w:val="20"/>
                <w:lang w:val="sv-SE"/>
              </w:rPr>
              <w:t>RSO2.2</w:t>
            </w:r>
          </w:p>
        </w:tc>
        <w:tc>
          <w:tcPr>
            <w:tcW w:w="0" w:type="auto"/>
          </w:tcPr>
          <w:p w14:paraId="2D065FDC" w14:textId="77777777" w:rsidR="00A77B3E" w:rsidRPr="00800D1B" w:rsidRDefault="00623E14" w:rsidP="00B76590">
            <w:pPr>
              <w:spacing w:before="100" w:after="100"/>
              <w:ind w:left="-72"/>
              <w:rPr>
                <w:color w:val="000000"/>
                <w:sz w:val="20"/>
                <w:lang w:val="sv-SE"/>
              </w:rPr>
            </w:pPr>
            <w:r w:rsidRPr="00800D1B">
              <w:rPr>
                <w:color w:val="000000"/>
                <w:sz w:val="20"/>
                <w:lang w:val="sv-SE"/>
              </w:rPr>
              <w:t>Eruf</w:t>
            </w:r>
          </w:p>
        </w:tc>
        <w:tc>
          <w:tcPr>
            <w:tcW w:w="0" w:type="auto"/>
          </w:tcPr>
          <w:p w14:paraId="2D065FDD" w14:textId="77777777" w:rsidR="00A77B3E" w:rsidRPr="00800D1B" w:rsidRDefault="00623E14" w:rsidP="00B76590">
            <w:pPr>
              <w:spacing w:before="100" w:after="100"/>
              <w:ind w:left="-72"/>
              <w:rPr>
                <w:color w:val="000000"/>
                <w:sz w:val="20"/>
                <w:lang w:val="sv-SE"/>
              </w:rPr>
            </w:pPr>
            <w:r w:rsidRPr="00800D1B">
              <w:rPr>
                <w:color w:val="000000"/>
                <w:sz w:val="20"/>
                <w:lang w:val="sv-SE"/>
              </w:rPr>
              <w:t>Mer utvecklade regioner</w:t>
            </w:r>
          </w:p>
        </w:tc>
        <w:tc>
          <w:tcPr>
            <w:tcW w:w="0" w:type="auto"/>
          </w:tcPr>
          <w:p w14:paraId="2D065FDE" w14:textId="77777777" w:rsidR="00A77B3E" w:rsidRPr="00800D1B" w:rsidRDefault="00623E14" w:rsidP="00B76590">
            <w:pPr>
              <w:spacing w:before="100" w:after="100"/>
              <w:ind w:left="-72"/>
              <w:rPr>
                <w:color w:val="000000"/>
                <w:sz w:val="20"/>
                <w:lang w:val="sv-SE"/>
              </w:rPr>
            </w:pPr>
            <w:r w:rsidRPr="00800D1B">
              <w:rPr>
                <w:color w:val="000000"/>
                <w:sz w:val="20"/>
                <w:lang w:val="sv-SE"/>
              </w:rPr>
              <w:t>RCR29</w:t>
            </w:r>
          </w:p>
        </w:tc>
        <w:tc>
          <w:tcPr>
            <w:tcW w:w="0" w:type="auto"/>
          </w:tcPr>
          <w:p w14:paraId="2D065FDF" w14:textId="77777777" w:rsidR="00A77B3E" w:rsidRPr="00800D1B" w:rsidRDefault="00623E14" w:rsidP="008D35C9">
            <w:pPr>
              <w:spacing w:before="100" w:after="60"/>
              <w:ind w:left="-72"/>
              <w:rPr>
                <w:color w:val="000000"/>
                <w:sz w:val="20"/>
                <w:lang w:val="sv-SE"/>
              </w:rPr>
            </w:pPr>
            <w:r w:rsidRPr="00800D1B">
              <w:rPr>
                <w:color w:val="000000"/>
                <w:sz w:val="20"/>
                <w:lang w:val="sv-SE"/>
              </w:rPr>
              <w:t>Uppskattade växthusgasutsläpp</w:t>
            </w:r>
          </w:p>
        </w:tc>
        <w:tc>
          <w:tcPr>
            <w:tcW w:w="0" w:type="auto"/>
          </w:tcPr>
          <w:p w14:paraId="2D065FE0" w14:textId="77777777" w:rsidR="00A77B3E" w:rsidRPr="00800D1B" w:rsidRDefault="00623E14" w:rsidP="00B76590">
            <w:pPr>
              <w:spacing w:before="100" w:after="100"/>
              <w:ind w:left="-72"/>
              <w:rPr>
                <w:color w:val="000000"/>
                <w:sz w:val="20"/>
                <w:lang w:val="sv-SE"/>
              </w:rPr>
            </w:pPr>
            <w:r w:rsidRPr="00800D1B">
              <w:rPr>
                <w:color w:val="000000"/>
                <w:sz w:val="20"/>
                <w:lang w:val="sv-SE"/>
              </w:rPr>
              <w:t>ton koldioxidekvivalenter/år</w:t>
            </w:r>
          </w:p>
        </w:tc>
        <w:tc>
          <w:tcPr>
            <w:tcW w:w="0" w:type="auto"/>
          </w:tcPr>
          <w:p w14:paraId="2D065FE1" w14:textId="77777777" w:rsidR="00A77B3E" w:rsidRPr="00800D1B" w:rsidRDefault="00623E14" w:rsidP="00B76590">
            <w:pPr>
              <w:spacing w:before="100" w:after="100"/>
              <w:ind w:left="-72"/>
              <w:jc w:val="right"/>
              <w:rPr>
                <w:color w:val="000000"/>
                <w:sz w:val="20"/>
                <w:lang w:val="sv-SE"/>
              </w:rPr>
            </w:pPr>
            <w:r w:rsidRPr="00800D1B">
              <w:rPr>
                <w:color w:val="000000"/>
                <w:sz w:val="20"/>
                <w:lang w:val="sv-SE"/>
              </w:rPr>
              <w:t>1 913 225,00</w:t>
            </w:r>
          </w:p>
        </w:tc>
        <w:tc>
          <w:tcPr>
            <w:tcW w:w="0" w:type="auto"/>
          </w:tcPr>
          <w:p w14:paraId="2D065FE2" w14:textId="77777777" w:rsidR="00A77B3E" w:rsidRPr="00800D1B" w:rsidRDefault="00623E14" w:rsidP="00B76590">
            <w:pPr>
              <w:spacing w:before="100" w:after="100"/>
              <w:ind w:left="-72"/>
              <w:jc w:val="center"/>
              <w:rPr>
                <w:color w:val="000000"/>
                <w:sz w:val="20"/>
                <w:lang w:val="sv-SE"/>
              </w:rPr>
            </w:pPr>
            <w:r w:rsidRPr="00800D1B">
              <w:rPr>
                <w:color w:val="000000"/>
                <w:sz w:val="20"/>
                <w:lang w:val="sv-SE"/>
              </w:rPr>
              <w:t>2020</w:t>
            </w:r>
          </w:p>
        </w:tc>
        <w:tc>
          <w:tcPr>
            <w:tcW w:w="0" w:type="auto"/>
          </w:tcPr>
          <w:p w14:paraId="2D065FE3" w14:textId="77777777" w:rsidR="00A77B3E" w:rsidRPr="00800D1B" w:rsidRDefault="00623E14" w:rsidP="00B76590">
            <w:pPr>
              <w:spacing w:before="100" w:after="100"/>
              <w:ind w:left="-72"/>
              <w:jc w:val="right"/>
              <w:rPr>
                <w:color w:val="000000"/>
                <w:sz w:val="20"/>
                <w:lang w:val="sv-SE"/>
              </w:rPr>
            </w:pPr>
            <w:r w:rsidRPr="00800D1B">
              <w:rPr>
                <w:color w:val="000000"/>
                <w:sz w:val="20"/>
                <w:lang w:val="sv-SE"/>
              </w:rPr>
              <w:t>1 849 306,00</w:t>
            </w:r>
          </w:p>
        </w:tc>
        <w:tc>
          <w:tcPr>
            <w:tcW w:w="0" w:type="auto"/>
          </w:tcPr>
          <w:p w14:paraId="2D065FE4" w14:textId="77777777" w:rsidR="00A77B3E" w:rsidRPr="00800D1B" w:rsidRDefault="00623E14" w:rsidP="00B76590">
            <w:pPr>
              <w:spacing w:before="100" w:after="100"/>
              <w:ind w:left="-72"/>
              <w:rPr>
                <w:color w:val="000000"/>
                <w:sz w:val="20"/>
                <w:lang w:val="sv-SE"/>
              </w:rPr>
            </w:pPr>
            <w:r w:rsidRPr="00800D1B">
              <w:rPr>
                <w:color w:val="000000"/>
                <w:sz w:val="20"/>
                <w:lang w:val="sv-SE"/>
              </w:rPr>
              <w:t>Projekt</w:t>
            </w:r>
          </w:p>
        </w:tc>
        <w:tc>
          <w:tcPr>
            <w:tcW w:w="0" w:type="auto"/>
          </w:tcPr>
          <w:p w14:paraId="2D065FE5" w14:textId="77777777" w:rsidR="00A77B3E" w:rsidRPr="00800D1B" w:rsidRDefault="00A77B3E" w:rsidP="00B76590">
            <w:pPr>
              <w:spacing w:before="100" w:after="100"/>
              <w:ind w:left="-72"/>
              <w:rPr>
                <w:color w:val="000000"/>
                <w:sz w:val="20"/>
                <w:lang w:val="sv-SE"/>
              </w:rPr>
            </w:pPr>
          </w:p>
        </w:tc>
      </w:tr>
      <w:tr w:rsidR="003422DB" w:rsidRPr="00800D1B" w14:paraId="2D065FF3" w14:textId="77777777" w:rsidTr="00B76590">
        <w:tc>
          <w:tcPr>
            <w:tcW w:w="0" w:type="auto"/>
          </w:tcPr>
          <w:p w14:paraId="2D065FE7" w14:textId="77777777" w:rsidR="00A77B3E" w:rsidRPr="00800D1B" w:rsidRDefault="00623E14" w:rsidP="00B76590">
            <w:pPr>
              <w:spacing w:before="100" w:after="100"/>
              <w:ind w:left="-72"/>
              <w:rPr>
                <w:color w:val="000000"/>
                <w:sz w:val="20"/>
                <w:lang w:val="sv-SE"/>
              </w:rPr>
            </w:pPr>
            <w:r w:rsidRPr="00800D1B">
              <w:rPr>
                <w:color w:val="000000"/>
                <w:sz w:val="20"/>
                <w:lang w:val="sv-SE"/>
              </w:rPr>
              <w:t>4</w:t>
            </w:r>
          </w:p>
        </w:tc>
        <w:tc>
          <w:tcPr>
            <w:tcW w:w="0" w:type="auto"/>
          </w:tcPr>
          <w:p w14:paraId="2D065FE8" w14:textId="77777777" w:rsidR="00A77B3E" w:rsidRPr="00800D1B" w:rsidRDefault="00623E14" w:rsidP="00B76590">
            <w:pPr>
              <w:spacing w:before="100" w:after="100"/>
              <w:ind w:left="-72"/>
              <w:rPr>
                <w:color w:val="000000"/>
                <w:sz w:val="20"/>
                <w:lang w:val="sv-SE"/>
              </w:rPr>
            </w:pPr>
            <w:r w:rsidRPr="00800D1B">
              <w:rPr>
                <w:color w:val="000000"/>
                <w:sz w:val="20"/>
                <w:lang w:val="sv-SE"/>
              </w:rPr>
              <w:t>RSO2.2</w:t>
            </w:r>
          </w:p>
        </w:tc>
        <w:tc>
          <w:tcPr>
            <w:tcW w:w="0" w:type="auto"/>
          </w:tcPr>
          <w:p w14:paraId="2D065FE9" w14:textId="77777777" w:rsidR="00A77B3E" w:rsidRPr="00800D1B" w:rsidRDefault="00623E14" w:rsidP="00B76590">
            <w:pPr>
              <w:spacing w:before="100" w:after="100"/>
              <w:ind w:left="-72"/>
              <w:rPr>
                <w:color w:val="000000"/>
                <w:sz w:val="20"/>
                <w:lang w:val="sv-SE"/>
              </w:rPr>
            </w:pPr>
            <w:r w:rsidRPr="00800D1B">
              <w:rPr>
                <w:color w:val="000000"/>
                <w:sz w:val="20"/>
                <w:lang w:val="sv-SE"/>
              </w:rPr>
              <w:t>Eruf</w:t>
            </w:r>
          </w:p>
        </w:tc>
        <w:tc>
          <w:tcPr>
            <w:tcW w:w="0" w:type="auto"/>
          </w:tcPr>
          <w:p w14:paraId="2D065FEA" w14:textId="77777777" w:rsidR="00A77B3E" w:rsidRPr="00800D1B" w:rsidRDefault="00623E14" w:rsidP="00B76590">
            <w:pPr>
              <w:spacing w:before="100" w:after="100"/>
              <w:ind w:left="-72"/>
              <w:rPr>
                <w:color w:val="000000"/>
                <w:sz w:val="20"/>
                <w:lang w:val="sv-SE"/>
              </w:rPr>
            </w:pPr>
            <w:r w:rsidRPr="00800D1B">
              <w:rPr>
                <w:color w:val="000000"/>
                <w:sz w:val="20"/>
                <w:lang w:val="sv-SE"/>
              </w:rPr>
              <w:t>Mer utvecklade regioner</w:t>
            </w:r>
          </w:p>
        </w:tc>
        <w:tc>
          <w:tcPr>
            <w:tcW w:w="0" w:type="auto"/>
          </w:tcPr>
          <w:p w14:paraId="2D065FEB" w14:textId="77777777" w:rsidR="00A77B3E" w:rsidRPr="00800D1B" w:rsidRDefault="00623E14" w:rsidP="00B76590">
            <w:pPr>
              <w:spacing w:before="100" w:after="100"/>
              <w:ind w:left="-72"/>
              <w:rPr>
                <w:color w:val="000000"/>
                <w:sz w:val="20"/>
                <w:lang w:val="sv-SE"/>
              </w:rPr>
            </w:pPr>
            <w:r w:rsidRPr="00800D1B">
              <w:rPr>
                <w:color w:val="000000"/>
                <w:sz w:val="20"/>
                <w:lang w:val="sv-SE"/>
              </w:rPr>
              <w:t>RCR32</w:t>
            </w:r>
          </w:p>
        </w:tc>
        <w:tc>
          <w:tcPr>
            <w:tcW w:w="0" w:type="auto"/>
          </w:tcPr>
          <w:p w14:paraId="2D065FEC" w14:textId="77777777" w:rsidR="00A77B3E" w:rsidRPr="00800D1B" w:rsidRDefault="00623E14" w:rsidP="008D35C9">
            <w:pPr>
              <w:spacing w:before="100" w:after="60"/>
              <w:ind w:left="-72"/>
              <w:rPr>
                <w:color w:val="000000"/>
                <w:sz w:val="20"/>
                <w:lang w:val="sv-SE"/>
              </w:rPr>
            </w:pPr>
            <w:r w:rsidRPr="00800D1B">
              <w:rPr>
                <w:color w:val="000000"/>
                <w:sz w:val="20"/>
                <w:lang w:val="sv-SE"/>
              </w:rPr>
              <w:t>Ytterligare operativ kapacitet installerad för förnybar energi</w:t>
            </w:r>
          </w:p>
        </w:tc>
        <w:tc>
          <w:tcPr>
            <w:tcW w:w="0" w:type="auto"/>
          </w:tcPr>
          <w:p w14:paraId="2D065FED" w14:textId="77777777" w:rsidR="00A77B3E" w:rsidRPr="00800D1B" w:rsidRDefault="00623E14" w:rsidP="00B76590">
            <w:pPr>
              <w:spacing w:before="100" w:after="100"/>
              <w:ind w:left="-72"/>
              <w:rPr>
                <w:color w:val="000000"/>
                <w:sz w:val="20"/>
                <w:lang w:val="sv-SE"/>
              </w:rPr>
            </w:pPr>
            <w:r w:rsidRPr="00800D1B">
              <w:rPr>
                <w:color w:val="000000"/>
                <w:sz w:val="20"/>
                <w:lang w:val="sv-SE"/>
              </w:rPr>
              <w:t>MW</w:t>
            </w:r>
          </w:p>
        </w:tc>
        <w:tc>
          <w:tcPr>
            <w:tcW w:w="0" w:type="auto"/>
          </w:tcPr>
          <w:p w14:paraId="2D065FEE" w14:textId="77777777" w:rsidR="00A77B3E" w:rsidRPr="00800D1B" w:rsidRDefault="00623E14" w:rsidP="00B76590">
            <w:pPr>
              <w:spacing w:before="100" w:after="100"/>
              <w:ind w:left="-72"/>
              <w:jc w:val="right"/>
              <w:rPr>
                <w:color w:val="000000"/>
                <w:sz w:val="20"/>
                <w:lang w:val="sv-SE"/>
              </w:rPr>
            </w:pPr>
            <w:r w:rsidRPr="00800D1B">
              <w:rPr>
                <w:color w:val="000000"/>
                <w:sz w:val="20"/>
                <w:lang w:val="sv-SE"/>
              </w:rPr>
              <w:t>0,00</w:t>
            </w:r>
          </w:p>
        </w:tc>
        <w:tc>
          <w:tcPr>
            <w:tcW w:w="0" w:type="auto"/>
          </w:tcPr>
          <w:p w14:paraId="2D065FEF" w14:textId="77777777" w:rsidR="00A77B3E" w:rsidRPr="00800D1B" w:rsidRDefault="00623E14" w:rsidP="00B76590">
            <w:pPr>
              <w:spacing w:before="100" w:after="100"/>
              <w:ind w:left="-72"/>
              <w:jc w:val="center"/>
              <w:rPr>
                <w:color w:val="000000"/>
                <w:sz w:val="20"/>
                <w:lang w:val="sv-SE"/>
              </w:rPr>
            </w:pPr>
            <w:r w:rsidRPr="00800D1B">
              <w:rPr>
                <w:color w:val="000000"/>
                <w:sz w:val="20"/>
                <w:lang w:val="sv-SE"/>
              </w:rPr>
              <w:t>2021</w:t>
            </w:r>
          </w:p>
        </w:tc>
        <w:tc>
          <w:tcPr>
            <w:tcW w:w="0" w:type="auto"/>
          </w:tcPr>
          <w:p w14:paraId="2D065FF0" w14:textId="77777777" w:rsidR="00A77B3E" w:rsidRPr="00800D1B" w:rsidRDefault="00623E14" w:rsidP="00B76590">
            <w:pPr>
              <w:spacing w:before="100" w:after="100"/>
              <w:ind w:left="-72"/>
              <w:jc w:val="right"/>
              <w:rPr>
                <w:color w:val="000000"/>
                <w:sz w:val="20"/>
                <w:lang w:val="sv-SE"/>
              </w:rPr>
            </w:pPr>
            <w:r w:rsidRPr="00800D1B">
              <w:rPr>
                <w:color w:val="000000"/>
                <w:sz w:val="20"/>
                <w:lang w:val="sv-SE"/>
              </w:rPr>
              <w:t>89,40</w:t>
            </w:r>
          </w:p>
        </w:tc>
        <w:tc>
          <w:tcPr>
            <w:tcW w:w="0" w:type="auto"/>
          </w:tcPr>
          <w:p w14:paraId="2D065FF1" w14:textId="77777777" w:rsidR="00A77B3E" w:rsidRPr="00800D1B" w:rsidRDefault="00623E14" w:rsidP="00B76590">
            <w:pPr>
              <w:spacing w:before="100" w:after="100"/>
              <w:ind w:left="-72"/>
              <w:rPr>
                <w:color w:val="000000"/>
                <w:sz w:val="20"/>
                <w:lang w:val="sv-SE"/>
              </w:rPr>
            </w:pPr>
            <w:r w:rsidRPr="00800D1B">
              <w:rPr>
                <w:color w:val="000000"/>
                <w:sz w:val="20"/>
                <w:lang w:val="sv-SE"/>
              </w:rPr>
              <w:t>Projekt</w:t>
            </w:r>
          </w:p>
        </w:tc>
        <w:tc>
          <w:tcPr>
            <w:tcW w:w="0" w:type="auto"/>
          </w:tcPr>
          <w:p w14:paraId="2D065FF2" w14:textId="77777777" w:rsidR="00A77B3E" w:rsidRPr="00800D1B" w:rsidRDefault="00A77B3E" w:rsidP="00B76590">
            <w:pPr>
              <w:spacing w:before="100" w:after="100"/>
              <w:ind w:left="-72"/>
              <w:rPr>
                <w:color w:val="000000"/>
                <w:sz w:val="20"/>
                <w:lang w:val="sv-SE"/>
              </w:rPr>
            </w:pPr>
          </w:p>
        </w:tc>
      </w:tr>
      <w:tr w:rsidR="003422DB" w:rsidRPr="00800D1B" w14:paraId="2D066000" w14:textId="77777777" w:rsidTr="00B76590">
        <w:tc>
          <w:tcPr>
            <w:tcW w:w="0" w:type="auto"/>
          </w:tcPr>
          <w:p w14:paraId="2D065FF4" w14:textId="77777777" w:rsidR="00A77B3E" w:rsidRPr="00800D1B" w:rsidRDefault="00623E14" w:rsidP="00B76590">
            <w:pPr>
              <w:spacing w:before="100" w:after="100"/>
              <w:ind w:left="-72"/>
              <w:rPr>
                <w:color w:val="000000"/>
                <w:sz w:val="20"/>
                <w:lang w:val="sv-SE"/>
              </w:rPr>
            </w:pPr>
            <w:r w:rsidRPr="00800D1B">
              <w:rPr>
                <w:color w:val="000000"/>
                <w:sz w:val="20"/>
                <w:lang w:val="sv-SE"/>
              </w:rPr>
              <w:t>4</w:t>
            </w:r>
          </w:p>
        </w:tc>
        <w:tc>
          <w:tcPr>
            <w:tcW w:w="0" w:type="auto"/>
          </w:tcPr>
          <w:p w14:paraId="2D065FF5" w14:textId="77777777" w:rsidR="00A77B3E" w:rsidRPr="00800D1B" w:rsidRDefault="00623E14" w:rsidP="00B76590">
            <w:pPr>
              <w:spacing w:before="100" w:after="100"/>
              <w:ind w:left="-72"/>
              <w:rPr>
                <w:color w:val="000000"/>
                <w:sz w:val="20"/>
                <w:lang w:val="sv-SE"/>
              </w:rPr>
            </w:pPr>
            <w:r w:rsidRPr="00800D1B">
              <w:rPr>
                <w:color w:val="000000"/>
                <w:sz w:val="20"/>
                <w:lang w:val="sv-SE"/>
              </w:rPr>
              <w:t>RSO2.2</w:t>
            </w:r>
          </w:p>
        </w:tc>
        <w:tc>
          <w:tcPr>
            <w:tcW w:w="0" w:type="auto"/>
          </w:tcPr>
          <w:p w14:paraId="2D065FF6" w14:textId="77777777" w:rsidR="00A77B3E" w:rsidRPr="00800D1B" w:rsidRDefault="00623E14" w:rsidP="00B76590">
            <w:pPr>
              <w:spacing w:before="100" w:after="100"/>
              <w:ind w:left="-72"/>
              <w:rPr>
                <w:color w:val="000000"/>
                <w:sz w:val="20"/>
                <w:lang w:val="sv-SE"/>
              </w:rPr>
            </w:pPr>
            <w:r w:rsidRPr="00800D1B">
              <w:rPr>
                <w:color w:val="000000"/>
                <w:sz w:val="20"/>
                <w:lang w:val="sv-SE"/>
              </w:rPr>
              <w:t>Eruf</w:t>
            </w:r>
          </w:p>
        </w:tc>
        <w:tc>
          <w:tcPr>
            <w:tcW w:w="0" w:type="auto"/>
          </w:tcPr>
          <w:p w14:paraId="2D065FF7" w14:textId="77777777" w:rsidR="00A77B3E" w:rsidRPr="00800D1B" w:rsidRDefault="00623E14" w:rsidP="00B76590">
            <w:pPr>
              <w:spacing w:before="100" w:after="100"/>
              <w:ind w:left="-72"/>
              <w:rPr>
                <w:color w:val="000000"/>
                <w:sz w:val="20"/>
                <w:lang w:val="sv-SE"/>
              </w:rPr>
            </w:pPr>
            <w:r w:rsidRPr="00800D1B">
              <w:rPr>
                <w:color w:val="000000"/>
                <w:sz w:val="20"/>
                <w:lang w:val="sv-SE"/>
              </w:rPr>
              <w:t>Mer utvecklade regioner</w:t>
            </w:r>
          </w:p>
        </w:tc>
        <w:tc>
          <w:tcPr>
            <w:tcW w:w="0" w:type="auto"/>
          </w:tcPr>
          <w:p w14:paraId="2D065FF8" w14:textId="77777777" w:rsidR="00A77B3E" w:rsidRPr="00800D1B" w:rsidRDefault="00623E14" w:rsidP="00B76590">
            <w:pPr>
              <w:spacing w:before="100" w:after="100"/>
              <w:ind w:left="-72"/>
              <w:rPr>
                <w:color w:val="000000"/>
                <w:sz w:val="20"/>
                <w:lang w:val="sv-SE"/>
              </w:rPr>
            </w:pPr>
            <w:r w:rsidRPr="00800D1B">
              <w:rPr>
                <w:color w:val="000000"/>
                <w:sz w:val="20"/>
                <w:lang w:val="sv-SE"/>
              </w:rPr>
              <w:t>SWR05</w:t>
            </w:r>
          </w:p>
        </w:tc>
        <w:tc>
          <w:tcPr>
            <w:tcW w:w="0" w:type="auto"/>
          </w:tcPr>
          <w:p w14:paraId="2D065FF9" w14:textId="77777777" w:rsidR="00A77B3E" w:rsidRPr="00800D1B" w:rsidRDefault="00623E14" w:rsidP="008D35C9">
            <w:pPr>
              <w:spacing w:before="100" w:after="60"/>
              <w:ind w:left="-72"/>
              <w:rPr>
                <w:color w:val="000000"/>
                <w:sz w:val="20"/>
                <w:lang w:val="sv-SE"/>
              </w:rPr>
            </w:pPr>
            <w:r w:rsidRPr="00800D1B">
              <w:rPr>
                <w:color w:val="000000"/>
                <w:sz w:val="20"/>
                <w:lang w:val="sv-SE"/>
              </w:rPr>
              <w:t>Användare av färdigställd miljö/infrastruktur</w:t>
            </w:r>
          </w:p>
        </w:tc>
        <w:tc>
          <w:tcPr>
            <w:tcW w:w="0" w:type="auto"/>
          </w:tcPr>
          <w:p w14:paraId="2D065FFA" w14:textId="77777777" w:rsidR="00A77B3E" w:rsidRPr="00800D1B" w:rsidRDefault="00623E14" w:rsidP="00B76590">
            <w:pPr>
              <w:spacing w:before="100" w:after="100"/>
              <w:ind w:left="-72"/>
              <w:rPr>
                <w:color w:val="000000"/>
                <w:sz w:val="20"/>
                <w:lang w:val="sv-SE"/>
              </w:rPr>
            </w:pPr>
            <w:r w:rsidRPr="00800D1B">
              <w:rPr>
                <w:color w:val="000000"/>
                <w:sz w:val="20"/>
                <w:lang w:val="sv-SE"/>
              </w:rPr>
              <w:t>Användare</w:t>
            </w:r>
          </w:p>
        </w:tc>
        <w:tc>
          <w:tcPr>
            <w:tcW w:w="0" w:type="auto"/>
          </w:tcPr>
          <w:p w14:paraId="2D065FFB" w14:textId="77777777" w:rsidR="00A77B3E" w:rsidRPr="00800D1B" w:rsidRDefault="00623E14" w:rsidP="00B76590">
            <w:pPr>
              <w:spacing w:before="100" w:after="100"/>
              <w:ind w:left="-72"/>
              <w:jc w:val="right"/>
              <w:rPr>
                <w:color w:val="000000"/>
                <w:sz w:val="20"/>
                <w:lang w:val="sv-SE"/>
              </w:rPr>
            </w:pPr>
            <w:r w:rsidRPr="00800D1B">
              <w:rPr>
                <w:color w:val="000000"/>
                <w:sz w:val="20"/>
                <w:lang w:val="sv-SE"/>
              </w:rPr>
              <w:t>0,00</w:t>
            </w:r>
          </w:p>
        </w:tc>
        <w:tc>
          <w:tcPr>
            <w:tcW w:w="0" w:type="auto"/>
          </w:tcPr>
          <w:p w14:paraId="2D065FFC" w14:textId="77777777" w:rsidR="00A77B3E" w:rsidRPr="00800D1B" w:rsidRDefault="00623E14" w:rsidP="00B76590">
            <w:pPr>
              <w:spacing w:before="100" w:after="100"/>
              <w:ind w:left="-72"/>
              <w:jc w:val="center"/>
              <w:rPr>
                <w:color w:val="000000"/>
                <w:sz w:val="20"/>
                <w:lang w:val="sv-SE"/>
              </w:rPr>
            </w:pPr>
            <w:r w:rsidRPr="00800D1B">
              <w:rPr>
                <w:color w:val="000000"/>
                <w:sz w:val="20"/>
                <w:lang w:val="sv-SE"/>
              </w:rPr>
              <w:t>2021</w:t>
            </w:r>
          </w:p>
        </w:tc>
        <w:tc>
          <w:tcPr>
            <w:tcW w:w="0" w:type="auto"/>
          </w:tcPr>
          <w:p w14:paraId="2D065FFD" w14:textId="77777777" w:rsidR="00A77B3E" w:rsidRPr="00800D1B" w:rsidRDefault="00623E14" w:rsidP="00B76590">
            <w:pPr>
              <w:spacing w:before="100" w:after="100"/>
              <w:ind w:left="-72"/>
              <w:jc w:val="right"/>
              <w:rPr>
                <w:color w:val="000000"/>
                <w:sz w:val="20"/>
                <w:lang w:val="sv-SE"/>
              </w:rPr>
            </w:pPr>
            <w:r w:rsidRPr="00800D1B">
              <w:rPr>
                <w:color w:val="000000"/>
                <w:sz w:val="20"/>
                <w:lang w:val="sv-SE"/>
              </w:rPr>
              <w:t>12,00</w:t>
            </w:r>
          </w:p>
        </w:tc>
        <w:tc>
          <w:tcPr>
            <w:tcW w:w="0" w:type="auto"/>
          </w:tcPr>
          <w:p w14:paraId="2D065FFE" w14:textId="77777777" w:rsidR="00A77B3E" w:rsidRPr="00800D1B" w:rsidRDefault="00623E14" w:rsidP="00B76590">
            <w:pPr>
              <w:spacing w:before="100" w:after="100"/>
              <w:ind w:left="-72"/>
              <w:rPr>
                <w:color w:val="000000"/>
                <w:sz w:val="20"/>
                <w:lang w:val="sv-SE"/>
              </w:rPr>
            </w:pPr>
            <w:r w:rsidRPr="00800D1B">
              <w:rPr>
                <w:color w:val="000000"/>
                <w:sz w:val="20"/>
                <w:lang w:val="sv-SE"/>
              </w:rPr>
              <w:t>Projekt</w:t>
            </w:r>
          </w:p>
        </w:tc>
        <w:tc>
          <w:tcPr>
            <w:tcW w:w="0" w:type="auto"/>
          </w:tcPr>
          <w:p w14:paraId="2D065FFF" w14:textId="77777777" w:rsidR="00A77B3E" w:rsidRPr="00800D1B" w:rsidRDefault="00A77B3E" w:rsidP="00B76590">
            <w:pPr>
              <w:spacing w:before="100" w:after="100"/>
              <w:ind w:left="-72"/>
              <w:rPr>
                <w:color w:val="000000"/>
                <w:sz w:val="20"/>
                <w:lang w:val="sv-SE"/>
              </w:rPr>
            </w:pPr>
          </w:p>
        </w:tc>
      </w:tr>
      <w:tr w:rsidR="003422DB" w:rsidRPr="00800D1B" w14:paraId="2D06600D" w14:textId="77777777" w:rsidTr="00B76590">
        <w:tc>
          <w:tcPr>
            <w:tcW w:w="0" w:type="auto"/>
          </w:tcPr>
          <w:p w14:paraId="2D066001" w14:textId="77777777" w:rsidR="00A77B3E" w:rsidRPr="00800D1B" w:rsidRDefault="00623E14" w:rsidP="00B76590">
            <w:pPr>
              <w:spacing w:before="100" w:after="100"/>
              <w:ind w:left="-72"/>
              <w:rPr>
                <w:color w:val="000000"/>
                <w:sz w:val="20"/>
                <w:lang w:val="sv-SE"/>
              </w:rPr>
            </w:pPr>
            <w:r w:rsidRPr="00800D1B">
              <w:rPr>
                <w:color w:val="000000"/>
                <w:sz w:val="20"/>
                <w:lang w:val="sv-SE"/>
              </w:rPr>
              <w:t>4</w:t>
            </w:r>
          </w:p>
        </w:tc>
        <w:tc>
          <w:tcPr>
            <w:tcW w:w="0" w:type="auto"/>
          </w:tcPr>
          <w:p w14:paraId="2D066002" w14:textId="77777777" w:rsidR="00A77B3E" w:rsidRPr="00800D1B" w:rsidRDefault="00623E14" w:rsidP="00B76590">
            <w:pPr>
              <w:spacing w:before="100" w:after="100"/>
              <w:ind w:left="-72"/>
              <w:rPr>
                <w:color w:val="000000"/>
                <w:sz w:val="20"/>
                <w:lang w:val="sv-SE"/>
              </w:rPr>
            </w:pPr>
            <w:r w:rsidRPr="00800D1B">
              <w:rPr>
                <w:color w:val="000000"/>
                <w:sz w:val="20"/>
                <w:lang w:val="sv-SE"/>
              </w:rPr>
              <w:t>RSO2.2</w:t>
            </w:r>
          </w:p>
        </w:tc>
        <w:tc>
          <w:tcPr>
            <w:tcW w:w="0" w:type="auto"/>
          </w:tcPr>
          <w:p w14:paraId="2D066003" w14:textId="77777777" w:rsidR="00A77B3E" w:rsidRPr="00800D1B" w:rsidRDefault="00623E14" w:rsidP="00B76590">
            <w:pPr>
              <w:spacing w:before="100" w:after="100"/>
              <w:ind w:left="-72"/>
              <w:rPr>
                <w:color w:val="000000"/>
                <w:sz w:val="20"/>
                <w:lang w:val="sv-SE"/>
              </w:rPr>
            </w:pPr>
            <w:r w:rsidRPr="00800D1B">
              <w:rPr>
                <w:color w:val="000000"/>
                <w:sz w:val="20"/>
                <w:lang w:val="sv-SE"/>
              </w:rPr>
              <w:t>Eruf</w:t>
            </w:r>
          </w:p>
        </w:tc>
        <w:tc>
          <w:tcPr>
            <w:tcW w:w="0" w:type="auto"/>
          </w:tcPr>
          <w:p w14:paraId="2D066004" w14:textId="77777777" w:rsidR="00A77B3E" w:rsidRPr="00800D1B" w:rsidRDefault="00623E14" w:rsidP="00B76590">
            <w:pPr>
              <w:spacing w:before="100" w:after="100"/>
              <w:ind w:left="-72"/>
              <w:rPr>
                <w:color w:val="000000"/>
                <w:sz w:val="20"/>
                <w:lang w:val="sv-SE"/>
              </w:rPr>
            </w:pPr>
            <w:r w:rsidRPr="00800D1B">
              <w:rPr>
                <w:color w:val="000000"/>
                <w:sz w:val="20"/>
                <w:lang w:val="sv-SE"/>
              </w:rPr>
              <w:t>Mer utvecklade regioner</w:t>
            </w:r>
          </w:p>
        </w:tc>
        <w:tc>
          <w:tcPr>
            <w:tcW w:w="0" w:type="auto"/>
          </w:tcPr>
          <w:p w14:paraId="2D066005" w14:textId="77777777" w:rsidR="00A77B3E" w:rsidRPr="00800D1B" w:rsidRDefault="00623E14" w:rsidP="00B76590">
            <w:pPr>
              <w:spacing w:before="100" w:after="100"/>
              <w:ind w:left="-72"/>
              <w:rPr>
                <w:color w:val="000000"/>
                <w:sz w:val="20"/>
                <w:lang w:val="sv-SE"/>
              </w:rPr>
            </w:pPr>
            <w:r w:rsidRPr="00800D1B">
              <w:rPr>
                <w:color w:val="000000"/>
                <w:sz w:val="20"/>
                <w:lang w:val="sv-SE"/>
              </w:rPr>
              <w:t>SWR01</w:t>
            </w:r>
          </w:p>
        </w:tc>
        <w:tc>
          <w:tcPr>
            <w:tcW w:w="0" w:type="auto"/>
          </w:tcPr>
          <w:p w14:paraId="2D066006" w14:textId="5627F44F" w:rsidR="00A77B3E" w:rsidRPr="00800D1B" w:rsidRDefault="00623E14" w:rsidP="008D35C9">
            <w:pPr>
              <w:spacing w:before="100" w:after="60"/>
              <w:ind w:left="-72"/>
              <w:rPr>
                <w:color w:val="000000"/>
                <w:sz w:val="20"/>
                <w:lang w:val="sv-SE"/>
              </w:rPr>
            </w:pPr>
            <w:r w:rsidRPr="00800D1B">
              <w:rPr>
                <w:color w:val="000000"/>
                <w:sz w:val="20"/>
                <w:lang w:val="sv-SE"/>
              </w:rPr>
              <w:t>Antal företag som utvecklar produkter, processer och affärsmodeller</w:t>
            </w:r>
            <w:r w:rsidR="00CF74CB" w:rsidRPr="00800D1B">
              <w:rPr>
                <w:color w:val="000000"/>
                <w:sz w:val="20"/>
                <w:lang w:val="sv-SE"/>
              </w:rPr>
              <w:t xml:space="preserve"> </w:t>
            </w:r>
          </w:p>
        </w:tc>
        <w:tc>
          <w:tcPr>
            <w:tcW w:w="0" w:type="auto"/>
          </w:tcPr>
          <w:p w14:paraId="2D066007" w14:textId="77777777" w:rsidR="00A77B3E" w:rsidRPr="00800D1B" w:rsidRDefault="00623E14" w:rsidP="00B76590">
            <w:pPr>
              <w:spacing w:before="100" w:after="100"/>
              <w:ind w:left="-72"/>
              <w:rPr>
                <w:color w:val="000000"/>
                <w:sz w:val="20"/>
                <w:lang w:val="sv-SE"/>
              </w:rPr>
            </w:pPr>
            <w:r w:rsidRPr="00800D1B">
              <w:rPr>
                <w:color w:val="000000"/>
                <w:sz w:val="20"/>
                <w:lang w:val="sv-SE"/>
              </w:rPr>
              <w:t>Företag</w:t>
            </w:r>
          </w:p>
        </w:tc>
        <w:tc>
          <w:tcPr>
            <w:tcW w:w="0" w:type="auto"/>
          </w:tcPr>
          <w:p w14:paraId="2D066008" w14:textId="77777777" w:rsidR="00A77B3E" w:rsidRPr="00800D1B" w:rsidRDefault="00623E14" w:rsidP="00B76590">
            <w:pPr>
              <w:spacing w:before="100" w:after="100"/>
              <w:ind w:left="-72"/>
              <w:jc w:val="right"/>
              <w:rPr>
                <w:color w:val="000000"/>
                <w:sz w:val="20"/>
                <w:lang w:val="sv-SE"/>
              </w:rPr>
            </w:pPr>
            <w:r w:rsidRPr="00800D1B">
              <w:rPr>
                <w:color w:val="000000"/>
                <w:sz w:val="20"/>
                <w:lang w:val="sv-SE"/>
              </w:rPr>
              <w:t>0,00</w:t>
            </w:r>
          </w:p>
        </w:tc>
        <w:tc>
          <w:tcPr>
            <w:tcW w:w="0" w:type="auto"/>
          </w:tcPr>
          <w:p w14:paraId="2D066009" w14:textId="77777777" w:rsidR="00A77B3E" w:rsidRPr="00800D1B" w:rsidRDefault="00A77B3E" w:rsidP="00B76590">
            <w:pPr>
              <w:spacing w:before="100" w:after="100"/>
              <w:ind w:left="-72"/>
              <w:jc w:val="center"/>
              <w:rPr>
                <w:color w:val="000000"/>
                <w:sz w:val="20"/>
                <w:lang w:val="sv-SE"/>
              </w:rPr>
            </w:pPr>
          </w:p>
        </w:tc>
        <w:tc>
          <w:tcPr>
            <w:tcW w:w="0" w:type="auto"/>
          </w:tcPr>
          <w:p w14:paraId="2D06600A" w14:textId="77777777" w:rsidR="00A77B3E" w:rsidRPr="00800D1B" w:rsidRDefault="00623E14" w:rsidP="00B76590">
            <w:pPr>
              <w:spacing w:before="100" w:after="100"/>
              <w:ind w:left="-72"/>
              <w:jc w:val="right"/>
              <w:rPr>
                <w:color w:val="000000"/>
                <w:sz w:val="20"/>
                <w:lang w:val="sv-SE"/>
              </w:rPr>
            </w:pPr>
            <w:r w:rsidRPr="00800D1B">
              <w:rPr>
                <w:color w:val="000000"/>
                <w:sz w:val="20"/>
                <w:lang w:val="sv-SE"/>
              </w:rPr>
              <w:t>30,00</w:t>
            </w:r>
          </w:p>
        </w:tc>
        <w:tc>
          <w:tcPr>
            <w:tcW w:w="0" w:type="auto"/>
          </w:tcPr>
          <w:p w14:paraId="2D06600B" w14:textId="77777777" w:rsidR="00A77B3E" w:rsidRPr="00800D1B" w:rsidRDefault="00623E14" w:rsidP="00B76590">
            <w:pPr>
              <w:spacing w:before="100" w:after="100"/>
              <w:ind w:left="-72"/>
              <w:rPr>
                <w:color w:val="000000"/>
                <w:sz w:val="20"/>
                <w:lang w:val="sv-SE"/>
              </w:rPr>
            </w:pPr>
            <w:r w:rsidRPr="00800D1B">
              <w:rPr>
                <w:color w:val="000000"/>
                <w:sz w:val="20"/>
                <w:lang w:val="sv-SE"/>
              </w:rPr>
              <w:t>Projekt</w:t>
            </w:r>
          </w:p>
        </w:tc>
        <w:tc>
          <w:tcPr>
            <w:tcW w:w="0" w:type="auto"/>
          </w:tcPr>
          <w:p w14:paraId="2D06600C" w14:textId="77777777" w:rsidR="00A77B3E" w:rsidRPr="00800D1B" w:rsidRDefault="00A77B3E" w:rsidP="00B76590">
            <w:pPr>
              <w:spacing w:before="100" w:after="100"/>
              <w:ind w:left="-72"/>
              <w:rPr>
                <w:color w:val="000000"/>
                <w:sz w:val="20"/>
                <w:lang w:val="sv-SE"/>
              </w:rPr>
            </w:pPr>
          </w:p>
        </w:tc>
      </w:tr>
      <w:tr w:rsidR="003422DB" w:rsidRPr="00800D1B" w14:paraId="2D06601A" w14:textId="77777777" w:rsidTr="00B76590">
        <w:tc>
          <w:tcPr>
            <w:tcW w:w="0" w:type="auto"/>
          </w:tcPr>
          <w:p w14:paraId="2D06600E" w14:textId="77777777" w:rsidR="00A77B3E" w:rsidRPr="00800D1B" w:rsidRDefault="00623E14" w:rsidP="00B76590">
            <w:pPr>
              <w:spacing w:before="100" w:after="100"/>
              <w:ind w:left="-72"/>
              <w:rPr>
                <w:color w:val="000000"/>
                <w:sz w:val="20"/>
                <w:lang w:val="sv-SE"/>
              </w:rPr>
            </w:pPr>
            <w:r w:rsidRPr="00800D1B">
              <w:rPr>
                <w:color w:val="000000"/>
                <w:sz w:val="20"/>
                <w:lang w:val="sv-SE"/>
              </w:rPr>
              <w:t>4</w:t>
            </w:r>
          </w:p>
        </w:tc>
        <w:tc>
          <w:tcPr>
            <w:tcW w:w="0" w:type="auto"/>
          </w:tcPr>
          <w:p w14:paraId="2D06600F" w14:textId="77777777" w:rsidR="00A77B3E" w:rsidRPr="00800D1B" w:rsidRDefault="00623E14" w:rsidP="00B76590">
            <w:pPr>
              <w:spacing w:before="100" w:after="100"/>
              <w:ind w:left="-72"/>
              <w:rPr>
                <w:color w:val="000000"/>
                <w:sz w:val="20"/>
                <w:lang w:val="sv-SE"/>
              </w:rPr>
            </w:pPr>
            <w:r w:rsidRPr="00800D1B">
              <w:rPr>
                <w:color w:val="000000"/>
                <w:sz w:val="20"/>
                <w:lang w:val="sv-SE"/>
              </w:rPr>
              <w:t>RSO2.2</w:t>
            </w:r>
          </w:p>
        </w:tc>
        <w:tc>
          <w:tcPr>
            <w:tcW w:w="0" w:type="auto"/>
          </w:tcPr>
          <w:p w14:paraId="2D066010" w14:textId="77777777" w:rsidR="00A77B3E" w:rsidRPr="00800D1B" w:rsidRDefault="00623E14" w:rsidP="00B76590">
            <w:pPr>
              <w:spacing w:before="100" w:after="100"/>
              <w:ind w:left="-72"/>
              <w:rPr>
                <w:color w:val="000000"/>
                <w:sz w:val="20"/>
                <w:lang w:val="sv-SE"/>
              </w:rPr>
            </w:pPr>
            <w:r w:rsidRPr="00800D1B">
              <w:rPr>
                <w:color w:val="000000"/>
                <w:sz w:val="20"/>
                <w:lang w:val="sv-SE"/>
              </w:rPr>
              <w:t>Eruf</w:t>
            </w:r>
          </w:p>
        </w:tc>
        <w:tc>
          <w:tcPr>
            <w:tcW w:w="0" w:type="auto"/>
          </w:tcPr>
          <w:p w14:paraId="2D066011" w14:textId="77777777" w:rsidR="00A77B3E" w:rsidRPr="00800D1B" w:rsidRDefault="00623E14" w:rsidP="00B76590">
            <w:pPr>
              <w:spacing w:before="100" w:after="100"/>
              <w:ind w:left="-72"/>
              <w:rPr>
                <w:color w:val="000000"/>
                <w:sz w:val="20"/>
                <w:lang w:val="sv-SE"/>
              </w:rPr>
            </w:pPr>
            <w:r w:rsidRPr="00800D1B">
              <w:rPr>
                <w:color w:val="000000"/>
                <w:sz w:val="20"/>
                <w:lang w:val="sv-SE"/>
              </w:rPr>
              <w:t>Mer utvecklade regioner</w:t>
            </w:r>
          </w:p>
        </w:tc>
        <w:tc>
          <w:tcPr>
            <w:tcW w:w="0" w:type="auto"/>
          </w:tcPr>
          <w:p w14:paraId="2D066012" w14:textId="77777777" w:rsidR="00A77B3E" w:rsidRPr="00800D1B" w:rsidRDefault="00623E14" w:rsidP="00B76590">
            <w:pPr>
              <w:spacing w:before="100" w:after="100"/>
              <w:ind w:left="-72"/>
              <w:rPr>
                <w:color w:val="000000"/>
                <w:sz w:val="20"/>
                <w:lang w:val="sv-SE"/>
              </w:rPr>
            </w:pPr>
            <w:r w:rsidRPr="00800D1B">
              <w:rPr>
                <w:color w:val="000000"/>
                <w:sz w:val="20"/>
                <w:lang w:val="sv-SE"/>
              </w:rPr>
              <w:t>SWR02</w:t>
            </w:r>
          </w:p>
        </w:tc>
        <w:tc>
          <w:tcPr>
            <w:tcW w:w="0" w:type="auto"/>
          </w:tcPr>
          <w:p w14:paraId="2D066013" w14:textId="77777777" w:rsidR="00A77B3E" w:rsidRPr="00800D1B" w:rsidRDefault="00623E14" w:rsidP="008D35C9">
            <w:pPr>
              <w:spacing w:before="100" w:after="60"/>
              <w:ind w:left="-72"/>
              <w:rPr>
                <w:color w:val="000000"/>
                <w:sz w:val="20"/>
                <w:lang w:val="sv-SE"/>
              </w:rPr>
            </w:pPr>
            <w:r w:rsidRPr="00800D1B">
              <w:rPr>
                <w:color w:val="000000"/>
                <w:sz w:val="20"/>
                <w:lang w:val="sv-SE"/>
              </w:rPr>
              <w:t xml:space="preserve">Antal organisationer som utvecklar produkter, processer och tjänster </w:t>
            </w:r>
          </w:p>
        </w:tc>
        <w:tc>
          <w:tcPr>
            <w:tcW w:w="0" w:type="auto"/>
          </w:tcPr>
          <w:p w14:paraId="2D066014" w14:textId="77777777" w:rsidR="00A77B3E" w:rsidRPr="00800D1B" w:rsidRDefault="00623E14" w:rsidP="00B76590">
            <w:pPr>
              <w:spacing w:before="100" w:after="100"/>
              <w:ind w:left="-72"/>
              <w:rPr>
                <w:color w:val="000000"/>
                <w:sz w:val="20"/>
                <w:lang w:val="sv-SE"/>
              </w:rPr>
            </w:pPr>
            <w:r w:rsidRPr="00800D1B">
              <w:rPr>
                <w:color w:val="000000"/>
                <w:sz w:val="20"/>
                <w:lang w:val="sv-SE"/>
              </w:rPr>
              <w:t>Organisationer</w:t>
            </w:r>
          </w:p>
        </w:tc>
        <w:tc>
          <w:tcPr>
            <w:tcW w:w="0" w:type="auto"/>
          </w:tcPr>
          <w:p w14:paraId="2D066015" w14:textId="77777777" w:rsidR="00A77B3E" w:rsidRPr="00800D1B" w:rsidRDefault="00623E14" w:rsidP="00B76590">
            <w:pPr>
              <w:spacing w:before="100" w:after="100"/>
              <w:ind w:left="-72"/>
              <w:jc w:val="right"/>
              <w:rPr>
                <w:color w:val="000000"/>
                <w:sz w:val="20"/>
                <w:lang w:val="sv-SE"/>
              </w:rPr>
            </w:pPr>
            <w:r w:rsidRPr="00800D1B">
              <w:rPr>
                <w:color w:val="000000"/>
                <w:sz w:val="20"/>
                <w:lang w:val="sv-SE"/>
              </w:rPr>
              <w:t>0,00</w:t>
            </w:r>
          </w:p>
        </w:tc>
        <w:tc>
          <w:tcPr>
            <w:tcW w:w="0" w:type="auto"/>
          </w:tcPr>
          <w:p w14:paraId="2D066016" w14:textId="77777777" w:rsidR="00A77B3E" w:rsidRPr="00800D1B" w:rsidRDefault="00623E14" w:rsidP="00B76590">
            <w:pPr>
              <w:spacing w:before="100" w:after="100"/>
              <w:ind w:left="-72"/>
              <w:jc w:val="center"/>
              <w:rPr>
                <w:color w:val="000000"/>
                <w:sz w:val="20"/>
                <w:lang w:val="sv-SE"/>
              </w:rPr>
            </w:pPr>
            <w:r w:rsidRPr="00800D1B">
              <w:rPr>
                <w:color w:val="000000"/>
                <w:sz w:val="20"/>
                <w:lang w:val="sv-SE"/>
              </w:rPr>
              <w:t>2021</w:t>
            </w:r>
          </w:p>
        </w:tc>
        <w:tc>
          <w:tcPr>
            <w:tcW w:w="0" w:type="auto"/>
          </w:tcPr>
          <w:p w14:paraId="2D066017" w14:textId="77777777" w:rsidR="00A77B3E" w:rsidRPr="00800D1B" w:rsidRDefault="00623E14" w:rsidP="00B76590">
            <w:pPr>
              <w:spacing w:before="100" w:after="100"/>
              <w:ind w:left="-72"/>
              <w:jc w:val="right"/>
              <w:rPr>
                <w:color w:val="000000"/>
                <w:sz w:val="20"/>
                <w:lang w:val="sv-SE"/>
              </w:rPr>
            </w:pPr>
            <w:r w:rsidRPr="00800D1B">
              <w:rPr>
                <w:color w:val="000000"/>
                <w:sz w:val="20"/>
                <w:lang w:val="sv-SE"/>
              </w:rPr>
              <w:t>1,00</w:t>
            </w:r>
          </w:p>
        </w:tc>
        <w:tc>
          <w:tcPr>
            <w:tcW w:w="0" w:type="auto"/>
          </w:tcPr>
          <w:p w14:paraId="2D066018" w14:textId="77777777" w:rsidR="00A77B3E" w:rsidRPr="00800D1B" w:rsidRDefault="00623E14" w:rsidP="00B76590">
            <w:pPr>
              <w:spacing w:before="100" w:after="100"/>
              <w:ind w:left="-72"/>
              <w:rPr>
                <w:color w:val="000000"/>
                <w:sz w:val="20"/>
                <w:lang w:val="sv-SE"/>
              </w:rPr>
            </w:pPr>
            <w:r w:rsidRPr="00800D1B">
              <w:rPr>
                <w:color w:val="000000"/>
                <w:sz w:val="20"/>
                <w:lang w:val="sv-SE"/>
              </w:rPr>
              <w:t>Projekt</w:t>
            </w:r>
          </w:p>
        </w:tc>
        <w:tc>
          <w:tcPr>
            <w:tcW w:w="0" w:type="auto"/>
          </w:tcPr>
          <w:p w14:paraId="2D066019" w14:textId="77777777" w:rsidR="00A77B3E" w:rsidRPr="00800D1B" w:rsidRDefault="00A77B3E" w:rsidP="00B76590">
            <w:pPr>
              <w:spacing w:before="100" w:after="100"/>
              <w:ind w:left="-72"/>
              <w:rPr>
                <w:color w:val="000000"/>
                <w:sz w:val="20"/>
                <w:lang w:val="sv-SE"/>
              </w:rPr>
            </w:pPr>
          </w:p>
        </w:tc>
      </w:tr>
    </w:tbl>
    <w:p w14:paraId="2D06601C" w14:textId="14F7C575" w:rsidR="00A77B3E" w:rsidRPr="00800D1B" w:rsidRDefault="00623E14" w:rsidP="00D36B53">
      <w:pPr>
        <w:pStyle w:val="Rubrik6"/>
        <w:numPr>
          <w:ilvl w:val="4"/>
          <w:numId w:val="25"/>
        </w:numPr>
        <w:spacing w:before="400"/>
        <w:ind w:left="360"/>
      </w:pPr>
      <w:bookmarkStart w:id="104" w:name="_Toc256000345"/>
      <w:r w:rsidRPr="00800D1B">
        <w:t>Preliminär fördelning av anslagna (EU-)medel efter interventionstyp</w:t>
      </w:r>
      <w:bookmarkEnd w:id="104"/>
    </w:p>
    <w:p w14:paraId="2D06601D" w14:textId="77777777" w:rsidR="00A77B3E" w:rsidRPr="00800D1B" w:rsidRDefault="00A77B3E">
      <w:pPr>
        <w:spacing w:before="100"/>
        <w:rPr>
          <w:color w:val="000000"/>
          <w:sz w:val="0"/>
          <w:lang w:val="sv-SE"/>
        </w:rPr>
      </w:pPr>
    </w:p>
    <w:p w14:paraId="2D06601E" w14:textId="77777777" w:rsidR="00A77B3E" w:rsidRPr="00800D1B" w:rsidRDefault="00623E14" w:rsidP="008D35C9">
      <w:pPr>
        <w:rPr>
          <w:color w:val="000000"/>
          <w:sz w:val="0"/>
          <w:lang w:val="sv-SE"/>
        </w:rPr>
      </w:pPr>
      <w:r w:rsidRPr="00800D1B">
        <w:rPr>
          <w:color w:val="000000"/>
          <w:lang w:val="sv-SE"/>
        </w:rPr>
        <w:t>Referens: artikel 22.3 d viii i förordningen om gemensamma bestämmelser</w:t>
      </w:r>
    </w:p>
    <w:p w14:paraId="2D06601F" w14:textId="708E7028" w:rsidR="00A77B3E" w:rsidRPr="00800D1B" w:rsidRDefault="00623E14" w:rsidP="00431BFA">
      <w:pPr>
        <w:spacing w:before="100" w:after="100"/>
        <w:rPr>
          <w:lang w:val="sv-SE"/>
        </w:rPr>
      </w:pPr>
      <w:bookmarkStart w:id="105" w:name="_Toc256000346"/>
      <w:r w:rsidRPr="00800D1B">
        <w:rPr>
          <w:lang w:val="sv-SE"/>
        </w:rPr>
        <w:t>Tabell 4: Dimension 1 – interventionsområde</w:t>
      </w:r>
      <w:bookmarkEnd w:id="105"/>
    </w:p>
    <w:tbl>
      <w:tblPr>
        <w:tblStyle w:val="Tabellrutnt"/>
        <w:tblW w:w="5000" w:type="pct"/>
        <w:tblLook w:val="04A0" w:firstRow="1" w:lastRow="0" w:firstColumn="1" w:lastColumn="0" w:noHBand="0" w:noVBand="1"/>
        <w:tblDescription w:val="En tabell med sex kolumner: Prioritering; Specifikt mål; Fond; Regionkategori; Kod; Belopp (euro). Tabellen visar information om interventionsområde."/>
      </w:tblPr>
      <w:tblGrid>
        <w:gridCol w:w="1126"/>
        <w:gridCol w:w="1134"/>
        <w:gridCol w:w="682"/>
        <w:gridCol w:w="1874"/>
        <w:gridCol w:w="9062"/>
        <w:gridCol w:w="1294"/>
      </w:tblGrid>
      <w:tr w:rsidR="003422DB" w:rsidRPr="00800D1B" w14:paraId="2D066027" w14:textId="77777777" w:rsidTr="00B76590">
        <w:tc>
          <w:tcPr>
            <w:tcW w:w="0" w:type="auto"/>
          </w:tcPr>
          <w:p w14:paraId="2D066021" w14:textId="77777777" w:rsidR="00A77B3E" w:rsidRPr="00800D1B" w:rsidRDefault="00623E14" w:rsidP="00B76590">
            <w:pPr>
              <w:spacing w:before="100" w:after="100"/>
              <w:ind w:left="-72"/>
              <w:jc w:val="center"/>
              <w:rPr>
                <w:color w:val="000000"/>
                <w:sz w:val="20"/>
                <w:lang w:val="sv-SE"/>
              </w:rPr>
            </w:pPr>
            <w:r w:rsidRPr="00800D1B">
              <w:rPr>
                <w:color w:val="000000"/>
                <w:sz w:val="20"/>
                <w:lang w:val="sv-SE"/>
              </w:rPr>
              <w:t>Prioritering</w:t>
            </w:r>
          </w:p>
        </w:tc>
        <w:tc>
          <w:tcPr>
            <w:tcW w:w="0" w:type="auto"/>
          </w:tcPr>
          <w:p w14:paraId="2D066022" w14:textId="77777777" w:rsidR="00A77B3E" w:rsidRPr="00800D1B" w:rsidRDefault="00623E14" w:rsidP="00B76590">
            <w:pPr>
              <w:spacing w:before="100" w:after="100"/>
              <w:ind w:left="-72"/>
              <w:jc w:val="center"/>
              <w:rPr>
                <w:color w:val="000000"/>
                <w:sz w:val="20"/>
                <w:lang w:val="sv-SE"/>
              </w:rPr>
            </w:pPr>
            <w:r w:rsidRPr="00800D1B">
              <w:rPr>
                <w:color w:val="000000"/>
                <w:sz w:val="20"/>
                <w:lang w:val="sv-SE"/>
              </w:rPr>
              <w:t>Specifikt mål</w:t>
            </w:r>
          </w:p>
        </w:tc>
        <w:tc>
          <w:tcPr>
            <w:tcW w:w="0" w:type="auto"/>
          </w:tcPr>
          <w:p w14:paraId="2D066023" w14:textId="77777777" w:rsidR="00A77B3E" w:rsidRPr="00800D1B" w:rsidRDefault="00623E14" w:rsidP="00B76590">
            <w:pPr>
              <w:spacing w:before="100" w:after="100"/>
              <w:ind w:left="-72"/>
              <w:jc w:val="center"/>
              <w:rPr>
                <w:color w:val="000000"/>
                <w:sz w:val="20"/>
                <w:lang w:val="sv-SE"/>
              </w:rPr>
            </w:pPr>
            <w:r w:rsidRPr="00800D1B">
              <w:rPr>
                <w:color w:val="000000"/>
                <w:sz w:val="20"/>
                <w:lang w:val="sv-SE"/>
              </w:rPr>
              <w:t>Fond</w:t>
            </w:r>
          </w:p>
        </w:tc>
        <w:tc>
          <w:tcPr>
            <w:tcW w:w="0" w:type="auto"/>
          </w:tcPr>
          <w:p w14:paraId="2D066024" w14:textId="77777777" w:rsidR="00A77B3E" w:rsidRPr="00800D1B" w:rsidRDefault="00623E14" w:rsidP="00B76590">
            <w:pPr>
              <w:spacing w:before="100" w:after="100"/>
              <w:ind w:left="-72"/>
              <w:jc w:val="center"/>
              <w:rPr>
                <w:color w:val="000000"/>
                <w:sz w:val="20"/>
                <w:lang w:val="sv-SE"/>
              </w:rPr>
            </w:pPr>
            <w:r w:rsidRPr="00800D1B">
              <w:rPr>
                <w:color w:val="000000"/>
                <w:sz w:val="20"/>
                <w:lang w:val="sv-SE"/>
              </w:rPr>
              <w:t>Regionkategori</w:t>
            </w:r>
          </w:p>
        </w:tc>
        <w:tc>
          <w:tcPr>
            <w:tcW w:w="0" w:type="auto"/>
          </w:tcPr>
          <w:p w14:paraId="2D066025" w14:textId="77777777" w:rsidR="00A77B3E" w:rsidRPr="00800D1B" w:rsidRDefault="00623E14" w:rsidP="00B76590">
            <w:pPr>
              <w:spacing w:before="100" w:after="100"/>
              <w:ind w:left="-72"/>
              <w:jc w:val="center"/>
              <w:rPr>
                <w:color w:val="000000"/>
                <w:sz w:val="20"/>
                <w:lang w:val="sv-SE"/>
              </w:rPr>
            </w:pPr>
            <w:r w:rsidRPr="00800D1B">
              <w:rPr>
                <w:color w:val="000000"/>
                <w:sz w:val="20"/>
                <w:lang w:val="sv-SE"/>
              </w:rPr>
              <w:t>Kod</w:t>
            </w:r>
          </w:p>
        </w:tc>
        <w:tc>
          <w:tcPr>
            <w:tcW w:w="0" w:type="auto"/>
          </w:tcPr>
          <w:p w14:paraId="2D066026" w14:textId="77777777" w:rsidR="00A77B3E" w:rsidRPr="00800D1B" w:rsidRDefault="00623E14" w:rsidP="00B76590">
            <w:pPr>
              <w:spacing w:before="100" w:after="100"/>
              <w:ind w:left="-72"/>
              <w:jc w:val="center"/>
              <w:rPr>
                <w:color w:val="000000"/>
                <w:sz w:val="20"/>
                <w:lang w:val="sv-SE"/>
              </w:rPr>
            </w:pPr>
            <w:r w:rsidRPr="00800D1B">
              <w:rPr>
                <w:color w:val="000000"/>
                <w:sz w:val="20"/>
                <w:lang w:val="sv-SE"/>
              </w:rPr>
              <w:t>Belopp (euro)</w:t>
            </w:r>
          </w:p>
        </w:tc>
      </w:tr>
      <w:tr w:rsidR="003422DB" w:rsidRPr="00800D1B" w14:paraId="2D06602E" w14:textId="77777777" w:rsidTr="00B76590">
        <w:tc>
          <w:tcPr>
            <w:tcW w:w="0" w:type="auto"/>
          </w:tcPr>
          <w:p w14:paraId="2D066028" w14:textId="77777777" w:rsidR="00A77B3E" w:rsidRPr="00800D1B" w:rsidRDefault="00623E14" w:rsidP="008D35C9">
            <w:pPr>
              <w:spacing w:before="100" w:after="60"/>
              <w:ind w:left="-72"/>
              <w:rPr>
                <w:color w:val="000000"/>
                <w:sz w:val="20"/>
                <w:lang w:val="sv-SE"/>
              </w:rPr>
            </w:pPr>
            <w:r w:rsidRPr="00800D1B">
              <w:rPr>
                <w:color w:val="000000"/>
                <w:sz w:val="20"/>
                <w:lang w:val="sv-SE"/>
              </w:rPr>
              <w:t>4</w:t>
            </w:r>
          </w:p>
        </w:tc>
        <w:tc>
          <w:tcPr>
            <w:tcW w:w="0" w:type="auto"/>
          </w:tcPr>
          <w:p w14:paraId="2D066029" w14:textId="77777777" w:rsidR="00A77B3E" w:rsidRPr="00800D1B" w:rsidRDefault="00623E14" w:rsidP="008D35C9">
            <w:pPr>
              <w:spacing w:before="100" w:after="60"/>
              <w:ind w:left="-72"/>
              <w:rPr>
                <w:color w:val="000000"/>
                <w:sz w:val="20"/>
                <w:lang w:val="sv-SE"/>
              </w:rPr>
            </w:pPr>
            <w:r w:rsidRPr="00800D1B">
              <w:rPr>
                <w:color w:val="000000"/>
                <w:sz w:val="20"/>
                <w:lang w:val="sv-SE"/>
              </w:rPr>
              <w:t>RSO2.2</w:t>
            </w:r>
          </w:p>
        </w:tc>
        <w:tc>
          <w:tcPr>
            <w:tcW w:w="0" w:type="auto"/>
          </w:tcPr>
          <w:p w14:paraId="2D06602A" w14:textId="77777777" w:rsidR="00A77B3E" w:rsidRPr="00800D1B" w:rsidRDefault="00623E14" w:rsidP="00B76590">
            <w:pPr>
              <w:spacing w:before="100" w:after="100"/>
              <w:ind w:left="-72"/>
              <w:rPr>
                <w:color w:val="000000"/>
                <w:sz w:val="20"/>
                <w:lang w:val="sv-SE"/>
              </w:rPr>
            </w:pPr>
            <w:r w:rsidRPr="00800D1B">
              <w:rPr>
                <w:color w:val="000000"/>
                <w:sz w:val="20"/>
                <w:lang w:val="sv-SE"/>
              </w:rPr>
              <w:t>Eruf</w:t>
            </w:r>
          </w:p>
        </w:tc>
        <w:tc>
          <w:tcPr>
            <w:tcW w:w="0" w:type="auto"/>
          </w:tcPr>
          <w:p w14:paraId="2D06602B" w14:textId="77777777" w:rsidR="00A77B3E" w:rsidRPr="00800D1B" w:rsidRDefault="00623E14" w:rsidP="008D35C9">
            <w:pPr>
              <w:spacing w:before="100" w:after="60"/>
              <w:ind w:left="-72" w:right="-60"/>
              <w:rPr>
                <w:color w:val="000000"/>
                <w:sz w:val="20"/>
                <w:lang w:val="sv-SE"/>
              </w:rPr>
            </w:pPr>
            <w:r w:rsidRPr="00800D1B">
              <w:rPr>
                <w:color w:val="000000"/>
                <w:sz w:val="20"/>
                <w:lang w:val="sv-SE"/>
              </w:rPr>
              <w:t>Mer utvecklade regioner</w:t>
            </w:r>
          </w:p>
        </w:tc>
        <w:tc>
          <w:tcPr>
            <w:tcW w:w="0" w:type="auto"/>
          </w:tcPr>
          <w:p w14:paraId="2D06602C" w14:textId="77777777" w:rsidR="00A77B3E" w:rsidRPr="00800D1B" w:rsidRDefault="00623E14" w:rsidP="00B76590">
            <w:pPr>
              <w:spacing w:before="100" w:after="100"/>
              <w:ind w:left="-72"/>
              <w:rPr>
                <w:color w:val="000000"/>
                <w:sz w:val="20"/>
                <w:lang w:val="sv-SE"/>
              </w:rPr>
            </w:pPr>
            <w:r w:rsidRPr="00800D1B">
              <w:rPr>
                <w:color w:val="000000"/>
                <w:sz w:val="20"/>
                <w:lang w:val="sv-SE"/>
              </w:rPr>
              <w:t>040. Energieffektivitet och demonstrationsprojekt i små och medelstora företag eller stora företag samt stödåtgärder i överensstämmelse med energieffektivitetskriterier</w:t>
            </w:r>
          </w:p>
        </w:tc>
        <w:tc>
          <w:tcPr>
            <w:tcW w:w="0" w:type="auto"/>
          </w:tcPr>
          <w:p w14:paraId="2D06602D" w14:textId="77777777" w:rsidR="00A77B3E" w:rsidRPr="00800D1B" w:rsidRDefault="00623E14" w:rsidP="00B76590">
            <w:pPr>
              <w:spacing w:before="100" w:after="100"/>
              <w:ind w:left="-72"/>
              <w:jc w:val="right"/>
              <w:rPr>
                <w:color w:val="000000"/>
                <w:sz w:val="20"/>
                <w:lang w:val="sv-SE"/>
              </w:rPr>
            </w:pPr>
            <w:r w:rsidRPr="00800D1B">
              <w:rPr>
                <w:color w:val="000000"/>
                <w:sz w:val="20"/>
                <w:lang w:val="sv-SE"/>
              </w:rPr>
              <w:t>2 314 445,00</w:t>
            </w:r>
          </w:p>
        </w:tc>
      </w:tr>
      <w:tr w:rsidR="003422DB" w:rsidRPr="00800D1B" w14:paraId="2D066035" w14:textId="77777777" w:rsidTr="00B76590">
        <w:tc>
          <w:tcPr>
            <w:tcW w:w="0" w:type="auto"/>
          </w:tcPr>
          <w:p w14:paraId="2D06602F" w14:textId="77777777" w:rsidR="00A77B3E" w:rsidRPr="00800D1B" w:rsidRDefault="00623E14" w:rsidP="008D35C9">
            <w:pPr>
              <w:spacing w:before="100" w:after="60"/>
              <w:ind w:left="-72"/>
              <w:rPr>
                <w:color w:val="000000"/>
                <w:sz w:val="20"/>
                <w:lang w:val="sv-SE"/>
              </w:rPr>
            </w:pPr>
            <w:r w:rsidRPr="00800D1B">
              <w:rPr>
                <w:color w:val="000000"/>
                <w:sz w:val="20"/>
                <w:lang w:val="sv-SE"/>
              </w:rPr>
              <w:t>4</w:t>
            </w:r>
          </w:p>
        </w:tc>
        <w:tc>
          <w:tcPr>
            <w:tcW w:w="0" w:type="auto"/>
          </w:tcPr>
          <w:p w14:paraId="2D066030" w14:textId="77777777" w:rsidR="00A77B3E" w:rsidRPr="00800D1B" w:rsidRDefault="00623E14" w:rsidP="008D35C9">
            <w:pPr>
              <w:spacing w:before="100" w:after="60"/>
              <w:ind w:left="-72"/>
              <w:rPr>
                <w:color w:val="000000"/>
                <w:sz w:val="20"/>
                <w:lang w:val="sv-SE"/>
              </w:rPr>
            </w:pPr>
            <w:r w:rsidRPr="00800D1B">
              <w:rPr>
                <w:color w:val="000000"/>
                <w:sz w:val="20"/>
                <w:lang w:val="sv-SE"/>
              </w:rPr>
              <w:t>RSO2.2</w:t>
            </w:r>
          </w:p>
        </w:tc>
        <w:tc>
          <w:tcPr>
            <w:tcW w:w="0" w:type="auto"/>
          </w:tcPr>
          <w:p w14:paraId="2D066031" w14:textId="77777777" w:rsidR="00A77B3E" w:rsidRPr="00800D1B" w:rsidRDefault="00623E14" w:rsidP="00B76590">
            <w:pPr>
              <w:spacing w:before="100" w:after="100"/>
              <w:ind w:left="-72"/>
              <w:rPr>
                <w:color w:val="000000"/>
                <w:sz w:val="20"/>
                <w:lang w:val="sv-SE"/>
              </w:rPr>
            </w:pPr>
            <w:r w:rsidRPr="00800D1B">
              <w:rPr>
                <w:color w:val="000000"/>
                <w:sz w:val="20"/>
                <w:lang w:val="sv-SE"/>
              </w:rPr>
              <w:t>Eruf</w:t>
            </w:r>
          </w:p>
        </w:tc>
        <w:tc>
          <w:tcPr>
            <w:tcW w:w="0" w:type="auto"/>
          </w:tcPr>
          <w:p w14:paraId="2D066032" w14:textId="77777777" w:rsidR="00A77B3E" w:rsidRPr="00800D1B" w:rsidRDefault="00623E14" w:rsidP="008D35C9">
            <w:pPr>
              <w:spacing w:before="100" w:after="60"/>
              <w:ind w:left="-72" w:right="-60"/>
              <w:rPr>
                <w:color w:val="000000"/>
                <w:sz w:val="20"/>
                <w:lang w:val="sv-SE"/>
              </w:rPr>
            </w:pPr>
            <w:r w:rsidRPr="00800D1B">
              <w:rPr>
                <w:color w:val="000000"/>
                <w:sz w:val="20"/>
                <w:lang w:val="sv-SE"/>
              </w:rPr>
              <w:t>Mer utvecklade regioner</w:t>
            </w:r>
          </w:p>
        </w:tc>
        <w:tc>
          <w:tcPr>
            <w:tcW w:w="0" w:type="auto"/>
          </w:tcPr>
          <w:p w14:paraId="2D066033" w14:textId="77777777" w:rsidR="00A77B3E" w:rsidRPr="00800D1B" w:rsidRDefault="00623E14" w:rsidP="00B76590">
            <w:pPr>
              <w:spacing w:before="100" w:after="100"/>
              <w:ind w:left="-72"/>
              <w:rPr>
                <w:color w:val="000000"/>
                <w:sz w:val="20"/>
                <w:lang w:val="sv-SE"/>
              </w:rPr>
            </w:pPr>
            <w:r w:rsidRPr="00800D1B">
              <w:rPr>
                <w:color w:val="000000"/>
                <w:sz w:val="20"/>
                <w:lang w:val="sv-SE"/>
              </w:rPr>
              <w:t>046. Stöd till enheter som tillhandahåller tjänster som bidrar till en koldioxidsnål ekonomi och till klimatresiliens, inbegripet åtgärder för ökad medvetenhet</w:t>
            </w:r>
          </w:p>
        </w:tc>
        <w:tc>
          <w:tcPr>
            <w:tcW w:w="0" w:type="auto"/>
          </w:tcPr>
          <w:p w14:paraId="2D066034" w14:textId="77777777" w:rsidR="00A77B3E" w:rsidRPr="00800D1B" w:rsidRDefault="00623E14" w:rsidP="00B76590">
            <w:pPr>
              <w:spacing w:before="100" w:after="100"/>
              <w:ind w:left="-72"/>
              <w:jc w:val="right"/>
              <w:rPr>
                <w:color w:val="000000"/>
                <w:sz w:val="20"/>
                <w:lang w:val="sv-SE"/>
              </w:rPr>
            </w:pPr>
            <w:r w:rsidRPr="00800D1B">
              <w:rPr>
                <w:color w:val="000000"/>
                <w:sz w:val="20"/>
                <w:lang w:val="sv-SE"/>
              </w:rPr>
              <w:t>2 314 443,00</w:t>
            </w:r>
          </w:p>
        </w:tc>
      </w:tr>
      <w:tr w:rsidR="003422DB" w:rsidRPr="00800D1B" w14:paraId="2D06603C" w14:textId="77777777" w:rsidTr="00B76590">
        <w:tc>
          <w:tcPr>
            <w:tcW w:w="0" w:type="auto"/>
          </w:tcPr>
          <w:p w14:paraId="2D066036" w14:textId="77777777" w:rsidR="00A77B3E" w:rsidRPr="00800D1B" w:rsidRDefault="00623E14" w:rsidP="008D35C9">
            <w:pPr>
              <w:spacing w:before="100" w:after="60"/>
              <w:ind w:left="-72"/>
              <w:rPr>
                <w:color w:val="000000"/>
                <w:sz w:val="20"/>
                <w:lang w:val="sv-SE"/>
              </w:rPr>
            </w:pPr>
            <w:r w:rsidRPr="00800D1B">
              <w:rPr>
                <w:color w:val="000000"/>
                <w:sz w:val="20"/>
                <w:lang w:val="sv-SE"/>
              </w:rPr>
              <w:t>4</w:t>
            </w:r>
          </w:p>
        </w:tc>
        <w:tc>
          <w:tcPr>
            <w:tcW w:w="0" w:type="auto"/>
          </w:tcPr>
          <w:p w14:paraId="2D066037" w14:textId="77777777" w:rsidR="00A77B3E" w:rsidRPr="00800D1B" w:rsidRDefault="00623E14" w:rsidP="008D35C9">
            <w:pPr>
              <w:spacing w:before="100" w:after="60"/>
              <w:ind w:left="-72"/>
              <w:rPr>
                <w:color w:val="000000"/>
                <w:sz w:val="20"/>
                <w:lang w:val="sv-SE"/>
              </w:rPr>
            </w:pPr>
            <w:r w:rsidRPr="00800D1B">
              <w:rPr>
                <w:color w:val="000000"/>
                <w:sz w:val="20"/>
                <w:lang w:val="sv-SE"/>
              </w:rPr>
              <w:t>RSO2.2</w:t>
            </w:r>
          </w:p>
        </w:tc>
        <w:tc>
          <w:tcPr>
            <w:tcW w:w="0" w:type="auto"/>
          </w:tcPr>
          <w:p w14:paraId="2D066038" w14:textId="77777777" w:rsidR="00A77B3E" w:rsidRPr="00800D1B" w:rsidRDefault="00623E14" w:rsidP="00B76590">
            <w:pPr>
              <w:spacing w:before="100" w:after="100"/>
              <w:ind w:left="-72"/>
              <w:rPr>
                <w:color w:val="000000"/>
                <w:sz w:val="20"/>
                <w:lang w:val="sv-SE"/>
              </w:rPr>
            </w:pPr>
            <w:r w:rsidRPr="00800D1B">
              <w:rPr>
                <w:color w:val="000000"/>
                <w:sz w:val="20"/>
                <w:lang w:val="sv-SE"/>
              </w:rPr>
              <w:t>Eruf</w:t>
            </w:r>
          </w:p>
        </w:tc>
        <w:tc>
          <w:tcPr>
            <w:tcW w:w="0" w:type="auto"/>
          </w:tcPr>
          <w:p w14:paraId="2D066039" w14:textId="77777777" w:rsidR="00A77B3E" w:rsidRPr="00800D1B" w:rsidRDefault="00623E14" w:rsidP="008D35C9">
            <w:pPr>
              <w:spacing w:before="100" w:after="60"/>
              <w:ind w:left="-72" w:right="-60"/>
              <w:rPr>
                <w:color w:val="000000"/>
                <w:sz w:val="20"/>
                <w:lang w:val="sv-SE"/>
              </w:rPr>
            </w:pPr>
            <w:r w:rsidRPr="00800D1B">
              <w:rPr>
                <w:color w:val="000000"/>
                <w:sz w:val="20"/>
                <w:lang w:val="sv-SE"/>
              </w:rPr>
              <w:t>Mer utvecklade regioner</w:t>
            </w:r>
          </w:p>
        </w:tc>
        <w:tc>
          <w:tcPr>
            <w:tcW w:w="0" w:type="auto"/>
          </w:tcPr>
          <w:p w14:paraId="2D06603A" w14:textId="77777777" w:rsidR="00A77B3E" w:rsidRPr="00800D1B" w:rsidRDefault="00623E14" w:rsidP="00B76590">
            <w:pPr>
              <w:spacing w:before="100" w:after="100"/>
              <w:ind w:left="-72"/>
              <w:rPr>
                <w:color w:val="000000"/>
                <w:sz w:val="20"/>
                <w:lang w:val="sv-SE"/>
              </w:rPr>
            </w:pPr>
            <w:r w:rsidRPr="00800D1B">
              <w:rPr>
                <w:color w:val="000000"/>
                <w:sz w:val="20"/>
                <w:lang w:val="sv-SE"/>
              </w:rPr>
              <w:t>050. Förnybar energi: biomassa med stora växthusgasminskningar</w:t>
            </w:r>
          </w:p>
        </w:tc>
        <w:tc>
          <w:tcPr>
            <w:tcW w:w="0" w:type="auto"/>
          </w:tcPr>
          <w:p w14:paraId="2D06603B" w14:textId="77777777" w:rsidR="00A77B3E" w:rsidRPr="00800D1B" w:rsidRDefault="00623E14" w:rsidP="00B76590">
            <w:pPr>
              <w:spacing w:before="100" w:after="100"/>
              <w:ind w:left="-72"/>
              <w:jc w:val="right"/>
              <w:rPr>
                <w:color w:val="000000"/>
                <w:sz w:val="20"/>
                <w:lang w:val="sv-SE"/>
              </w:rPr>
            </w:pPr>
            <w:r w:rsidRPr="00800D1B">
              <w:rPr>
                <w:color w:val="000000"/>
                <w:sz w:val="20"/>
                <w:lang w:val="sv-SE"/>
              </w:rPr>
              <w:t>1 983 855,00</w:t>
            </w:r>
          </w:p>
        </w:tc>
      </w:tr>
      <w:tr w:rsidR="003422DB" w:rsidRPr="00800D1B" w14:paraId="2D066043" w14:textId="77777777" w:rsidTr="00B76590">
        <w:tc>
          <w:tcPr>
            <w:tcW w:w="0" w:type="auto"/>
          </w:tcPr>
          <w:p w14:paraId="2D06603D" w14:textId="77777777" w:rsidR="00A77B3E" w:rsidRPr="00800D1B" w:rsidRDefault="00623E14" w:rsidP="008D35C9">
            <w:pPr>
              <w:spacing w:before="100" w:after="60"/>
              <w:ind w:left="-72"/>
              <w:rPr>
                <w:color w:val="000000"/>
                <w:sz w:val="20"/>
                <w:lang w:val="sv-SE"/>
              </w:rPr>
            </w:pPr>
            <w:r w:rsidRPr="00800D1B">
              <w:rPr>
                <w:color w:val="000000"/>
                <w:sz w:val="20"/>
                <w:lang w:val="sv-SE"/>
              </w:rPr>
              <w:t>4</w:t>
            </w:r>
          </w:p>
        </w:tc>
        <w:tc>
          <w:tcPr>
            <w:tcW w:w="0" w:type="auto"/>
          </w:tcPr>
          <w:p w14:paraId="2D06603E" w14:textId="77777777" w:rsidR="00A77B3E" w:rsidRPr="00800D1B" w:rsidRDefault="00623E14" w:rsidP="008D35C9">
            <w:pPr>
              <w:spacing w:before="100" w:after="60"/>
              <w:ind w:left="-72"/>
              <w:rPr>
                <w:color w:val="000000"/>
                <w:sz w:val="20"/>
                <w:lang w:val="sv-SE"/>
              </w:rPr>
            </w:pPr>
            <w:r w:rsidRPr="00800D1B">
              <w:rPr>
                <w:color w:val="000000"/>
                <w:sz w:val="20"/>
                <w:lang w:val="sv-SE"/>
              </w:rPr>
              <w:t>RSO2.2</w:t>
            </w:r>
          </w:p>
        </w:tc>
        <w:tc>
          <w:tcPr>
            <w:tcW w:w="0" w:type="auto"/>
          </w:tcPr>
          <w:p w14:paraId="2D06603F" w14:textId="77777777" w:rsidR="00A77B3E" w:rsidRPr="00800D1B" w:rsidRDefault="00623E14" w:rsidP="008D35C9">
            <w:pPr>
              <w:spacing w:before="100" w:after="60"/>
              <w:ind w:left="-72"/>
              <w:rPr>
                <w:color w:val="000000"/>
                <w:sz w:val="20"/>
                <w:lang w:val="sv-SE"/>
              </w:rPr>
            </w:pPr>
            <w:r w:rsidRPr="00800D1B">
              <w:rPr>
                <w:color w:val="000000"/>
                <w:sz w:val="20"/>
                <w:lang w:val="sv-SE"/>
              </w:rPr>
              <w:t>Totalt</w:t>
            </w:r>
          </w:p>
        </w:tc>
        <w:tc>
          <w:tcPr>
            <w:tcW w:w="0" w:type="auto"/>
          </w:tcPr>
          <w:p w14:paraId="2D066040" w14:textId="77777777" w:rsidR="00A77B3E" w:rsidRPr="00800D1B" w:rsidRDefault="00A77B3E" w:rsidP="008D35C9">
            <w:pPr>
              <w:spacing w:before="100" w:after="60"/>
              <w:ind w:left="-72"/>
              <w:rPr>
                <w:color w:val="000000"/>
                <w:sz w:val="20"/>
                <w:lang w:val="sv-SE"/>
              </w:rPr>
            </w:pPr>
          </w:p>
        </w:tc>
        <w:tc>
          <w:tcPr>
            <w:tcW w:w="0" w:type="auto"/>
          </w:tcPr>
          <w:p w14:paraId="2D066041" w14:textId="77777777" w:rsidR="00A77B3E" w:rsidRPr="00800D1B" w:rsidRDefault="00A77B3E" w:rsidP="00B76590">
            <w:pPr>
              <w:spacing w:before="100" w:after="100"/>
              <w:ind w:left="-72"/>
              <w:rPr>
                <w:color w:val="000000"/>
                <w:sz w:val="20"/>
                <w:lang w:val="sv-SE"/>
              </w:rPr>
            </w:pPr>
          </w:p>
        </w:tc>
        <w:tc>
          <w:tcPr>
            <w:tcW w:w="0" w:type="auto"/>
          </w:tcPr>
          <w:p w14:paraId="2D066042" w14:textId="77777777" w:rsidR="00A77B3E" w:rsidRPr="00800D1B" w:rsidRDefault="00623E14" w:rsidP="00B76590">
            <w:pPr>
              <w:spacing w:before="100" w:after="100"/>
              <w:ind w:left="-72"/>
              <w:jc w:val="right"/>
              <w:rPr>
                <w:color w:val="000000"/>
                <w:sz w:val="20"/>
                <w:lang w:val="sv-SE"/>
              </w:rPr>
            </w:pPr>
            <w:r w:rsidRPr="00800D1B">
              <w:rPr>
                <w:color w:val="000000"/>
                <w:sz w:val="20"/>
                <w:lang w:val="sv-SE"/>
              </w:rPr>
              <w:t>6 612 743,00</w:t>
            </w:r>
          </w:p>
        </w:tc>
      </w:tr>
    </w:tbl>
    <w:p w14:paraId="2D066045" w14:textId="57065D22" w:rsidR="00A77B3E" w:rsidRPr="00800D1B" w:rsidRDefault="00623E14" w:rsidP="00431BFA">
      <w:pPr>
        <w:spacing w:before="100" w:after="100"/>
        <w:rPr>
          <w:lang w:val="sv-SE"/>
        </w:rPr>
      </w:pPr>
      <w:bookmarkStart w:id="106" w:name="_Toc256000347"/>
      <w:r w:rsidRPr="00800D1B">
        <w:rPr>
          <w:lang w:val="sv-SE"/>
        </w:rPr>
        <w:t>Tabell 5: Dimension 2 – finansieringsform</w:t>
      </w:r>
      <w:bookmarkEnd w:id="106"/>
    </w:p>
    <w:tbl>
      <w:tblPr>
        <w:tblStyle w:val="Tabellrutnt"/>
        <w:tblW w:w="5000" w:type="pct"/>
        <w:tblLook w:val="04A0" w:firstRow="1" w:lastRow="0" w:firstColumn="1" w:lastColumn="0" w:noHBand="0" w:noVBand="1"/>
        <w:tblDescription w:val="En tabell med sex kolumner: Prioritering; Specifikt mål; Fond; Regionkategori; Kod; Belopp (euro). Tabellen visar information om finansieringsform."/>
      </w:tblPr>
      <w:tblGrid>
        <w:gridCol w:w="2243"/>
        <w:gridCol w:w="2528"/>
        <w:gridCol w:w="1387"/>
        <w:gridCol w:w="4245"/>
        <w:gridCol w:w="2155"/>
        <w:gridCol w:w="2614"/>
      </w:tblGrid>
      <w:tr w:rsidR="003422DB" w:rsidRPr="00800D1B" w14:paraId="2D06604D" w14:textId="77777777" w:rsidTr="00B76590">
        <w:tc>
          <w:tcPr>
            <w:tcW w:w="0" w:type="auto"/>
          </w:tcPr>
          <w:p w14:paraId="2D066047" w14:textId="77777777" w:rsidR="00A77B3E" w:rsidRPr="00800D1B" w:rsidRDefault="00623E14" w:rsidP="00B76590">
            <w:pPr>
              <w:spacing w:before="100" w:after="100"/>
              <w:ind w:left="-72"/>
              <w:jc w:val="center"/>
              <w:rPr>
                <w:color w:val="000000"/>
                <w:sz w:val="20"/>
                <w:lang w:val="sv-SE"/>
              </w:rPr>
            </w:pPr>
            <w:r w:rsidRPr="00800D1B">
              <w:rPr>
                <w:color w:val="000000"/>
                <w:sz w:val="20"/>
                <w:lang w:val="sv-SE"/>
              </w:rPr>
              <w:t>Prioritering</w:t>
            </w:r>
          </w:p>
        </w:tc>
        <w:tc>
          <w:tcPr>
            <w:tcW w:w="0" w:type="auto"/>
          </w:tcPr>
          <w:p w14:paraId="2D066048" w14:textId="77777777" w:rsidR="00A77B3E" w:rsidRPr="00800D1B" w:rsidRDefault="00623E14" w:rsidP="00B76590">
            <w:pPr>
              <w:spacing w:before="100" w:after="100"/>
              <w:ind w:left="-72"/>
              <w:jc w:val="center"/>
              <w:rPr>
                <w:color w:val="000000"/>
                <w:sz w:val="20"/>
                <w:lang w:val="sv-SE"/>
              </w:rPr>
            </w:pPr>
            <w:r w:rsidRPr="00800D1B">
              <w:rPr>
                <w:color w:val="000000"/>
                <w:sz w:val="20"/>
                <w:lang w:val="sv-SE"/>
              </w:rPr>
              <w:t>Specifikt mål</w:t>
            </w:r>
          </w:p>
        </w:tc>
        <w:tc>
          <w:tcPr>
            <w:tcW w:w="0" w:type="auto"/>
          </w:tcPr>
          <w:p w14:paraId="2D066049" w14:textId="77777777" w:rsidR="00A77B3E" w:rsidRPr="00800D1B" w:rsidRDefault="00623E14" w:rsidP="00B76590">
            <w:pPr>
              <w:spacing w:before="100" w:after="100"/>
              <w:ind w:left="-72"/>
              <w:jc w:val="center"/>
              <w:rPr>
                <w:color w:val="000000"/>
                <w:sz w:val="20"/>
                <w:lang w:val="sv-SE"/>
              </w:rPr>
            </w:pPr>
            <w:r w:rsidRPr="00800D1B">
              <w:rPr>
                <w:color w:val="000000"/>
                <w:sz w:val="20"/>
                <w:lang w:val="sv-SE"/>
              </w:rPr>
              <w:t>Fond</w:t>
            </w:r>
          </w:p>
        </w:tc>
        <w:tc>
          <w:tcPr>
            <w:tcW w:w="0" w:type="auto"/>
          </w:tcPr>
          <w:p w14:paraId="2D06604A" w14:textId="77777777" w:rsidR="00A77B3E" w:rsidRPr="00800D1B" w:rsidRDefault="00623E14" w:rsidP="00B76590">
            <w:pPr>
              <w:spacing w:before="100" w:after="100"/>
              <w:ind w:left="-72"/>
              <w:jc w:val="center"/>
              <w:rPr>
                <w:color w:val="000000"/>
                <w:sz w:val="20"/>
                <w:lang w:val="sv-SE"/>
              </w:rPr>
            </w:pPr>
            <w:r w:rsidRPr="00800D1B">
              <w:rPr>
                <w:color w:val="000000"/>
                <w:sz w:val="20"/>
                <w:lang w:val="sv-SE"/>
              </w:rPr>
              <w:t>Regionkategori</w:t>
            </w:r>
          </w:p>
        </w:tc>
        <w:tc>
          <w:tcPr>
            <w:tcW w:w="0" w:type="auto"/>
          </w:tcPr>
          <w:p w14:paraId="2D06604B" w14:textId="77777777" w:rsidR="00A77B3E" w:rsidRPr="00800D1B" w:rsidRDefault="00623E14" w:rsidP="00B76590">
            <w:pPr>
              <w:spacing w:before="100" w:after="100"/>
              <w:ind w:left="-72"/>
              <w:jc w:val="center"/>
              <w:rPr>
                <w:color w:val="000000"/>
                <w:sz w:val="20"/>
                <w:lang w:val="sv-SE"/>
              </w:rPr>
            </w:pPr>
            <w:r w:rsidRPr="00800D1B">
              <w:rPr>
                <w:color w:val="000000"/>
                <w:sz w:val="20"/>
                <w:lang w:val="sv-SE"/>
              </w:rPr>
              <w:t>Kod</w:t>
            </w:r>
          </w:p>
        </w:tc>
        <w:tc>
          <w:tcPr>
            <w:tcW w:w="0" w:type="auto"/>
          </w:tcPr>
          <w:p w14:paraId="2D06604C" w14:textId="77777777" w:rsidR="00A77B3E" w:rsidRPr="00800D1B" w:rsidRDefault="00623E14" w:rsidP="00B76590">
            <w:pPr>
              <w:spacing w:before="100" w:after="100"/>
              <w:ind w:left="-72"/>
              <w:jc w:val="center"/>
              <w:rPr>
                <w:color w:val="000000"/>
                <w:sz w:val="20"/>
                <w:lang w:val="sv-SE"/>
              </w:rPr>
            </w:pPr>
            <w:r w:rsidRPr="00800D1B">
              <w:rPr>
                <w:color w:val="000000"/>
                <w:sz w:val="20"/>
                <w:lang w:val="sv-SE"/>
              </w:rPr>
              <w:t>Belopp (euro)</w:t>
            </w:r>
          </w:p>
        </w:tc>
      </w:tr>
      <w:tr w:rsidR="003422DB" w:rsidRPr="00800D1B" w14:paraId="2D066054" w14:textId="77777777" w:rsidTr="00B76590">
        <w:tc>
          <w:tcPr>
            <w:tcW w:w="0" w:type="auto"/>
          </w:tcPr>
          <w:p w14:paraId="2D06604E" w14:textId="77777777" w:rsidR="00A77B3E" w:rsidRPr="00800D1B" w:rsidRDefault="00623E14" w:rsidP="00B76590">
            <w:pPr>
              <w:spacing w:before="100" w:after="100"/>
              <w:ind w:left="-72"/>
              <w:rPr>
                <w:color w:val="000000"/>
                <w:sz w:val="20"/>
                <w:lang w:val="sv-SE"/>
              </w:rPr>
            </w:pPr>
            <w:r w:rsidRPr="00800D1B">
              <w:rPr>
                <w:color w:val="000000"/>
                <w:sz w:val="20"/>
                <w:lang w:val="sv-SE"/>
              </w:rPr>
              <w:t>4</w:t>
            </w:r>
          </w:p>
        </w:tc>
        <w:tc>
          <w:tcPr>
            <w:tcW w:w="0" w:type="auto"/>
          </w:tcPr>
          <w:p w14:paraId="2D06604F" w14:textId="77777777" w:rsidR="00A77B3E" w:rsidRPr="00800D1B" w:rsidRDefault="00623E14" w:rsidP="00B76590">
            <w:pPr>
              <w:spacing w:before="100" w:after="100"/>
              <w:ind w:left="-72"/>
              <w:rPr>
                <w:color w:val="000000"/>
                <w:sz w:val="20"/>
                <w:lang w:val="sv-SE"/>
              </w:rPr>
            </w:pPr>
            <w:r w:rsidRPr="00800D1B">
              <w:rPr>
                <w:color w:val="000000"/>
                <w:sz w:val="20"/>
                <w:lang w:val="sv-SE"/>
              </w:rPr>
              <w:t>RSO2.2</w:t>
            </w:r>
          </w:p>
        </w:tc>
        <w:tc>
          <w:tcPr>
            <w:tcW w:w="0" w:type="auto"/>
          </w:tcPr>
          <w:p w14:paraId="2D066050" w14:textId="77777777" w:rsidR="00A77B3E" w:rsidRPr="00800D1B" w:rsidRDefault="00623E14" w:rsidP="00B76590">
            <w:pPr>
              <w:spacing w:before="100" w:after="100"/>
              <w:ind w:left="-72"/>
              <w:rPr>
                <w:color w:val="000000"/>
                <w:sz w:val="20"/>
                <w:lang w:val="sv-SE"/>
              </w:rPr>
            </w:pPr>
            <w:r w:rsidRPr="00800D1B">
              <w:rPr>
                <w:color w:val="000000"/>
                <w:sz w:val="20"/>
                <w:lang w:val="sv-SE"/>
              </w:rPr>
              <w:t>Eruf</w:t>
            </w:r>
          </w:p>
        </w:tc>
        <w:tc>
          <w:tcPr>
            <w:tcW w:w="0" w:type="auto"/>
          </w:tcPr>
          <w:p w14:paraId="2D066051" w14:textId="77777777" w:rsidR="00A77B3E" w:rsidRPr="00800D1B" w:rsidRDefault="00623E14" w:rsidP="00B76590">
            <w:pPr>
              <w:spacing w:before="100" w:after="100"/>
              <w:ind w:left="-72"/>
              <w:rPr>
                <w:color w:val="000000"/>
                <w:sz w:val="20"/>
                <w:lang w:val="sv-SE"/>
              </w:rPr>
            </w:pPr>
            <w:r w:rsidRPr="00800D1B">
              <w:rPr>
                <w:color w:val="000000"/>
                <w:sz w:val="20"/>
                <w:lang w:val="sv-SE"/>
              </w:rPr>
              <w:t>Mer utvecklade regioner</w:t>
            </w:r>
          </w:p>
        </w:tc>
        <w:tc>
          <w:tcPr>
            <w:tcW w:w="0" w:type="auto"/>
          </w:tcPr>
          <w:p w14:paraId="2D066052" w14:textId="77777777" w:rsidR="00A77B3E" w:rsidRPr="00800D1B" w:rsidRDefault="00623E14" w:rsidP="00B76590">
            <w:pPr>
              <w:spacing w:before="100" w:after="100"/>
              <w:ind w:left="-72"/>
              <w:rPr>
                <w:color w:val="000000"/>
                <w:sz w:val="20"/>
                <w:lang w:val="sv-SE"/>
              </w:rPr>
            </w:pPr>
            <w:r w:rsidRPr="00800D1B">
              <w:rPr>
                <w:color w:val="000000"/>
                <w:sz w:val="20"/>
                <w:lang w:val="sv-SE"/>
              </w:rPr>
              <w:t>01. Bevilja</w:t>
            </w:r>
          </w:p>
        </w:tc>
        <w:tc>
          <w:tcPr>
            <w:tcW w:w="0" w:type="auto"/>
          </w:tcPr>
          <w:p w14:paraId="2D066053" w14:textId="77777777" w:rsidR="00A77B3E" w:rsidRPr="00800D1B" w:rsidRDefault="00623E14" w:rsidP="00B76590">
            <w:pPr>
              <w:spacing w:before="100" w:after="100"/>
              <w:ind w:left="-72"/>
              <w:jc w:val="right"/>
              <w:rPr>
                <w:color w:val="000000"/>
                <w:sz w:val="20"/>
                <w:lang w:val="sv-SE"/>
              </w:rPr>
            </w:pPr>
            <w:r w:rsidRPr="00800D1B">
              <w:rPr>
                <w:color w:val="000000"/>
                <w:sz w:val="20"/>
                <w:lang w:val="sv-SE"/>
              </w:rPr>
              <w:t>6 612 743,00</w:t>
            </w:r>
          </w:p>
        </w:tc>
      </w:tr>
      <w:tr w:rsidR="003422DB" w:rsidRPr="00800D1B" w14:paraId="2D06605B" w14:textId="77777777" w:rsidTr="00B76590">
        <w:tc>
          <w:tcPr>
            <w:tcW w:w="0" w:type="auto"/>
          </w:tcPr>
          <w:p w14:paraId="2D066055" w14:textId="77777777" w:rsidR="00A77B3E" w:rsidRPr="00800D1B" w:rsidRDefault="00623E14" w:rsidP="00B76590">
            <w:pPr>
              <w:spacing w:before="100" w:after="100"/>
              <w:ind w:left="-72"/>
              <w:rPr>
                <w:color w:val="000000"/>
                <w:sz w:val="20"/>
                <w:lang w:val="sv-SE"/>
              </w:rPr>
            </w:pPr>
            <w:r w:rsidRPr="00800D1B">
              <w:rPr>
                <w:color w:val="000000"/>
                <w:sz w:val="20"/>
                <w:lang w:val="sv-SE"/>
              </w:rPr>
              <w:t>4</w:t>
            </w:r>
          </w:p>
        </w:tc>
        <w:tc>
          <w:tcPr>
            <w:tcW w:w="0" w:type="auto"/>
          </w:tcPr>
          <w:p w14:paraId="2D066056" w14:textId="77777777" w:rsidR="00A77B3E" w:rsidRPr="00800D1B" w:rsidRDefault="00623E14" w:rsidP="00B76590">
            <w:pPr>
              <w:spacing w:before="100" w:after="100"/>
              <w:ind w:left="-72"/>
              <w:rPr>
                <w:color w:val="000000"/>
                <w:sz w:val="20"/>
                <w:lang w:val="sv-SE"/>
              </w:rPr>
            </w:pPr>
            <w:r w:rsidRPr="00800D1B">
              <w:rPr>
                <w:color w:val="000000"/>
                <w:sz w:val="20"/>
                <w:lang w:val="sv-SE"/>
              </w:rPr>
              <w:t>RSO2.2</w:t>
            </w:r>
          </w:p>
        </w:tc>
        <w:tc>
          <w:tcPr>
            <w:tcW w:w="0" w:type="auto"/>
          </w:tcPr>
          <w:p w14:paraId="2D066057" w14:textId="77777777" w:rsidR="00A77B3E" w:rsidRPr="00800D1B" w:rsidRDefault="00623E14" w:rsidP="00B76590">
            <w:pPr>
              <w:spacing w:before="100" w:after="100"/>
              <w:ind w:left="-72"/>
              <w:rPr>
                <w:color w:val="000000"/>
                <w:sz w:val="20"/>
                <w:lang w:val="sv-SE"/>
              </w:rPr>
            </w:pPr>
            <w:r w:rsidRPr="00800D1B">
              <w:rPr>
                <w:color w:val="000000"/>
                <w:sz w:val="20"/>
                <w:lang w:val="sv-SE"/>
              </w:rPr>
              <w:t>Totalt</w:t>
            </w:r>
          </w:p>
        </w:tc>
        <w:tc>
          <w:tcPr>
            <w:tcW w:w="0" w:type="auto"/>
          </w:tcPr>
          <w:p w14:paraId="2D066058" w14:textId="77777777" w:rsidR="00A77B3E" w:rsidRPr="00800D1B" w:rsidRDefault="00A77B3E" w:rsidP="00B76590">
            <w:pPr>
              <w:spacing w:before="100" w:after="100"/>
              <w:ind w:left="-72"/>
              <w:rPr>
                <w:color w:val="000000"/>
                <w:sz w:val="20"/>
                <w:lang w:val="sv-SE"/>
              </w:rPr>
            </w:pPr>
          </w:p>
        </w:tc>
        <w:tc>
          <w:tcPr>
            <w:tcW w:w="0" w:type="auto"/>
          </w:tcPr>
          <w:p w14:paraId="2D066059" w14:textId="77777777" w:rsidR="00A77B3E" w:rsidRPr="00800D1B" w:rsidRDefault="00A77B3E" w:rsidP="00B76590">
            <w:pPr>
              <w:spacing w:before="100" w:after="100"/>
              <w:ind w:left="-72"/>
              <w:rPr>
                <w:color w:val="000000"/>
                <w:sz w:val="20"/>
                <w:lang w:val="sv-SE"/>
              </w:rPr>
            </w:pPr>
          </w:p>
        </w:tc>
        <w:tc>
          <w:tcPr>
            <w:tcW w:w="0" w:type="auto"/>
          </w:tcPr>
          <w:p w14:paraId="2D06605A" w14:textId="77777777" w:rsidR="00A77B3E" w:rsidRPr="00800D1B" w:rsidRDefault="00623E14" w:rsidP="00B76590">
            <w:pPr>
              <w:spacing w:before="100" w:after="100"/>
              <w:ind w:left="-72"/>
              <w:jc w:val="right"/>
              <w:rPr>
                <w:color w:val="000000"/>
                <w:sz w:val="20"/>
                <w:lang w:val="sv-SE"/>
              </w:rPr>
            </w:pPr>
            <w:r w:rsidRPr="00800D1B">
              <w:rPr>
                <w:color w:val="000000"/>
                <w:sz w:val="20"/>
                <w:lang w:val="sv-SE"/>
              </w:rPr>
              <w:t>6 612 743,00</w:t>
            </w:r>
          </w:p>
        </w:tc>
      </w:tr>
    </w:tbl>
    <w:p w14:paraId="2D06605D" w14:textId="0AAF8641" w:rsidR="00A77B3E" w:rsidRPr="00800D1B" w:rsidRDefault="00623E14" w:rsidP="00D36B53">
      <w:pPr>
        <w:spacing w:before="360" w:after="100"/>
        <w:rPr>
          <w:lang w:val="sv-SE"/>
        </w:rPr>
      </w:pPr>
      <w:bookmarkStart w:id="107" w:name="_Toc256000348"/>
      <w:r w:rsidRPr="00800D1B">
        <w:rPr>
          <w:lang w:val="sv-SE"/>
        </w:rPr>
        <w:t>Tabell 6: Dimension 3 – territoriell genomförandemetod och territoriellt fokus</w:t>
      </w:r>
      <w:bookmarkEnd w:id="107"/>
    </w:p>
    <w:tbl>
      <w:tblPr>
        <w:tblStyle w:val="Tabellrutnt"/>
        <w:tblW w:w="5000" w:type="pct"/>
        <w:tblLook w:val="04A0" w:firstRow="1" w:lastRow="0" w:firstColumn="1" w:lastColumn="0" w:noHBand="0" w:noVBand="1"/>
        <w:tblDescription w:val="En tabell med sex kolumner: Prioritering; Specifikt mål; Fond; Regionkategori; Kod; Belopp (euro). Tabellen visar information om territoriell genomförandemetod och territoriellt fokus."/>
      </w:tblPr>
      <w:tblGrid>
        <w:gridCol w:w="1572"/>
        <w:gridCol w:w="1772"/>
        <w:gridCol w:w="972"/>
        <w:gridCol w:w="2975"/>
        <w:gridCol w:w="6049"/>
        <w:gridCol w:w="1832"/>
      </w:tblGrid>
      <w:tr w:rsidR="003422DB" w:rsidRPr="00800D1B" w14:paraId="2D066065" w14:textId="77777777" w:rsidTr="00B76590">
        <w:tc>
          <w:tcPr>
            <w:tcW w:w="0" w:type="auto"/>
          </w:tcPr>
          <w:p w14:paraId="2D06605F" w14:textId="77777777" w:rsidR="00A77B3E" w:rsidRPr="00800D1B" w:rsidRDefault="00623E14" w:rsidP="00B76590">
            <w:pPr>
              <w:spacing w:before="100" w:after="100"/>
              <w:ind w:left="-72"/>
              <w:jc w:val="center"/>
              <w:rPr>
                <w:color w:val="000000"/>
                <w:sz w:val="20"/>
                <w:lang w:val="sv-SE"/>
              </w:rPr>
            </w:pPr>
            <w:r w:rsidRPr="00800D1B">
              <w:rPr>
                <w:color w:val="000000"/>
                <w:sz w:val="20"/>
                <w:lang w:val="sv-SE"/>
              </w:rPr>
              <w:t>Prioritering</w:t>
            </w:r>
          </w:p>
        </w:tc>
        <w:tc>
          <w:tcPr>
            <w:tcW w:w="0" w:type="auto"/>
          </w:tcPr>
          <w:p w14:paraId="2D066060" w14:textId="77777777" w:rsidR="00A77B3E" w:rsidRPr="00800D1B" w:rsidRDefault="00623E14" w:rsidP="00B76590">
            <w:pPr>
              <w:spacing w:before="100" w:after="100"/>
              <w:ind w:left="-72"/>
              <w:jc w:val="center"/>
              <w:rPr>
                <w:color w:val="000000"/>
                <w:sz w:val="20"/>
                <w:lang w:val="sv-SE"/>
              </w:rPr>
            </w:pPr>
            <w:r w:rsidRPr="00800D1B">
              <w:rPr>
                <w:color w:val="000000"/>
                <w:sz w:val="20"/>
                <w:lang w:val="sv-SE"/>
              </w:rPr>
              <w:t>Specifikt mål</w:t>
            </w:r>
          </w:p>
        </w:tc>
        <w:tc>
          <w:tcPr>
            <w:tcW w:w="0" w:type="auto"/>
          </w:tcPr>
          <w:p w14:paraId="2D066061" w14:textId="77777777" w:rsidR="00A77B3E" w:rsidRPr="00800D1B" w:rsidRDefault="00623E14" w:rsidP="00B76590">
            <w:pPr>
              <w:spacing w:before="100" w:after="100"/>
              <w:ind w:left="-72"/>
              <w:jc w:val="center"/>
              <w:rPr>
                <w:color w:val="000000"/>
                <w:sz w:val="20"/>
                <w:lang w:val="sv-SE"/>
              </w:rPr>
            </w:pPr>
            <w:r w:rsidRPr="00800D1B">
              <w:rPr>
                <w:color w:val="000000"/>
                <w:sz w:val="20"/>
                <w:lang w:val="sv-SE"/>
              </w:rPr>
              <w:t>Fond</w:t>
            </w:r>
          </w:p>
        </w:tc>
        <w:tc>
          <w:tcPr>
            <w:tcW w:w="0" w:type="auto"/>
          </w:tcPr>
          <w:p w14:paraId="2D066062" w14:textId="77777777" w:rsidR="00A77B3E" w:rsidRPr="00800D1B" w:rsidRDefault="00623E14" w:rsidP="00B76590">
            <w:pPr>
              <w:spacing w:before="100" w:after="100"/>
              <w:ind w:left="-72"/>
              <w:jc w:val="center"/>
              <w:rPr>
                <w:color w:val="000000"/>
                <w:sz w:val="20"/>
                <w:lang w:val="sv-SE"/>
              </w:rPr>
            </w:pPr>
            <w:r w:rsidRPr="00800D1B">
              <w:rPr>
                <w:color w:val="000000"/>
                <w:sz w:val="20"/>
                <w:lang w:val="sv-SE"/>
              </w:rPr>
              <w:t>Regionkategori</w:t>
            </w:r>
          </w:p>
        </w:tc>
        <w:tc>
          <w:tcPr>
            <w:tcW w:w="0" w:type="auto"/>
          </w:tcPr>
          <w:p w14:paraId="2D066063" w14:textId="77777777" w:rsidR="00A77B3E" w:rsidRPr="00800D1B" w:rsidRDefault="00623E14" w:rsidP="00B76590">
            <w:pPr>
              <w:spacing w:before="100" w:after="100"/>
              <w:ind w:left="-72"/>
              <w:jc w:val="center"/>
              <w:rPr>
                <w:color w:val="000000"/>
                <w:sz w:val="20"/>
                <w:lang w:val="sv-SE"/>
              </w:rPr>
            </w:pPr>
            <w:r w:rsidRPr="00800D1B">
              <w:rPr>
                <w:color w:val="000000"/>
                <w:sz w:val="20"/>
                <w:lang w:val="sv-SE"/>
              </w:rPr>
              <w:t>Kod</w:t>
            </w:r>
          </w:p>
        </w:tc>
        <w:tc>
          <w:tcPr>
            <w:tcW w:w="0" w:type="auto"/>
          </w:tcPr>
          <w:p w14:paraId="2D066064" w14:textId="77777777" w:rsidR="00A77B3E" w:rsidRPr="00800D1B" w:rsidRDefault="00623E14" w:rsidP="00B76590">
            <w:pPr>
              <w:spacing w:before="100" w:after="100"/>
              <w:ind w:left="-72"/>
              <w:jc w:val="center"/>
              <w:rPr>
                <w:color w:val="000000"/>
                <w:sz w:val="20"/>
                <w:lang w:val="sv-SE"/>
              </w:rPr>
            </w:pPr>
            <w:r w:rsidRPr="00800D1B">
              <w:rPr>
                <w:color w:val="000000"/>
                <w:sz w:val="20"/>
                <w:lang w:val="sv-SE"/>
              </w:rPr>
              <w:t>Belopp (euro)</w:t>
            </w:r>
          </w:p>
        </w:tc>
      </w:tr>
      <w:tr w:rsidR="003422DB" w:rsidRPr="00800D1B" w14:paraId="2D06606C" w14:textId="77777777" w:rsidTr="00B76590">
        <w:tc>
          <w:tcPr>
            <w:tcW w:w="0" w:type="auto"/>
          </w:tcPr>
          <w:p w14:paraId="2D066066" w14:textId="77777777" w:rsidR="00A77B3E" w:rsidRPr="00800D1B" w:rsidRDefault="00623E14" w:rsidP="00B76590">
            <w:pPr>
              <w:spacing w:before="100" w:after="100"/>
              <w:ind w:left="-72"/>
              <w:rPr>
                <w:color w:val="000000"/>
                <w:sz w:val="20"/>
                <w:lang w:val="sv-SE"/>
              </w:rPr>
            </w:pPr>
            <w:r w:rsidRPr="00800D1B">
              <w:rPr>
                <w:color w:val="000000"/>
                <w:sz w:val="20"/>
                <w:lang w:val="sv-SE"/>
              </w:rPr>
              <w:t>4</w:t>
            </w:r>
          </w:p>
        </w:tc>
        <w:tc>
          <w:tcPr>
            <w:tcW w:w="0" w:type="auto"/>
          </w:tcPr>
          <w:p w14:paraId="2D066067" w14:textId="77777777" w:rsidR="00A77B3E" w:rsidRPr="00800D1B" w:rsidRDefault="00623E14" w:rsidP="00B76590">
            <w:pPr>
              <w:spacing w:before="100" w:after="100"/>
              <w:ind w:left="-72"/>
              <w:rPr>
                <w:color w:val="000000"/>
                <w:sz w:val="20"/>
                <w:lang w:val="sv-SE"/>
              </w:rPr>
            </w:pPr>
            <w:r w:rsidRPr="00800D1B">
              <w:rPr>
                <w:color w:val="000000"/>
                <w:sz w:val="20"/>
                <w:lang w:val="sv-SE"/>
              </w:rPr>
              <w:t>RSO2.2</w:t>
            </w:r>
          </w:p>
        </w:tc>
        <w:tc>
          <w:tcPr>
            <w:tcW w:w="0" w:type="auto"/>
          </w:tcPr>
          <w:p w14:paraId="2D066068" w14:textId="77777777" w:rsidR="00A77B3E" w:rsidRPr="00800D1B" w:rsidRDefault="00623E14" w:rsidP="00B76590">
            <w:pPr>
              <w:spacing w:before="100" w:after="100"/>
              <w:ind w:left="-72"/>
              <w:rPr>
                <w:color w:val="000000"/>
                <w:sz w:val="20"/>
                <w:lang w:val="sv-SE"/>
              </w:rPr>
            </w:pPr>
            <w:r w:rsidRPr="00800D1B">
              <w:rPr>
                <w:color w:val="000000"/>
                <w:sz w:val="20"/>
                <w:lang w:val="sv-SE"/>
              </w:rPr>
              <w:t>Eruf</w:t>
            </w:r>
          </w:p>
        </w:tc>
        <w:tc>
          <w:tcPr>
            <w:tcW w:w="0" w:type="auto"/>
          </w:tcPr>
          <w:p w14:paraId="2D066069" w14:textId="77777777" w:rsidR="00A77B3E" w:rsidRPr="00800D1B" w:rsidRDefault="00623E14" w:rsidP="00B76590">
            <w:pPr>
              <w:spacing w:before="100" w:after="100"/>
              <w:ind w:left="-72"/>
              <w:rPr>
                <w:color w:val="000000"/>
                <w:sz w:val="20"/>
                <w:lang w:val="sv-SE"/>
              </w:rPr>
            </w:pPr>
            <w:r w:rsidRPr="00800D1B">
              <w:rPr>
                <w:color w:val="000000"/>
                <w:sz w:val="20"/>
                <w:lang w:val="sv-SE"/>
              </w:rPr>
              <w:t>Mer utvecklade regioner</w:t>
            </w:r>
          </w:p>
        </w:tc>
        <w:tc>
          <w:tcPr>
            <w:tcW w:w="0" w:type="auto"/>
          </w:tcPr>
          <w:p w14:paraId="2D06606A" w14:textId="77777777" w:rsidR="00A77B3E" w:rsidRPr="00800D1B" w:rsidRDefault="00623E14" w:rsidP="00B76590">
            <w:pPr>
              <w:spacing w:before="100" w:after="100"/>
              <w:ind w:left="-72"/>
              <w:rPr>
                <w:color w:val="000000"/>
                <w:sz w:val="20"/>
                <w:lang w:val="sv-SE"/>
              </w:rPr>
            </w:pPr>
            <w:r w:rsidRPr="00800D1B">
              <w:rPr>
                <w:color w:val="000000"/>
                <w:sz w:val="20"/>
                <w:lang w:val="sv-SE"/>
              </w:rPr>
              <w:t>33. Andra strategier – Ingen territoriell målinriktning</w:t>
            </w:r>
          </w:p>
        </w:tc>
        <w:tc>
          <w:tcPr>
            <w:tcW w:w="0" w:type="auto"/>
          </w:tcPr>
          <w:p w14:paraId="2D06606B" w14:textId="77777777" w:rsidR="00A77B3E" w:rsidRPr="00800D1B" w:rsidRDefault="00623E14" w:rsidP="00B76590">
            <w:pPr>
              <w:spacing w:before="100" w:after="100"/>
              <w:ind w:left="-72"/>
              <w:jc w:val="right"/>
              <w:rPr>
                <w:color w:val="000000"/>
                <w:sz w:val="20"/>
                <w:lang w:val="sv-SE"/>
              </w:rPr>
            </w:pPr>
            <w:r w:rsidRPr="00800D1B">
              <w:rPr>
                <w:color w:val="000000"/>
                <w:sz w:val="20"/>
                <w:lang w:val="sv-SE"/>
              </w:rPr>
              <w:t>6 612 743,00</w:t>
            </w:r>
          </w:p>
        </w:tc>
      </w:tr>
      <w:tr w:rsidR="003422DB" w:rsidRPr="00800D1B" w14:paraId="2D066073" w14:textId="77777777" w:rsidTr="00B76590">
        <w:tc>
          <w:tcPr>
            <w:tcW w:w="0" w:type="auto"/>
          </w:tcPr>
          <w:p w14:paraId="2D06606D" w14:textId="77777777" w:rsidR="00A77B3E" w:rsidRPr="00800D1B" w:rsidRDefault="00623E14" w:rsidP="00B76590">
            <w:pPr>
              <w:spacing w:before="100" w:after="100"/>
              <w:ind w:left="-72"/>
              <w:rPr>
                <w:color w:val="000000"/>
                <w:sz w:val="20"/>
                <w:lang w:val="sv-SE"/>
              </w:rPr>
            </w:pPr>
            <w:r w:rsidRPr="00800D1B">
              <w:rPr>
                <w:color w:val="000000"/>
                <w:sz w:val="20"/>
                <w:lang w:val="sv-SE"/>
              </w:rPr>
              <w:t>4</w:t>
            </w:r>
          </w:p>
        </w:tc>
        <w:tc>
          <w:tcPr>
            <w:tcW w:w="0" w:type="auto"/>
          </w:tcPr>
          <w:p w14:paraId="2D06606E" w14:textId="77777777" w:rsidR="00A77B3E" w:rsidRPr="00800D1B" w:rsidRDefault="00623E14" w:rsidP="00B76590">
            <w:pPr>
              <w:spacing w:before="100" w:after="100"/>
              <w:ind w:left="-72"/>
              <w:rPr>
                <w:color w:val="000000"/>
                <w:sz w:val="20"/>
                <w:lang w:val="sv-SE"/>
              </w:rPr>
            </w:pPr>
            <w:r w:rsidRPr="00800D1B">
              <w:rPr>
                <w:color w:val="000000"/>
                <w:sz w:val="20"/>
                <w:lang w:val="sv-SE"/>
              </w:rPr>
              <w:t>RSO2.2</w:t>
            </w:r>
          </w:p>
        </w:tc>
        <w:tc>
          <w:tcPr>
            <w:tcW w:w="0" w:type="auto"/>
          </w:tcPr>
          <w:p w14:paraId="2D06606F" w14:textId="77777777" w:rsidR="00A77B3E" w:rsidRPr="00800D1B" w:rsidRDefault="00623E14" w:rsidP="00B76590">
            <w:pPr>
              <w:spacing w:before="100" w:after="100"/>
              <w:ind w:left="-72"/>
              <w:rPr>
                <w:color w:val="000000"/>
                <w:sz w:val="20"/>
                <w:lang w:val="sv-SE"/>
              </w:rPr>
            </w:pPr>
            <w:r w:rsidRPr="00800D1B">
              <w:rPr>
                <w:color w:val="000000"/>
                <w:sz w:val="20"/>
                <w:lang w:val="sv-SE"/>
              </w:rPr>
              <w:t>Totalt</w:t>
            </w:r>
          </w:p>
        </w:tc>
        <w:tc>
          <w:tcPr>
            <w:tcW w:w="0" w:type="auto"/>
          </w:tcPr>
          <w:p w14:paraId="2D066070" w14:textId="77777777" w:rsidR="00A77B3E" w:rsidRPr="00800D1B" w:rsidRDefault="00A77B3E" w:rsidP="00B76590">
            <w:pPr>
              <w:spacing w:before="100" w:after="100"/>
              <w:ind w:left="-72"/>
              <w:rPr>
                <w:color w:val="000000"/>
                <w:sz w:val="20"/>
                <w:lang w:val="sv-SE"/>
              </w:rPr>
            </w:pPr>
          </w:p>
        </w:tc>
        <w:tc>
          <w:tcPr>
            <w:tcW w:w="0" w:type="auto"/>
          </w:tcPr>
          <w:p w14:paraId="2D066071" w14:textId="77777777" w:rsidR="00A77B3E" w:rsidRPr="00800D1B" w:rsidRDefault="00A77B3E" w:rsidP="00B76590">
            <w:pPr>
              <w:spacing w:before="100" w:after="100"/>
              <w:ind w:left="-72"/>
              <w:rPr>
                <w:color w:val="000000"/>
                <w:sz w:val="20"/>
                <w:lang w:val="sv-SE"/>
              </w:rPr>
            </w:pPr>
          </w:p>
        </w:tc>
        <w:tc>
          <w:tcPr>
            <w:tcW w:w="0" w:type="auto"/>
          </w:tcPr>
          <w:p w14:paraId="2D066072" w14:textId="77777777" w:rsidR="00A77B3E" w:rsidRPr="00800D1B" w:rsidRDefault="00623E14" w:rsidP="00B76590">
            <w:pPr>
              <w:spacing w:before="100" w:after="100"/>
              <w:ind w:left="-72"/>
              <w:jc w:val="right"/>
              <w:rPr>
                <w:color w:val="000000"/>
                <w:sz w:val="20"/>
                <w:lang w:val="sv-SE"/>
              </w:rPr>
            </w:pPr>
            <w:r w:rsidRPr="00800D1B">
              <w:rPr>
                <w:color w:val="000000"/>
                <w:sz w:val="20"/>
                <w:lang w:val="sv-SE"/>
              </w:rPr>
              <w:t>6 612 743,00</w:t>
            </w:r>
          </w:p>
        </w:tc>
      </w:tr>
    </w:tbl>
    <w:p w14:paraId="2D066075" w14:textId="241F89A6" w:rsidR="00A77B3E" w:rsidRPr="00800D1B" w:rsidRDefault="00623E14" w:rsidP="00D36B53">
      <w:pPr>
        <w:spacing w:before="360" w:after="100"/>
        <w:rPr>
          <w:lang w:val="sv-SE"/>
        </w:rPr>
      </w:pPr>
      <w:bookmarkStart w:id="108" w:name="_Toc256000349"/>
      <w:r w:rsidRPr="00800D1B">
        <w:rPr>
          <w:lang w:val="sv-SE"/>
        </w:rPr>
        <w:t>Tabell 7: Dimension 6 – ESF+-sekundärteman</w:t>
      </w:r>
      <w:bookmarkEnd w:id="108"/>
    </w:p>
    <w:tbl>
      <w:tblPr>
        <w:tblStyle w:val="Tabellrutnt"/>
        <w:tblW w:w="5000" w:type="pct"/>
        <w:tblLook w:val="04A0" w:firstRow="1" w:lastRow="0" w:firstColumn="1" w:lastColumn="0" w:noHBand="0" w:noVBand="1"/>
        <w:tblDescription w:val="En tabell med sex kolumner: Prioritering; Specifikt mål; Fond; Regionkategori; Kod; Belopp (euro). Tabellen visar information om ESF+-sekundärteman."/>
      </w:tblPr>
      <w:tblGrid>
        <w:gridCol w:w="2696"/>
        <w:gridCol w:w="3040"/>
        <w:gridCol w:w="1516"/>
        <w:gridCol w:w="3415"/>
        <w:gridCol w:w="1361"/>
        <w:gridCol w:w="3144"/>
      </w:tblGrid>
      <w:tr w:rsidR="003422DB" w:rsidRPr="00800D1B" w14:paraId="2D06607D" w14:textId="77777777" w:rsidTr="00B76590">
        <w:tc>
          <w:tcPr>
            <w:tcW w:w="0" w:type="auto"/>
          </w:tcPr>
          <w:p w14:paraId="2D066077" w14:textId="77777777" w:rsidR="00A77B3E" w:rsidRPr="00800D1B" w:rsidRDefault="00623E14" w:rsidP="00B76590">
            <w:pPr>
              <w:spacing w:before="100" w:after="100"/>
              <w:ind w:left="-72"/>
              <w:jc w:val="center"/>
              <w:rPr>
                <w:color w:val="000000"/>
                <w:sz w:val="20"/>
                <w:lang w:val="sv-SE"/>
              </w:rPr>
            </w:pPr>
            <w:r w:rsidRPr="00800D1B">
              <w:rPr>
                <w:color w:val="000000"/>
                <w:sz w:val="20"/>
                <w:lang w:val="sv-SE"/>
              </w:rPr>
              <w:t>Prioritering</w:t>
            </w:r>
          </w:p>
        </w:tc>
        <w:tc>
          <w:tcPr>
            <w:tcW w:w="0" w:type="auto"/>
          </w:tcPr>
          <w:p w14:paraId="2D066078" w14:textId="77777777" w:rsidR="00A77B3E" w:rsidRPr="00800D1B" w:rsidRDefault="00623E14" w:rsidP="00B76590">
            <w:pPr>
              <w:spacing w:before="100" w:after="100"/>
              <w:ind w:left="-72"/>
              <w:jc w:val="center"/>
              <w:rPr>
                <w:color w:val="000000"/>
                <w:sz w:val="20"/>
                <w:lang w:val="sv-SE"/>
              </w:rPr>
            </w:pPr>
            <w:r w:rsidRPr="00800D1B">
              <w:rPr>
                <w:color w:val="000000"/>
                <w:sz w:val="20"/>
                <w:lang w:val="sv-SE"/>
              </w:rPr>
              <w:t>Specifikt mål</w:t>
            </w:r>
          </w:p>
        </w:tc>
        <w:tc>
          <w:tcPr>
            <w:tcW w:w="0" w:type="auto"/>
          </w:tcPr>
          <w:p w14:paraId="2D066079" w14:textId="77777777" w:rsidR="00A77B3E" w:rsidRPr="00800D1B" w:rsidRDefault="00623E14" w:rsidP="00B76590">
            <w:pPr>
              <w:spacing w:before="100" w:after="100"/>
              <w:ind w:left="-72"/>
              <w:jc w:val="center"/>
              <w:rPr>
                <w:color w:val="000000"/>
                <w:sz w:val="20"/>
                <w:lang w:val="sv-SE"/>
              </w:rPr>
            </w:pPr>
            <w:r w:rsidRPr="00800D1B">
              <w:rPr>
                <w:color w:val="000000"/>
                <w:sz w:val="20"/>
                <w:lang w:val="sv-SE"/>
              </w:rPr>
              <w:t>Fond</w:t>
            </w:r>
          </w:p>
        </w:tc>
        <w:tc>
          <w:tcPr>
            <w:tcW w:w="0" w:type="auto"/>
          </w:tcPr>
          <w:p w14:paraId="2D06607A" w14:textId="77777777" w:rsidR="00A77B3E" w:rsidRPr="00800D1B" w:rsidRDefault="00623E14" w:rsidP="00B76590">
            <w:pPr>
              <w:spacing w:before="100" w:after="100"/>
              <w:ind w:left="-72"/>
              <w:jc w:val="center"/>
              <w:rPr>
                <w:color w:val="000000"/>
                <w:sz w:val="20"/>
                <w:lang w:val="sv-SE"/>
              </w:rPr>
            </w:pPr>
            <w:r w:rsidRPr="00800D1B">
              <w:rPr>
                <w:color w:val="000000"/>
                <w:sz w:val="20"/>
                <w:lang w:val="sv-SE"/>
              </w:rPr>
              <w:t>Regionkategori</w:t>
            </w:r>
          </w:p>
        </w:tc>
        <w:tc>
          <w:tcPr>
            <w:tcW w:w="0" w:type="auto"/>
          </w:tcPr>
          <w:p w14:paraId="2D06607B" w14:textId="77777777" w:rsidR="00A77B3E" w:rsidRPr="00800D1B" w:rsidRDefault="00623E14" w:rsidP="00B76590">
            <w:pPr>
              <w:spacing w:before="100" w:after="100"/>
              <w:ind w:left="-72"/>
              <w:jc w:val="center"/>
              <w:rPr>
                <w:color w:val="000000"/>
                <w:sz w:val="20"/>
                <w:lang w:val="sv-SE"/>
              </w:rPr>
            </w:pPr>
            <w:r w:rsidRPr="00800D1B">
              <w:rPr>
                <w:color w:val="000000"/>
                <w:sz w:val="20"/>
                <w:lang w:val="sv-SE"/>
              </w:rPr>
              <w:t>Kod</w:t>
            </w:r>
          </w:p>
        </w:tc>
        <w:tc>
          <w:tcPr>
            <w:tcW w:w="0" w:type="auto"/>
          </w:tcPr>
          <w:p w14:paraId="2D06607C" w14:textId="77777777" w:rsidR="00A77B3E" w:rsidRPr="00800D1B" w:rsidRDefault="00623E14" w:rsidP="00B76590">
            <w:pPr>
              <w:spacing w:before="100" w:after="100"/>
              <w:ind w:left="-72"/>
              <w:jc w:val="center"/>
              <w:rPr>
                <w:color w:val="000000"/>
                <w:sz w:val="20"/>
                <w:lang w:val="sv-SE"/>
              </w:rPr>
            </w:pPr>
            <w:r w:rsidRPr="00800D1B">
              <w:rPr>
                <w:color w:val="000000"/>
                <w:sz w:val="20"/>
                <w:lang w:val="sv-SE"/>
              </w:rPr>
              <w:t>Belopp (euro)</w:t>
            </w:r>
          </w:p>
        </w:tc>
      </w:tr>
    </w:tbl>
    <w:p w14:paraId="2D06607F" w14:textId="3B2EB836" w:rsidR="00A77B3E" w:rsidRPr="00800D1B" w:rsidRDefault="00623E14" w:rsidP="00D36B53">
      <w:pPr>
        <w:spacing w:before="360" w:after="100"/>
        <w:rPr>
          <w:lang w:val="sv-SE"/>
        </w:rPr>
      </w:pPr>
      <w:bookmarkStart w:id="109" w:name="_Toc256000350"/>
      <w:r w:rsidRPr="00800D1B">
        <w:rPr>
          <w:lang w:val="sv-SE"/>
        </w:rPr>
        <w:t>Tabell 8: Dimension 7 – ESF+, Eruf, Sammanhållningsfonden och FRO, jämställdhetsdimensionen</w:t>
      </w:r>
      <w:bookmarkEnd w:id="109"/>
    </w:p>
    <w:tbl>
      <w:tblPr>
        <w:tblStyle w:val="Tabellrutnt"/>
        <w:tblW w:w="5000" w:type="pct"/>
        <w:tblLook w:val="04A0" w:firstRow="1" w:lastRow="0" w:firstColumn="1" w:lastColumn="0" w:noHBand="0" w:noVBand="1"/>
        <w:tblDescription w:val="En tabell med sex kolumner: Prioritering; Specifikt mål; Fond; Regionkategori; Kod; Belopp (euro). Tabellen visar information om ESF+, Eruf, Sammanhållningsfonden och FRO, jämställdhetsdimensionen."/>
      </w:tblPr>
      <w:tblGrid>
        <w:gridCol w:w="1909"/>
        <w:gridCol w:w="2152"/>
        <w:gridCol w:w="1181"/>
        <w:gridCol w:w="3615"/>
        <w:gridCol w:w="4089"/>
        <w:gridCol w:w="2226"/>
      </w:tblGrid>
      <w:tr w:rsidR="003422DB" w:rsidRPr="00800D1B" w14:paraId="2D066087" w14:textId="77777777" w:rsidTr="00B76590">
        <w:tc>
          <w:tcPr>
            <w:tcW w:w="0" w:type="auto"/>
          </w:tcPr>
          <w:p w14:paraId="2D066081" w14:textId="77777777" w:rsidR="00A77B3E" w:rsidRPr="00800D1B" w:rsidRDefault="00623E14" w:rsidP="00B76590">
            <w:pPr>
              <w:spacing w:before="100" w:after="100"/>
              <w:ind w:left="-72"/>
              <w:jc w:val="center"/>
              <w:rPr>
                <w:color w:val="000000"/>
                <w:sz w:val="20"/>
                <w:lang w:val="sv-SE"/>
              </w:rPr>
            </w:pPr>
            <w:r w:rsidRPr="00800D1B">
              <w:rPr>
                <w:color w:val="000000"/>
                <w:sz w:val="20"/>
                <w:lang w:val="sv-SE"/>
              </w:rPr>
              <w:t>Prioritering</w:t>
            </w:r>
          </w:p>
        </w:tc>
        <w:tc>
          <w:tcPr>
            <w:tcW w:w="0" w:type="auto"/>
          </w:tcPr>
          <w:p w14:paraId="2D066082" w14:textId="77777777" w:rsidR="00A77B3E" w:rsidRPr="00800D1B" w:rsidRDefault="00623E14" w:rsidP="00B76590">
            <w:pPr>
              <w:spacing w:before="100" w:after="100"/>
              <w:ind w:left="-72"/>
              <w:jc w:val="center"/>
              <w:rPr>
                <w:color w:val="000000"/>
                <w:sz w:val="20"/>
                <w:lang w:val="sv-SE"/>
              </w:rPr>
            </w:pPr>
            <w:r w:rsidRPr="00800D1B">
              <w:rPr>
                <w:color w:val="000000"/>
                <w:sz w:val="20"/>
                <w:lang w:val="sv-SE"/>
              </w:rPr>
              <w:t>Specifikt mål</w:t>
            </w:r>
          </w:p>
        </w:tc>
        <w:tc>
          <w:tcPr>
            <w:tcW w:w="0" w:type="auto"/>
          </w:tcPr>
          <w:p w14:paraId="2D066083" w14:textId="77777777" w:rsidR="00A77B3E" w:rsidRPr="00800D1B" w:rsidRDefault="00623E14" w:rsidP="00B76590">
            <w:pPr>
              <w:spacing w:before="100" w:after="100"/>
              <w:ind w:left="-72"/>
              <w:jc w:val="center"/>
              <w:rPr>
                <w:color w:val="000000"/>
                <w:sz w:val="20"/>
                <w:lang w:val="sv-SE"/>
              </w:rPr>
            </w:pPr>
            <w:r w:rsidRPr="00800D1B">
              <w:rPr>
                <w:color w:val="000000"/>
                <w:sz w:val="20"/>
                <w:lang w:val="sv-SE"/>
              </w:rPr>
              <w:t>Fond</w:t>
            </w:r>
          </w:p>
        </w:tc>
        <w:tc>
          <w:tcPr>
            <w:tcW w:w="0" w:type="auto"/>
          </w:tcPr>
          <w:p w14:paraId="2D066084" w14:textId="77777777" w:rsidR="00A77B3E" w:rsidRPr="00800D1B" w:rsidRDefault="00623E14" w:rsidP="00B76590">
            <w:pPr>
              <w:spacing w:before="100" w:after="100"/>
              <w:ind w:left="-72"/>
              <w:jc w:val="center"/>
              <w:rPr>
                <w:color w:val="000000"/>
                <w:sz w:val="20"/>
                <w:lang w:val="sv-SE"/>
              </w:rPr>
            </w:pPr>
            <w:r w:rsidRPr="00800D1B">
              <w:rPr>
                <w:color w:val="000000"/>
                <w:sz w:val="20"/>
                <w:lang w:val="sv-SE"/>
              </w:rPr>
              <w:t>Regionkategori</w:t>
            </w:r>
          </w:p>
        </w:tc>
        <w:tc>
          <w:tcPr>
            <w:tcW w:w="0" w:type="auto"/>
          </w:tcPr>
          <w:p w14:paraId="2D066085" w14:textId="77777777" w:rsidR="00A77B3E" w:rsidRPr="00800D1B" w:rsidRDefault="00623E14" w:rsidP="00B76590">
            <w:pPr>
              <w:spacing w:before="100" w:after="100"/>
              <w:ind w:left="-72"/>
              <w:jc w:val="center"/>
              <w:rPr>
                <w:color w:val="000000"/>
                <w:sz w:val="20"/>
                <w:lang w:val="sv-SE"/>
              </w:rPr>
            </w:pPr>
            <w:r w:rsidRPr="00800D1B">
              <w:rPr>
                <w:color w:val="000000"/>
                <w:sz w:val="20"/>
                <w:lang w:val="sv-SE"/>
              </w:rPr>
              <w:t>Kod</w:t>
            </w:r>
          </w:p>
        </w:tc>
        <w:tc>
          <w:tcPr>
            <w:tcW w:w="0" w:type="auto"/>
          </w:tcPr>
          <w:p w14:paraId="2D066086" w14:textId="77777777" w:rsidR="00A77B3E" w:rsidRPr="00800D1B" w:rsidRDefault="00623E14" w:rsidP="00B76590">
            <w:pPr>
              <w:spacing w:before="100" w:after="100"/>
              <w:ind w:left="-72"/>
              <w:jc w:val="center"/>
              <w:rPr>
                <w:color w:val="000000"/>
                <w:sz w:val="20"/>
                <w:lang w:val="sv-SE"/>
              </w:rPr>
            </w:pPr>
            <w:r w:rsidRPr="00800D1B">
              <w:rPr>
                <w:color w:val="000000"/>
                <w:sz w:val="20"/>
                <w:lang w:val="sv-SE"/>
              </w:rPr>
              <w:t>Belopp (euro)</w:t>
            </w:r>
          </w:p>
        </w:tc>
      </w:tr>
      <w:tr w:rsidR="003422DB" w:rsidRPr="00800D1B" w14:paraId="2D06608E" w14:textId="77777777" w:rsidTr="00B76590">
        <w:tc>
          <w:tcPr>
            <w:tcW w:w="0" w:type="auto"/>
          </w:tcPr>
          <w:p w14:paraId="2D066088" w14:textId="77777777" w:rsidR="00A77B3E" w:rsidRPr="00800D1B" w:rsidRDefault="00623E14" w:rsidP="00B76590">
            <w:pPr>
              <w:spacing w:before="100" w:after="100"/>
              <w:ind w:left="-72"/>
              <w:rPr>
                <w:color w:val="000000"/>
                <w:sz w:val="20"/>
                <w:lang w:val="sv-SE"/>
              </w:rPr>
            </w:pPr>
            <w:r w:rsidRPr="00800D1B">
              <w:rPr>
                <w:color w:val="000000"/>
                <w:sz w:val="20"/>
                <w:lang w:val="sv-SE"/>
              </w:rPr>
              <w:t>4</w:t>
            </w:r>
          </w:p>
        </w:tc>
        <w:tc>
          <w:tcPr>
            <w:tcW w:w="0" w:type="auto"/>
          </w:tcPr>
          <w:p w14:paraId="2D066089" w14:textId="77777777" w:rsidR="00A77B3E" w:rsidRPr="00800D1B" w:rsidRDefault="00623E14" w:rsidP="00B76590">
            <w:pPr>
              <w:spacing w:before="100" w:after="100"/>
              <w:ind w:left="-72"/>
              <w:rPr>
                <w:color w:val="000000"/>
                <w:sz w:val="20"/>
                <w:lang w:val="sv-SE"/>
              </w:rPr>
            </w:pPr>
            <w:r w:rsidRPr="00800D1B">
              <w:rPr>
                <w:color w:val="000000"/>
                <w:sz w:val="20"/>
                <w:lang w:val="sv-SE"/>
              </w:rPr>
              <w:t>RSO2.2</w:t>
            </w:r>
          </w:p>
        </w:tc>
        <w:tc>
          <w:tcPr>
            <w:tcW w:w="0" w:type="auto"/>
          </w:tcPr>
          <w:p w14:paraId="2D06608A" w14:textId="77777777" w:rsidR="00A77B3E" w:rsidRPr="00800D1B" w:rsidRDefault="00623E14" w:rsidP="00B76590">
            <w:pPr>
              <w:spacing w:before="100" w:after="100"/>
              <w:ind w:left="-72"/>
              <w:rPr>
                <w:color w:val="000000"/>
                <w:sz w:val="20"/>
                <w:lang w:val="sv-SE"/>
              </w:rPr>
            </w:pPr>
            <w:r w:rsidRPr="00800D1B">
              <w:rPr>
                <w:color w:val="000000"/>
                <w:sz w:val="20"/>
                <w:lang w:val="sv-SE"/>
              </w:rPr>
              <w:t>Eruf</w:t>
            </w:r>
          </w:p>
        </w:tc>
        <w:tc>
          <w:tcPr>
            <w:tcW w:w="0" w:type="auto"/>
          </w:tcPr>
          <w:p w14:paraId="2D06608B" w14:textId="77777777" w:rsidR="00A77B3E" w:rsidRPr="00800D1B" w:rsidRDefault="00623E14" w:rsidP="00B76590">
            <w:pPr>
              <w:spacing w:before="100" w:after="100"/>
              <w:ind w:left="-72"/>
              <w:rPr>
                <w:color w:val="000000"/>
                <w:sz w:val="20"/>
                <w:lang w:val="sv-SE"/>
              </w:rPr>
            </w:pPr>
            <w:r w:rsidRPr="00800D1B">
              <w:rPr>
                <w:color w:val="000000"/>
                <w:sz w:val="20"/>
                <w:lang w:val="sv-SE"/>
              </w:rPr>
              <w:t>Mer utvecklade regioner</w:t>
            </w:r>
          </w:p>
        </w:tc>
        <w:tc>
          <w:tcPr>
            <w:tcW w:w="0" w:type="auto"/>
          </w:tcPr>
          <w:p w14:paraId="2D06608C" w14:textId="77777777" w:rsidR="00A77B3E" w:rsidRPr="00800D1B" w:rsidRDefault="00623E14" w:rsidP="00B76590">
            <w:pPr>
              <w:spacing w:before="100" w:after="100"/>
              <w:ind w:left="-72"/>
              <w:rPr>
                <w:color w:val="000000"/>
                <w:sz w:val="20"/>
                <w:lang w:val="sv-SE"/>
              </w:rPr>
            </w:pPr>
            <w:r w:rsidRPr="00800D1B">
              <w:rPr>
                <w:color w:val="000000"/>
                <w:sz w:val="20"/>
                <w:lang w:val="sv-SE"/>
              </w:rPr>
              <w:t>02. Jämställdhetsintegrering</w:t>
            </w:r>
          </w:p>
        </w:tc>
        <w:tc>
          <w:tcPr>
            <w:tcW w:w="0" w:type="auto"/>
          </w:tcPr>
          <w:p w14:paraId="2D06608D" w14:textId="77777777" w:rsidR="00A77B3E" w:rsidRPr="00800D1B" w:rsidRDefault="00623E14" w:rsidP="00B76590">
            <w:pPr>
              <w:spacing w:before="100" w:after="100"/>
              <w:ind w:left="-72"/>
              <w:jc w:val="right"/>
              <w:rPr>
                <w:color w:val="000000"/>
                <w:sz w:val="20"/>
                <w:lang w:val="sv-SE"/>
              </w:rPr>
            </w:pPr>
            <w:r w:rsidRPr="00800D1B">
              <w:rPr>
                <w:color w:val="000000"/>
                <w:sz w:val="20"/>
                <w:lang w:val="sv-SE"/>
              </w:rPr>
              <w:t>2 645 097,00</w:t>
            </w:r>
          </w:p>
        </w:tc>
      </w:tr>
      <w:tr w:rsidR="003422DB" w:rsidRPr="00800D1B" w14:paraId="2D066095" w14:textId="77777777" w:rsidTr="00B76590">
        <w:tc>
          <w:tcPr>
            <w:tcW w:w="0" w:type="auto"/>
          </w:tcPr>
          <w:p w14:paraId="2D06608F" w14:textId="77777777" w:rsidR="00A77B3E" w:rsidRPr="00800D1B" w:rsidRDefault="00623E14" w:rsidP="00B76590">
            <w:pPr>
              <w:spacing w:before="100" w:after="100"/>
              <w:ind w:left="-72"/>
              <w:rPr>
                <w:color w:val="000000"/>
                <w:sz w:val="20"/>
                <w:lang w:val="sv-SE"/>
              </w:rPr>
            </w:pPr>
            <w:r w:rsidRPr="00800D1B">
              <w:rPr>
                <w:color w:val="000000"/>
                <w:sz w:val="20"/>
                <w:lang w:val="sv-SE"/>
              </w:rPr>
              <w:t>4</w:t>
            </w:r>
          </w:p>
        </w:tc>
        <w:tc>
          <w:tcPr>
            <w:tcW w:w="0" w:type="auto"/>
          </w:tcPr>
          <w:p w14:paraId="2D066090" w14:textId="77777777" w:rsidR="00A77B3E" w:rsidRPr="00800D1B" w:rsidRDefault="00623E14" w:rsidP="00B76590">
            <w:pPr>
              <w:spacing w:before="100" w:after="100"/>
              <w:ind w:left="-72"/>
              <w:rPr>
                <w:color w:val="000000"/>
                <w:sz w:val="20"/>
                <w:lang w:val="sv-SE"/>
              </w:rPr>
            </w:pPr>
            <w:r w:rsidRPr="00800D1B">
              <w:rPr>
                <w:color w:val="000000"/>
                <w:sz w:val="20"/>
                <w:lang w:val="sv-SE"/>
              </w:rPr>
              <w:t>RSO2.2</w:t>
            </w:r>
          </w:p>
        </w:tc>
        <w:tc>
          <w:tcPr>
            <w:tcW w:w="0" w:type="auto"/>
          </w:tcPr>
          <w:p w14:paraId="2D066091" w14:textId="77777777" w:rsidR="00A77B3E" w:rsidRPr="00800D1B" w:rsidRDefault="00623E14" w:rsidP="00B76590">
            <w:pPr>
              <w:spacing w:before="100" w:after="100"/>
              <w:ind w:left="-72"/>
              <w:rPr>
                <w:color w:val="000000"/>
                <w:sz w:val="20"/>
                <w:lang w:val="sv-SE"/>
              </w:rPr>
            </w:pPr>
            <w:r w:rsidRPr="00800D1B">
              <w:rPr>
                <w:color w:val="000000"/>
                <w:sz w:val="20"/>
                <w:lang w:val="sv-SE"/>
              </w:rPr>
              <w:t>Eruf</w:t>
            </w:r>
          </w:p>
        </w:tc>
        <w:tc>
          <w:tcPr>
            <w:tcW w:w="0" w:type="auto"/>
          </w:tcPr>
          <w:p w14:paraId="2D066092" w14:textId="77777777" w:rsidR="00A77B3E" w:rsidRPr="00800D1B" w:rsidRDefault="00623E14" w:rsidP="00B76590">
            <w:pPr>
              <w:spacing w:before="100" w:after="100"/>
              <w:ind w:left="-72"/>
              <w:rPr>
                <w:color w:val="000000"/>
                <w:sz w:val="20"/>
                <w:lang w:val="sv-SE"/>
              </w:rPr>
            </w:pPr>
            <w:r w:rsidRPr="00800D1B">
              <w:rPr>
                <w:color w:val="000000"/>
                <w:sz w:val="20"/>
                <w:lang w:val="sv-SE"/>
              </w:rPr>
              <w:t>Mer utvecklade regioner</w:t>
            </w:r>
          </w:p>
        </w:tc>
        <w:tc>
          <w:tcPr>
            <w:tcW w:w="0" w:type="auto"/>
          </w:tcPr>
          <w:p w14:paraId="2D066093" w14:textId="77777777" w:rsidR="00A77B3E" w:rsidRPr="00800D1B" w:rsidRDefault="00623E14" w:rsidP="00B76590">
            <w:pPr>
              <w:spacing w:before="100" w:after="100"/>
              <w:ind w:left="-72"/>
              <w:rPr>
                <w:color w:val="000000"/>
                <w:sz w:val="20"/>
                <w:lang w:val="sv-SE"/>
              </w:rPr>
            </w:pPr>
            <w:r w:rsidRPr="00800D1B">
              <w:rPr>
                <w:color w:val="000000"/>
                <w:sz w:val="20"/>
                <w:lang w:val="sv-SE"/>
              </w:rPr>
              <w:t>03. Könsneutralitet</w:t>
            </w:r>
          </w:p>
        </w:tc>
        <w:tc>
          <w:tcPr>
            <w:tcW w:w="0" w:type="auto"/>
          </w:tcPr>
          <w:p w14:paraId="2D066094" w14:textId="77777777" w:rsidR="00A77B3E" w:rsidRPr="00800D1B" w:rsidRDefault="00623E14" w:rsidP="00B76590">
            <w:pPr>
              <w:spacing w:before="100" w:after="100"/>
              <w:ind w:left="-72"/>
              <w:jc w:val="right"/>
              <w:rPr>
                <w:color w:val="000000"/>
                <w:sz w:val="20"/>
                <w:lang w:val="sv-SE"/>
              </w:rPr>
            </w:pPr>
            <w:r w:rsidRPr="00800D1B">
              <w:rPr>
                <w:color w:val="000000"/>
                <w:sz w:val="20"/>
                <w:lang w:val="sv-SE"/>
              </w:rPr>
              <w:t>3 967 646,00</w:t>
            </w:r>
          </w:p>
        </w:tc>
      </w:tr>
      <w:tr w:rsidR="003422DB" w:rsidRPr="00800D1B" w14:paraId="2D06609C" w14:textId="77777777" w:rsidTr="00B76590">
        <w:tc>
          <w:tcPr>
            <w:tcW w:w="0" w:type="auto"/>
          </w:tcPr>
          <w:p w14:paraId="2D066096" w14:textId="77777777" w:rsidR="00A77B3E" w:rsidRPr="00800D1B" w:rsidRDefault="00623E14" w:rsidP="00B76590">
            <w:pPr>
              <w:spacing w:before="100" w:after="100"/>
              <w:ind w:left="-72"/>
              <w:rPr>
                <w:color w:val="000000"/>
                <w:sz w:val="20"/>
                <w:lang w:val="sv-SE"/>
              </w:rPr>
            </w:pPr>
            <w:r w:rsidRPr="00800D1B">
              <w:rPr>
                <w:color w:val="000000"/>
                <w:sz w:val="20"/>
                <w:lang w:val="sv-SE"/>
              </w:rPr>
              <w:t>4</w:t>
            </w:r>
          </w:p>
        </w:tc>
        <w:tc>
          <w:tcPr>
            <w:tcW w:w="0" w:type="auto"/>
          </w:tcPr>
          <w:p w14:paraId="2D066097" w14:textId="77777777" w:rsidR="00A77B3E" w:rsidRPr="00800D1B" w:rsidRDefault="00623E14" w:rsidP="00B76590">
            <w:pPr>
              <w:spacing w:before="100" w:after="100"/>
              <w:ind w:left="-72"/>
              <w:rPr>
                <w:color w:val="000000"/>
                <w:sz w:val="20"/>
                <w:lang w:val="sv-SE"/>
              </w:rPr>
            </w:pPr>
            <w:r w:rsidRPr="00800D1B">
              <w:rPr>
                <w:color w:val="000000"/>
                <w:sz w:val="20"/>
                <w:lang w:val="sv-SE"/>
              </w:rPr>
              <w:t>RSO2.2</w:t>
            </w:r>
          </w:p>
        </w:tc>
        <w:tc>
          <w:tcPr>
            <w:tcW w:w="0" w:type="auto"/>
          </w:tcPr>
          <w:p w14:paraId="2D066098" w14:textId="77777777" w:rsidR="00A77B3E" w:rsidRPr="00800D1B" w:rsidRDefault="00623E14" w:rsidP="00B76590">
            <w:pPr>
              <w:spacing w:before="100" w:after="100"/>
              <w:ind w:left="-72"/>
              <w:rPr>
                <w:color w:val="000000"/>
                <w:sz w:val="20"/>
                <w:lang w:val="sv-SE"/>
              </w:rPr>
            </w:pPr>
            <w:r w:rsidRPr="00800D1B">
              <w:rPr>
                <w:color w:val="000000"/>
                <w:sz w:val="20"/>
                <w:lang w:val="sv-SE"/>
              </w:rPr>
              <w:t>Totalt</w:t>
            </w:r>
          </w:p>
        </w:tc>
        <w:tc>
          <w:tcPr>
            <w:tcW w:w="0" w:type="auto"/>
          </w:tcPr>
          <w:p w14:paraId="2D066099" w14:textId="77777777" w:rsidR="00A77B3E" w:rsidRPr="00800D1B" w:rsidRDefault="00A77B3E" w:rsidP="00B76590">
            <w:pPr>
              <w:spacing w:before="100" w:after="100"/>
              <w:ind w:left="-72"/>
              <w:rPr>
                <w:color w:val="000000"/>
                <w:sz w:val="20"/>
                <w:lang w:val="sv-SE"/>
              </w:rPr>
            </w:pPr>
          </w:p>
        </w:tc>
        <w:tc>
          <w:tcPr>
            <w:tcW w:w="0" w:type="auto"/>
          </w:tcPr>
          <w:p w14:paraId="2D06609A" w14:textId="77777777" w:rsidR="00A77B3E" w:rsidRPr="00800D1B" w:rsidRDefault="00A77B3E" w:rsidP="00B76590">
            <w:pPr>
              <w:spacing w:before="100" w:after="100"/>
              <w:ind w:left="-72"/>
              <w:rPr>
                <w:color w:val="000000"/>
                <w:sz w:val="20"/>
                <w:lang w:val="sv-SE"/>
              </w:rPr>
            </w:pPr>
          </w:p>
        </w:tc>
        <w:tc>
          <w:tcPr>
            <w:tcW w:w="0" w:type="auto"/>
          </w:tcPr>
          <w:p w14:paraId="2D06609B" w14:textId="77777777" w:rsidR="00A77B3E" w:rsidRPr="00800D1B" w:rsidRDefault="00623E14" w:rsidP="00B76590">
            <w:pPr>
              <w:spacing w:before="100" w:after="100"/>
              <w:ind w:left="-72"/>
              <w:jc w:val="right"/>
              <w:rPr>
                <w:color w:val="000000"/>
                <w:sz w:val="20"/>
                <w:lang w:val="sv-SE"/>
              </w:rPr>
            </w:pPr>
            <w:r w:rsidRPr="00800D1B">
              <w:rPr>
                <w:color w:val="000000"/>
                <w:sz w:val="20"/>
                <w:lang w:val="sv-SE"/>
              </w:rPr>
              <w:t>6 612 743,00</w:t>
            </w:r>
          </w:p>
        </w:tc>
      </w:tr>
    </w:tbl>
    <w:p w14:paraId="2D06609D" w14:textId="7BE21844" w:rsidR="00A77B3E" w:rsidRPr="00800D1B" w:rsidRDefault="00623E14">
      <w:pPr>
        <w:spacing w:before="100"/>
        <w:rPr>
          <w:color w:val="000000"/>
          <w:sz w:val="20"/>
          <w:lang w:val="sv-SE"/>
        </w:rPr>
      </w:pPr>
      <w:r w:rsidRPr="00800D1B">
        <w:rPr>
          <w:color w:val="000000"/>
          <w:sz w:val="20"/>
          <w:lang w:val="sv-SE"/>
        </w:rPr>
        <w:t>* För ESF+ bidrar i princip 40 % av ESF+-medlen till uppföljning av jämställdheten. 100 % är tillämpligt när medlemsstaten väljer att använda artikel 6 i ESF+</w:t>
      </w:r>
    </w:p>
    <w:p w14:paraId="7C96F6FD" w14:textId="77777777" w:rsidR="00B76590" w:rsidRPr="00800D1B" w:rsidRDefault="00B76590">
      <w:pPr>
        <w:spacing w:before="100"/>
        <w:rPr>
          <w:color w:val="000000"/>
          <w:sz w:val="20"/>
          <w:lang w:val="sv-SE"/>
        </w:rPr>
        <w:sectPr w:rsidR="00B76590" w:rsidRPr="00800D1B" w:rsidSect="0065165D">
          <w:pgSz w:w="16838" w:h="11906" w:orient="landscape" w:code="9"/>
          <w:pgMar w:top="720" w:right="720" w:bottom="864" w:left="936" w:header="288" w:footer="72" w:gutter="0"/>
          <w:cols w:space="720"/>
          <w:noEndnote/>
          <w:docGrid w:linePitch="360"/>
        </w:sectPr>
      </w:pPr>
    </w:p>
    <w:p w14:paraId="2D06609E" w14:textId="70203A3A" w:rsidR="00A77B3E" w:rsidRPr="00800D1B" w:rsidRDefault="00623E14">
      <w:pPr>
        <w:pStyle w:val="Rubrik5"/>
        <w:numPr>
          <w:ilvl w:val="3"/>
          <w:numId w:val="91"/>
        </w:numPr>
        <w:spacing w:before="200"/>
        <w:ind w:left="360"/>
      </w:pPr>
      <w:bookmarkStart w:id="110" w:name="_Toc256000351"/>
      <w:r w:rsidRPr="00800D1B">
        <w:t>Specifikt mål: RSO2.3. Utveckla smarta energisystem, smarta nät och smart lagring utanför TEN-E (Eruf)</w:t>
      </w:r>
      <w:bookmarkEnd w:id="110"/>
    </w:p>
    <w:p w14:paraId="2D06609F" w14:textId="77777777" w:rsidR="00A77B3E" w:rsidRPr="00800D1B" w:rsidRDefault="00A77B3E" w:rsidP="00B76590">
      <w:pPr>
        <w:spacing w:before="100"/>
        <w:rPr>
          <w:color w:val="000000"/>
          <w:sz w:val="0"/>
          <w:lang w:val="sv-SE"/>
        </w:rPr>
      </w:pPr>
    </w:p>
    <w:p w14:paraId="2D0660A0" w14:textId="0E561115" w:rsidR="00A77B3E" w:rsidRPr="00800D1B" w:rsidRDefault="00623E14" w:rsidP="00B76590">
      <w:pPr>
        <w:pStyle w:val="Rubrik6"/>
        <w:numPr>
          <w:ilvl w:val="4"/>
          <w:numId w:val="26"/>
        </w:numPr>
        <w:ind w:left="0" w:firstLine="0"/>
      </w:pPr>
      <w:bookmarkStart w:id="111" w:name="_Toc256000352"/>
      <w:r w:rsidRPr="00800D1B">
        <w:t>Interventioner inom ramen för fonderna</w:t>
      </w:r>
      <w:bookmarkEnd w:id="111"/>
    </w:p>
    <w:p w14:paraId="2D0660A1" w14:textId="77777777" w:rsidR="00A77B3E" w:rsidRPr="00800D1B" w:rsidRDefault="00A77B3E">
      <w:pPr>
        <w:spacing w:before="100"/>
        <w:rPr>
          <w:color w:val="000000"/>
          <w:sz w:val="0"/>
          <w:lang w:val="sv-SE"/>
        </w:rPr>
      </w:pPr>
    </w:p>
    <w:p w14:paraId="2D0660A2" w14:textId="77777777" w:rsidR="00A77B3E" w:rsidRPr="00800D1B" w:rsidRDefault="00623E14">
      <w:pPr>
        <w:spacing w:before="100"/>
        <w:rPr>
          <w:color w:val="000000"/>
          <w:sz w:val="0"/>
          <w:lang w:val="sv-SE"/>
        </w:rPr>
      </w:pPr>
      <w:r w:rsidRPr="00800D1B">
        <w:rPr>
          <w:color w:val="000000"/>
          <w:lang w:val="sv-SE"/>
        </w:rPr>
        <w:t>Referens: artikel 22.3 d i, iii, iv, v, vi och vii i förordningen om gemensamma bestämmelser</w:t>
      </w:r>
    </w:p>
    <w:bookmarkStart w:id="112" w:name="_Toc256000353"/>
    <w:p w14:paraId="2D0660A3" w14:textId="4CB5060D" w:rsidR="00A77B3E" w:rsidRPr="00800D1B" w:rsidRDefault="008D35C9" w:rsidP="00A71A06">
      <w:pPr>
        <w:spacing w:before="100"/>
        <w:rPr>
          <w:lang w:val="sv-SE"/>
        </w:rPr>
      </w:pPr>
      <w:r w:rsidRPr="00800D1B">
        <w:rPr>
          <w:color w:val="000000"/>
          <w:lang w:val="sv-SE"/>
        </w:rPr>
        <mc:AlternateContent>
          <mc:Choice Requires="wps">
            <w:drawing>
              <wp:anchor distT="0" distB="0" distL="114300" distR="114300" simplePos="0" relativeHeight="251668480" behindDoc="0" locked="0" layoutInCell="1" allowOverlap="1" wp14:anchorId="18E4B001" wp14:editId="48E5D271">
                <wp:simplePos x="0" y="0"/>
                <wp:positionH relativeFrom="column">
                  <wp:posOffset>-15240</wp:posOffset>
                </wp:positionH>
                <wp:positionV relativeFrom="page">
                  <wp:posOffset>1596390</wp:posOffset>
                </wp:positionV>
                <wp:extent cx="9585960" cy="5425440"/>
                <wp:effectExtent l="0" t="0" r="15240" b="22860"/>
                <wp:wrapNone/>
                <wp:docPr id="11" name="Rectangle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585960" cy="542544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F6789AA" id="Rectangle 11" o:spid="_x0000_s1026" alt="&quot;&quot;" style="position:absolute;margin-left:-1.2pt;margin-top:125.7pt;width:754.8pt;height:427.2pt;z-index:25166848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" filled="f" strokecolor="black [3213]" strokeweight=".5pt">
                <w10:wrap anchory="page"/>
              </v:rect>
            </w:pict>
          </mc:Fallback>
        </mc:AlternateContent>
      </w:r>
      <w:r w:rsidR="00623E14" w:rsidRPr="00800D1B">
        <w:rPr>
          <w:lang w:val="sv-SE"/>
        </w:rPr>
        <w:t>Relaterade typer av åtgärder – artikel 22.3 d i i förordningen om gemensamma bestämmelser och artikel 6 i ESF+-förordningen</w:t>
      </w:r>
      <w:bookmarkEnd w:id="112"/>
    </w:p>
    <w:p w14:paraId="2D0660A4" w14:textId="77777777" w:rsidR="00A77B3E" w:rsidRPr="00800D1B" w:rsidRDefault="00A77B3E">
      <w:pPr>
        <w:spacing w:before="100"/>
        <w:rPr>
          <w:color w:val="000000"/>
          <w:sz w:val="0"/>
          <w:lang w:val="sv-SE"/>
        </w:rPr>
      </w:pPr>
    </w:p>
    <w:p w14:paraId="794F6506" w14:textId="31E0CEC0" w:rsidR="005678C4" w:rsidRPr="00800D1B" w:rsidRDefault="005678C4" w:rsidP="008D35C9">
      <w:pPr>
        <w:spacing w:before="120"/>
        <w:ind w:left="101" w:right="115"/>
        <w:rPr>
          <w:color w:val="000000"/>
          <w:lang w:val="sv-SE"/>
        </w:rPr>
      </w:pPr>
      <w:r w:rsidRPr="00800D1B">
        <w:rPr>
          <w:color w:val="000000"/>
          <w:lang w:val="sv-SE"/>
        </w:rPr>
        <w:t>Klimatomställningen innebär att el som energibärare får en allt viktigare roll. Insatserna är i linje med målen i Sveriges NECP som utgår från Sveriges befintliga mål och beslutade styrmedel och åtgärder för energi- och klimatområdet. Tillräcklig överföringskapacitet i elnäten och effekthushållning är förutsättningar för att kunna bedriva näringslivsverksamhet i allmänhet och industriell verksamhet i synnerhet.</w:t>
      </w:r>
    </w:p>
    <w:p w14:paraId="75E384A6" w14:textId="77777777" w:rsidR="005678C4" w:rsidRPr="00800D1B" w:rsidRDefault="005678C4" w:rsidP="005678C4">
      <w:pPr>
        <w:spacing w:before="100"/>
        <w:ind w:left="101" w:right="115"/>
        <w:rPr>
          <w:color w:val="000000"/>
          <w:lang w:val="sv-SE"/>
        </w:rPr>
      </w:pPr>
      <w:r w:rsidRPr="00800D1B">
        <w:rPr>
          <w:color w:val="000000"/>
          <w:lang w:val="sv-SE"/>
        </w:rPr>
        <w:t>En ökad andel lokal och regional förnybar intermittent el från sol och landbaserad vind ställer nya krav på styrning av, och lagring i, energisystemet. Detta är en relativt ny företeelse i ÖN och därmed krävs insatser som bidrar till att öka kompetensen kring olika metoder och modeller för att hantera detta nya scenario.</w:t>
      </w:r>
    </w:p>
    <w:p w14:paraId="3464BCAE" w14:textId="77777777" w:rsidR="005678C4" w:rsidRPr="00800D1B" w:rsidRDefault="005678C4" w:rsidP="005678C4">
      <w:pPr>
        <w:spacing w:before="100"/>
        <w:ind w:left="101" w:right="115"/>
        <w:rPr>
          <w:color w:val="000000"/>
          <w:lang w:val="sv-SE"/>
        </w:rPr>
      </w:pPr>
      <w:r w:rsidRPr="00800D1B">
        <w:rPr>
          <w:color w:val="000000"/>
          <w:lang w:val="sv-SE"/>
        </w:rPr>
        <w:t>Genom att skapa hållbara lokala och regionala infrastrukturlösningar samt stimulera uppbyggnaden av nätverk och kluster av företag som tillsammans kan erbjuda innovativa lösningar för energilagring kan utvecklingen mot hållbara samhällen främjas.</w:t>
      </w:r>
    </w:p>
    <w:p w14:paraId="17A73A1A" w14:textId="77777777" w:rsidR="005678C4" w:rsidRPr="00800D1B" w:rsidRDefault="005678C4" w:rsidP="005678C4">
      <w:pPr>
        <w:spacing w:before="100"/>
        <w:ind w:left="101" w:right="115"/>
        <w:rPr>
          <w:color w:val="000000"/>
          <w:lang w:val="sv-SE"/>
        </w:rPr>
      </w:pPr>
      <w:r w:rsidRPr="00800D1B">
        <w:rPr>
          <w:color w:val="000000"/>
          <w:lang w:val="sv-SE"/>
        </w:rPr>
        <w:t>Metoder och innovationer för att nyttiggöra överskottsenergi från en verksamhet som primärenergi i en annan verksamhet bör främjas. Detta bidrar till hållbar produktion och konsumtion genom utveckling av cirkulära flöden och processer.</w:t>
      </w:r>
    </w:p>
    <w:p w14:paraId="056CB796" w14:textId="77777777" w:rsidR="005678C4" w:rsidRPr="00800D1B" w:rsidRDefault="005678C4" w:rsidP="005678C4">
      <w:pPr>
        <w:spacing w:before="100"/>
        <w:ind w:left="101" w:right="115"/>
        <w:rPr>
          <w:color w:val="000000"/>
          <w:lang w:val="sv-SE"/>
        </w:rPr>
      </w:pPr>
      <w:r w:rsidRPr="00800D1B">
        <w:rPr>
          <w:color w:val="000000"/>
          <w:lang w:val="sv-SE"/>
        </w:rPr>
        <w:t>För att lösa problematiken med en ökad intermittent elproduktion krävs implementering av lösningar som främjar en anpassningsbar energianvändning, exempelvis smarta elnät. </w:t>
      </w:r>
    </w:p>
    <w:p w14:paraId="36CBBB8D" w14:textId="77777777" w:rsidR="005678C4" w:rsidRPr="00800D1B" w:rsidRDefault="005678C4" w:rsidP="005678C4">
      <w:pPr>
        <w:spacing w:before="100"/>
        <w:ind w:left="101" w:right="115"/>
        <w:rPr>
          <w:color w:val="000000"/>
          <w:lang w:val="sv-SE"/>
        </w:rPr>
      </w:pPr>
      <w:r w:rsidRPr="00800D1B">
        <w:rPr>
          <w:color w:val="000000"/>
          <w:lang w:val="sv-SE"/>
        </w:rPr>
        <w:t>Insatserna ska vara inkluderande och öppna för en bredd av aktörer, branscher och grupper. Smarta energisystem underlättar för energianvändare att dela med sig av energi vid överskott och kan leda till att möjligheter till lokal lagring eller omvandling av energi identifieras, varefter lokala nät kan byggas där symbios mellan olika aktörers energianvändning kan uppstå.</w:t>
      </w:r>
    </w:p>
    <w:p w14:paraId="40E6E3B1" w14:textId="77777777" w:rsidR="005678C4" w:rsidRPr="00800D1B" w:rsidRDefault="005678C4" w:rsidP="005678C4">
      <w:pPr>
        <w:spacing w:before="100"/>
        <w:ind w:left="101" w:right="115"/>
        <w:rPr>
          <w:color w:val="000000"/>
          <w:lang w:val="sv-SE"/>
        </w:rPr>
      </w:pPr>
      <w:r w:rsidRPr="00800D1B">
        <w:rPr>
          <w:color w:val="000000"/>
          <w:lang w:val="sv-SE"/>
        </w:rPr>
        <w:t>Möjligheten till lokal lagring av energi vid produktionstoppar lyfts fram som ett fokusområde kopplat till utvecklingen av smarta energisystem. Genom att utveckla och tillämpa olika former av energilagringsteknik kan svängningar i energisystemet minskas, redundansen stärkas, och intermittent elenergi omvandlas till andra energislag.</w:t>
      </w:r>
    </w:p>
    <w:p w14:paraId="74B9E479" w14:textId="77777777" w:rsidR="005678C4" w:rsidRPr="00800D1B" w:rsidRDefault="005678C4" w:rsidP="005678C4">
      <w:pPr>
        <w:spacing w:before="100"/>
        <w:ind w:left="101" w:right="115"/>
        <w:rPr>
          <w:color w:val="000000"/>
          <w:lang w:val="sv-SE"/>
        </w:rPr>
      </w:pPr>
      <w:r w:rsidRPr="00800D1B">
        <w:rPr>
          <w:color w:val="000000"/>
          <w:lang w:val="sv-SE"/>
        </w:rPr>
        <w:t>För att åstadkomma de efterfrågade förändringarna och stärka företagens konkurrenskraft behövs kompetensförstärkning och kunskapsutveckling kring olika metoder för energilagring och smarta elnät. Regionala nätverk och kluster av företag som tillsammans kan erbjuda olika typer av energilagringsmetoder och styrsystem för elnätet behöver utvecklas och stärkas.</w:t>
      </w:r>
    </w:p>
    <w:p w14:paraId="1A7EFABC" w14:textId="77777777" w:rsidR="005678C4" w:rsidRPr="00800D1B" w:rsidRDefault="005678C4" w:rsidP="005678C4">
      <w:pPr>
        <w:spacing w:before="100"/>
        <w:ind w:left="101" w:right="115"/>
        <w:rPr>
          <w:color w:val="000000"/>
          <w:lang w:val="sv-SE"/>
        </w:rPr>
      </w:pPr>
      <w:r w:rsidRPr="00800D1B">
        <w:rPr>
          <w:color w:val="000000"/>
          <w:lang w:val="sv-SE"/>
        </w:rPr>
        <w:t>Insatserna är i linje med målen i Sveriges NECP som utgår från nationens befintliga mål och beslutade styrmedel och åtgärder för energi- och klimatområdet. Behoven som det nya flexibla energisystemet behöver fylla, särskilt efter 2030 då utsläppen från inrikes transporter förutom flyg, ska ha minskat med minst 70% jämfört med 2010, är svåra att förutse. Därför finns ett behov av inventeringar, kartläggningar och analyser som kan bidra till en ökad förståelse för vilka behov som kan komma att behöva mötas.</w:t>
      </w:r>
    </w:p>
    <w:p w14:paraId="1465ACAE" w14:textId="19785C74" w:rsidR="005678C4" w:rsidRPr="00800D1B" w:rsidRDefault="005678C4" w:rsidP="005678C4">
      <w:pPr>
        <w:spacing w:before="100"/>
        <w:ind w:left="101" w:right="115"/>
        <w:rPr>
          <w:color w:val="000000"/>
          <w:lang w:val="sv-SE"/>
        </w:rPr>
      </w:pPr>
      <w:r w:rsidRPr="00800D1B">
        <w:rPr>
          <w:color w:val="000000"/>
          <w:lang w:val="sv-SE"/>
        </w:rPr>
        <w:t xml:space="preserve">Det stora fokuset på hållbar omställning som programmet efterfrågar medför också att företagens ekonomiska egenintressen är sekundära i interventionerna. Bidrag kan därför behövas för att motivera företagen till att delta i omställningsprocesserna i de fall där det inte finns ett tillräckligt starkt </w:t>
      </w:r>
      <w:r w:rsidR="006B24DD" w:rsidRPr="00800D1B">
        <w:rPr>
          <w:color w:val="000000"/>
          <w:lang w:val="sv-SE"/>
        </w:rPr>
        <mc:AlternateContent>
          <mc:Choice Requires="wps">
            <w:drawing>
              <wp:anchor distT="0" distB="0" distL="114300" distR="114300" simplePos="0" relativeHeight="251669504" behindDoc="0" locked="0" layoutInCell="1" allowOverlap="1" wp14:anchorId="397F93AD" wp14:editId="1838DC5C">
                <wp:simplePos x="0" y="0"/>
                <wp:positionH relativeFrom="column">
                  <wp:posOffset>7620</wp:posOffset>
                </wp:positionH>
                <wp:positionV relativeFrom="page">
                  <wp:posOffset>365760</wp:posOffset>
                </wp:positionV>
                <wp:extent cx="9563100" cy="3520440"/>
                <wp:effectExtent l="0" t="0" r="19050" b="22860"/>
                <wp:wrapNone/>
                <wp:docPr id="12" name="Rectangle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563100" cy="352044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09F6625" id="Rectangle 12" o:spid="_x0000_s1026" alt="&quot;&quot;" style="position:absolute;margin-left:.6pt;margin-top:28.8pt;width:753pt;height:277.2pt;z-index:25166950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" filled="f" strokecolor="black [3213]" strokeweight=".5pt">
                <w10:wrap anchory="page"/>
              </v:rect>
            </w:pict>
          </mc:Fallback>
        </mc:AlternateContent>
      </w:r>
      <w:r w:rsidRPr="00800D1B">
        <w:rPr>
          <w:color w:val="000000"/>
          <w:lang w:val="sv-SE"/>
        </w:rPr>
        <w:t>ekonomiskt incitament för företaget att själv investera. Det specifika målet fokuserar på att ge icke-finansiellt stöd till små och medelstora företag och kommer inte att generera direkta inkomster eller leda till kostnadsbesparingar för små och medelstora företag.</w:t>
      </w:r>
    </w:p>
    <w:p w14:paraId="1B9E5366" w14:textId="77777777" w:rsidR="005678C4" w:rsidRPr="00800D1B" w:rsidRDefault="005678C4" w:rsidP="006B24DD">
      <w:pPr>
        <w:spacing w:before="100"/>
        <w:ind w:left="101" w:right="115"/>
        <w:rPr>
          <w:color w:val="000000"/>
          <w:lang w:val="sv-SE"/>
        </w:rPr>
      </w:pPr>
      <w:r w:rsidRPr="00800D1B">
        <w:rPr>
          <w:color w:val="000000"/>
          <w:lang w:val="sv-SE"/>
        </w:rPr>
        <w:t xml:space="preserve">Exempel på konkreta åtgärder: </w:t>
      </w:r>
    </w:p>
    <w:p w14:paraId="23F22EC6" w14:textId="77777777" w:rsidR="005678C4" w:rsidRPr="00800D1B" w:rsidRDefault="005678C4">
      <w:pPr>
        <w:pStyle w:val="Liststycke"/>
        <w:numPr>
          <w:ilvl w:val="0"/>
          <w:numId w:val="27"/>
        </w:numPr>
        <w:spacing w:before="100"/>
        <w:ind w:left="258" w:right="115" w:hanging="157"/>
        <w:contextualSpacing w:val="0"/>
        <w:rPr>
          <w:color w:val="000000"/>
          <w:lang w:val="sv-SE"/>
        </w:rPr>
      </w:pPr>
      <w:r w:rsidRPr="00800D1B">
        <w:rPr>
          <w:color w:val="000000"/>
          <w:lang w:val="sv-SE"/>
        </w:rPr>
        <w:t>Förstudier</w:t>
      </w:r>
    </w:p>
    <w:p w14:paraId="1CF916AF" w14:textId="77777777" w:rsidR="005678C4" w:rsidRPr="00800D1B" w:rsidRDefault="005678C4">
      <w:pPr>
        <w:pStyle w:val="Liststycke"/>
        <w:numPr>
          <w:ilvl w:val="0"/>
          <w:numId w:val="27"/>
        </w:numPr>
        <w:spacing w:before="100"/>
        <w:ind w:left="258" w:right="115" w:hanging="157"/>
        <w:contextualSpacing w:val="0"/>
        <w:rPr>
          <w:color w:val="000000"/>
          <w:lang w:val="sv-SE"/>
        </w:rPr>
      </w:pPr>
      <w:r w:rsidRPr="00800D1B">
        <w:rPr>
          <w:color w:val="000000"/>
          <w:lang w:val="sv-SE"/>
        </w:rPr>
        <w:t>Öka kompetensen kring olika metoder för lagring av förnybar energi. </w:t>
      </w:r>
    </w:p>
    <w:p w14:paraId="1AE7E642" w14:textId="77777777" w:rsidR="005678C4" w:rsidRPr="00800D1B" w:rsidRDefault="005678C4">
      <w:pPr>
        <w:pStyle w:val="Liststycke"/>
        <w:numPr>
          <w:ilvl w:val="0"/>
          <w:numId w:val="27"/>
        </w:numPr>
        <w:spacing w:before="100"/>
        <w:ind w:left="258" w:right="115" w:hanging="157"/>
        <w:contextualSpacing w:val="0"/>
        <w:rPr>
          <w:color w:val="000000"/>
          <w:lang w:val="sv-SE"/>
        </w:rPr>
      </w:pPr>
      <w:r w:rsidRPr="00800D1B">
        <w:rPr>
          <w:color w:val="000000"/>
          <w:lang w:val="sv-SE"/>
        </w:rPr>
        <w:t>Främja utvecklingen av styrsystem för distribution och lagring av förnybar energi. </w:t>
      </w:r>
    </w:p>
    <w:p w14:paraId="4D792BAC" w14:textId="77777777" w:rsidR="005678C4" w:rsidRPr="00800D1B" w:rsidRDefault="005678C4">
      <w:pPr>
        <w:pStyle w:val="Liststycke"/>
        <w:numPr>
          <w:ilvl w:val="0"/>
          <w:numId w:val="27"/>
        </w:numPr>
        <w:spacing w:before="100"/>
        <w:ind w:left="258" w:right="115" w:hanging="157"/>
        <w:contextualSpacing w:val="0"/>
        <w:rPr>
          <w:color w:val="000000"/>
          <w:lang w:val="sv-SE"/>
        </w:rPr>
      </w:pPr>
      <w:r w:rsidRPr="00800D1B">
        <w:rPr>
          <w:color w:val="000000"/>
          <w:lang w:val="sv-SE"/>
        </w:rPr>
        <w:t>Stimulera uppbyggnaden av nätverk och kluster av företag som tillsammans kan erbjuda lösningar för energilagring. </w:t>
      </w:r>
    </w:p>
    <w:p w14:paraId="3C8D3A14" w14:textId="77777777" w:rsidR="005678C4" w:rsidRPr="00800D1B" w:rsidRDefault="005678C4">
      <w:pPr>
        <w:pStyle w:val="Liststycke"/>
        <w:numPr>
          <w:ilvl w:val="0"/>
          <w:numId w:val="27"/>
        </w:numPr>
        <w:spacing w:before="100"/>
        <w:ind w:left="258" w:right="115" w:hanging="157"/>
        <w:contextualSpacing w:val="0"/>
        <w:rPr>
          <w:color w:val="000000"/>
          <w:lang w:val="sv-SE"/>
        </w:rPr>
      </w:pPr>
      <w:r w:rsidRPr="00800D1B">
        <w:rPr>
          <w:color w:val="000000"/>
          <w:lang w:val="sv-SE"/>
        </w:rPr>
        <w:t>Genomföra inventeringar och kartläggningar som bidrar till en ökad förståelse för vilka behov energisystemet behöver fylla. </w:t>
      </w:r>
    </w:p>
    <w:p w14:paraId="10F9EDE1" w14:textId="77777777" w:rsidR="005678C4" w:rsidRPr="00800D1B" w:rsidRDefault="005678C4">
      <w:pPr>
        <w:pStyle w:val="Liststycke"/>
        <w:numPr>
          <w:ilvl w:val="0"/>
          <w:numId w:val="27"/>
        </w:numPr>
        <w:spacing w:before="100"/>
        <w:ind w:left="258" w:right="115" w:hanging="157"/>
        <w:contextualSpacing w:val="0"/>
        <w:rPr>
          <w:color w:val="000000"/>
          <w:lang w:val="sv-SE"/>
        </w:rPr>
      </w:pPr>
      <w:r w:rsidRPr="00800D1B">
        <w:rPr>
          <w:color w:val="000000"/>
          <w:lang w:val="sv-SE"/>
        </w:rPr>
        <w:t>Främja utveckling, testning samt investeringar i lokala, flexibla och agila energilagringslösningar för förnybar och fossilfri energi. </w:t>
      </w:r>
    </w:p>
    <w:p w14:paraId="5F2797B2" w14:textId="77777777" w:rsidR="005678C4" w:rsidRPr="00800D1B" w:rsidRDefault="005678C4">
      <w:pPr>
        <w:pStyle w:val="Liststycke"/>
        <w:numPr>
          <w:ilvl w:val="0"/>
          <w:numId w:val="27"/>
        </w:numPr>
        <w:spacing w:before="100"/>
        <w:ind w:left="258" w:right="115" w:hanging="157"/>
        <w:contextualSpacing w:val="0"/>
        <w:rPr>
          <w:color w:val="000000"/>
          <w:lang w:val="sv-SE"/>
        </w:rPr>
      </w:pPr>
      <w:r w:rsidRPr="00800D1B">
        <w:rPr>
          <w:color w:val="000000"/>
          <w:lang w:val="sv-SE"/>
        </w:rPr>
        <w:t>Investera i miljöer för utveckling av styrsystem för en ökad förutsägbarhet och ett optimerat energi- och effektnyttjande, lokalt och regionalt. </w:t>
      </w:r>
    </w:p>
    <w:p w14:paraId="0CF36208" w14:textId="77777777" w:rsidR="005678C4" w:rsidRPr="00800D1B" w:rsidRDefault="005678C4">
      <w:pPr>
        <w:pStyle w:val="Liststycke"/>
        <w:numPr>
          <w:ilvl w:val="0"/>
          <w:numId w:val="27"/>
        </w:numPr>
        <w:spacing w:before="100"/>
        <w:ind w:left="258" w:right="115" w:hanging="157"/>
        <w:contextualSpacing w:val="0"/>
        <w:rPr>
          <w:color w:val="000000"/>
          <w:lang w:val="sv-SE"/>
        </w:rPr>
      </w:pPr>
      <w:r w:rsidRPr="00800D1B">
        <w:rPr>
          <w:color w:val="000000"/>
          <w:lang w:val="sv-SE"/>
        </w:rPr>
        <w:t>Främja utvecklingen av nyttiggörandet av överskottsenergi i en verksamhet som primärenergi i en annan verksamhet. </w:t>
      </w:r>
    </w:p>
    <w:p w14:paraId="700482A1" w14:textId="77777777" w:rsidR="005678C4" w:rsidRPr="00800D1B" w:rsidRDefault="005678C4" w:rsidP="006B24DD">
      <w:pPr>
        <w:spacing w:before="100"/>
        <w:ind w:left="101" w:right="115"/>
        <w:rPr>
          <w:color w:val="000000"/>
          <w:lang w:val="sv-SE"/>
        </w:rPr>
      </w:pPr>
      <w:r w:rsidRPr="00800D1B">
        <w:rPr>
          <w:color w:val="000000"/>
          <w:u w:val="single"/>
          <w:lang w:val="sv-SE"/>
        </w:rPr>
        <w:t>Förenlighet med principen om att inte orsaka betydande skada (art. 9.4 i förordningen om gemensamma bestämmelser</w:t>
      </w:r>
      <w:r w:rsidRPr="00800D1B">
        <w:rPr>
          <w:color w:val="000000"/>
          <w:lang w:val="sv-SE"/>
        </w:rPr>
        <w:t>)</w:t>
      </w:r>
    </w:p>
    <w:p w14:paraId="78143D64" w14:textId="77777777" w:rsidR="005678C4" w:rsidRPr="00800D1B" w:rsidRDefault="005678C4" w:rsidP="006B24DD">
      <w:pPr>
        <w:spacing w:before="100" w:after="300"/>
        <w:ind w:left="101" w:right="115"/>
        <w:rPr>
          <w:color w:val="000000"/>
          <w:lang w:val="sv-SE"/>
        </w:rPr>
      </w:pPr>
      <w:r w:rsidRPr="00800D1B">
        <w:rPr>
          <w:color w:val="000000"/>
          <w:lang w:val="sv-SE"/>
        </w:rPr>
        <w:t>Insatserna har bedömts vara förenliga med principen om att inte orsaka betydande skada eftersom de har bedömts i enlighet med kommissionens tekniska vägledning om tillämpningen av principen om att inte orsaka betydande skada inom ramen för förordningen om faciliteten för återhämtning och resiliens.</w:t>
      </w:r>
    </w:p>
    <w:p w14:paraId="2D0660BE" w14:textId="46859B10" w:rsidR="00A77B3E" w:rsidRPr="00800D1B" w:rsidRDefault="00623E14" w:rsidP="00D36B53">
      <w:pPr>
        <w:spacing w:before="900" w:after="100"/>
        <w:rPr>
          <w:lang w:val="sv-SE"/>
        </w:rPr>
      </w:pPr>
      <w:bookmarkStart w:id="113" w:name="_Toc256000354"/>
      <w:r w:rsidRPr="00800D1B">
        <w:rPr>
          <w:lang w:val="sv-SE"/>
        </w:rPr>
        <w:t>Huvudsakliga målgrupper – artikel 22.3 d iii i förordningen om gemensamma bestämmelser</w:t>
      </w:r>
      <w:bookmarkEnd w:id="113"/>
    </w:p>
    <w:p w14:paraId="6FCCA956" w14:textId="77777777" w:rsidR="003C4A29" w:rsidRPr="00800D1B" w:rsidRDefault="003C4A29" w:rsidP="003C4A29">
      <w:pPr>
        <w:pBdr>
          <w:top w:val="single" w:sz="4" w:space="10" w:color="auto"/>
          <w:left w:val="single" w:sz="4" w:space="4" w:color="auto"/>
          <w:bottom w:val="single" w:sz="4" w:space="20" w:color="auto"/>
          <w:right w:val="single" w:sz="4" w:space="4" w:color="auto"/>
        </w:pBdr>
        <w:spacing w:after="200"/>
        <w:ind w:left="101" w:right="152"/>
        <w:rPr>
          <w:color w:val="000000"/>
          <w:lang w:val="sv-SE"/>
        </w:rPr>
      </w:pPr>
      <w:r w:rsidRPr="00800D1B">
        <w:rPr>
          <w:color w:val="000000"/>
          <w:lang w:val="sv-SE"/>
        </w:rPr>
        <w:t>De huvudsakliga målgrupperna är offentliga aktörer, universitet och högskolor, forskningsinstitut och övriga forsknings- och utbildningsaktörer, små och medelstora företag, ekonomiska föreningar och civilsamhället. Särskilt fokus bör läggas på att säkerställa att insatserna bidrar till att inkludera underrepresenterade grupper såsom kvinnor och personer med utländsk bakgrund samt att nå en bredd av organisationer och företag. Vid utformandet av insatser är det viktigt att använda ett jämställdhets- och mångfaldsperspektiv.</w:t>
      </w:r>
    </w:p>
    <w:p w14:paraId="2D0660C5" w14:textId="09AA84E8" w:rsidR="00A77B3E" w:rsidRPr="00800D1B" w:rsidRDefault="00623E14" w:rsidP="00D36B53">
      <w:pPr>
        <w:spacing w:before="400" w:after="100"/>
        <w:rPr>
          <w:lang w:val="sv-SE"/>
        </w:rPr>
      </w:pPr>
      <w:bookmarkStart w:id="114" w:name="_Toc256000355"/>
      <w:r w:rsidRPr="00800D1B">
        <w:rPr>
          <w:lang w:val="sv-SE"/>
        </w:rPr>
        <w:t>Åtgärder för säkerställande av jämställdhet, inkludering och icke-diskriminering – artikel 22.3 d iv i förordningen om gemensamma bestämmelser och artikel 6 i ESF+-förordningen</w:t>
      </w:r>
      <w:bookmarkEnd w:id="114"/>
    </w:p>
    <w:p w14:paraId="2D0660C6" w14:textId="0DB13139" w:rsidR="00A77B3E" w:rsidRPr="00800D1B" w:rsidRDefault="00A77B3E">
      <w:pPr>
        <w:spacing w:before="100"/>
        <w:rPr>
          <w:color w:val="000000"/>
          <w:sz w:val="0"/>
          <w:lang w:val="sv-SE"/>
        </w:rPr>
      </w:pPr>
    </w:p>
    <w:p w14:paraId="4F3B3CDC" w14:textId="6DB97771" w:rsidR="0079151E" w:rsidRPr="00800D1B" w:rsidRDefault="001A427D" w:rsidP="008A15BF">
      <w:pPr>
        <w:spacing w:before="240"/>
        <w:rPr>
          <w:color w:val="000000"/>
          <w:lang w:val="sv-SE"/>
        </w:rPr>
      </w:pPr>
      <w:r w:rsidRPr="00800D1B">
        <w:rPr>
          <w:color w:val="000000"/>
          <w:sz w:val="0"/>
          <w:lang w:val="sv-SE"/>
        </w:rPr>
        <mc:AlternateContent>
          <mc:Choice Requires="wps">
            <w:drawing>
              <wp:anchor distT="0" distB="0" distL="114300" distR="114300" simplePos="0" relativeHeight="251670528" behindDoc="0" locked="0" layoutInCell="1" allowOverlap="1" wp14:anchorId="1A50E004" wp14:editId="2B34533D">
                <wp:simplePos x="0" y="0"/>
                <wp:positionH relativeFrom="column">
                  <wp:posOffset>-45720</wp:posOffset>
                </wp:positionH>
                <wp:positionV relativeFrom="paragraph">
                  <wp:posOffset>36195</wp:posOffset>
                </wp:positionV>
                <wp:extent cx="9616440" cy="662940"/>
                <wp:effectExtent l="0" t="0" r="22860" b="22860"/>
                <wp:wrapNone/>
                <wp:docPr id="13" name="Rectangle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616440" cy="66294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3F012E" id="Rectangle 13" o:spid="_x0000_s1026" alt="&quot;&quot;" style="position:absolute;margin-left:-3.6pt;margin-top:2.85pt;width:757.2pt;height:52.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" filled="f" strokecolor="black [3213]" strokeweight=".5pt"/>
            </w:pict>
          </mc:Fallback>
        </mc:AlternateContent>
      </w:r>
      <w:r w:rsidR="0079151E" w:rsidRPr="00800D1B">
        <w:rPr>
          <w:color w:val="000000"/>
          <w:lang w:val="sv-SE"/>
        </w:rPr>
        <w:t xml:space="preserve">Jämställdhet, icke- diskriminering och tillgänglighet ska genomsyra insatserna i programmet, det vill säga, jämställdhetsintegrering är ett krav. Ingen får diskrimineras på grund av kön, könsöverskridande identitet eller uttryck, etnisk tillhörighet, religion eller annan trosuppfattning, funktionsnedsättning, sexuell läggning eller ålder. Projekten ska innehålla särskilda insatser för jämställdhet även om huvudsyftet är ett annat. Det ska tydligt beskrivas förväntade resultat kopplat till jämställdhet. Vid ansökningsförfarandet genomförs en jämställdhetsanalys som synkroniseras med övriga hållbarhetsaspekter att ta </w:t>
      </w:r>
      <w:r w:rsidR="00D36B53" w:rsidRPr="00800D1B">
        <w:rPr>
          <w:color w:val="000000"/>
          <w:lang w:val="sv-SE"/>
        </w:rPr>
        <mc:AlternateContent>
          <mc:Choice Requires="wps">
            <w:drawing>
              <wp:anchor distT="0" distB="0" distL="114300" distR="114300" simplePos="0" relativeHeight="251671552" behindDoc="0" locked="0" layoutInCell="1" allowOverlap="1" wp14:anchorId="270D11A2" wp14:editId="476E75E9">
                <wp:simplePos x="0" y="0"/>
                <wp:positionH relativeFrom="column">
                  <wp:posOffset>-22860</wp:posOffset>
                </wp:positionH>
                <wp:positionV relativeFrom="paragraph">
                  <wp:posOffset>-102870</wp:posOffset>
                </wp:positionV>
                <wp:extent cx="9646920" cy="2186940"/>
                <wp:effectExtent l="0" t="0" r="11430" b="22860"/>
                <wp:wrapNone/>
                <wp:docPr id="14" name="Rectangle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646920" cy="218694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81BAF6" id="Rectangle 14" o:spid="_x0000_s1026" alt="&quot;&quot;" style="position:absolute;margin-left:-1.8pt;margin-top:-8.1pt;width:759.6pt;height:172.2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" filled="f" strokecolor="black [3213]" strokeweight=".5pt"/>
            </w:pict>
          </mc:Fallback>
        </mc:AlternateContent>
      </w:r>
      <w:r w:rsidR="0079151E" w:rsidRPr="00800D1B">
        <w:rPr>
          <w:color w:val="000000"/>
          <w:lang w:val="sv-SE"/>
        </w:rPr>
        <w:t>hänsyn till. Analysen ska visa hur framtagandet av insatser påverkar jämställdheten och det ska finnas minst ett mål som adresserar detsamma. Detta betyder att samtliga insatser i detta särskilda mål minst möter kraven för kod 02 i tabell 8.</w:t>
      </w:r>
    </w:p>
    <w:p w14:paraId="2E9A9BF7" w14:textId="77777777" w:rsidR="0079151E" w:rsidRPr="00800D1B" w:rsidRDefault="0079151E" w:rsidP="0079151E">
      <w:pPr>
        <w:spacing w:before="360"/>
        <w:rPr>
          <w:color w:val="000000"/>
          <w:lang w:val="sv-SE"/>
        </w:rPr>
      </w:pPr>
      <w:r w:rsidRPr="00800D1B">
        <w:rPr>
          <w:color w:val="000000"/>
          <w:lang w:val="sv-SE"/>
        </w:rPr>
        <w:t>Förutom att alla insatser inom detta särskilda mål ska möta kod 02 ser vi även att flera projekt ska innehålla särskilda insatser för jämställdhet. Särskilda insatser innebär att projektets huvudsakliga mål är att förbättra jämställdhet mellan kvinnor och män. Analysen ska därmed visa hur utmaningar och problem inom jämställdhetsområdet ligger till grund varför projektet behövs och målen tar tydligt fasta på en förflyttning mot ökad jämställdhet. Projekten bidrar därmed direkt till det globala målet 5.</w:t>
      </w:r>
    </w:p>
    <w:p w14:paraId="7C5E169D" w14:textId="77777777" w:rsidR="0079151E" w:rsidRPr="00800D1B" w:rsidRDefault="0079151E" w:rsidP="0079151E">
      <w:pPr>
        <w:spacing w:before="360" w:after="300"/>
        <w:rPr>
          <w:color w:val="000000"/>
          <w:lang w:val="sv-SE"/>
        </w:rPr>
      </w:pPr>
      <w:r w:rsidRPr="00800D1B">
        <w:rPr>
          <w:color w:val="000000"/>
          <w:lang w:val="sv-SE"/>
        </w:rPr>
        <w:t>Samtliga projekt ska vid rapportering påvisa hur resultatet bidragit till att framsteg gjorts gentemot en ökad jämställdhet.</w:t>
      </w:r>
    </w:p>
    <w:p w14:paraId="2D0660D0" w14:textId="6A5944B1" w:rsidR="00A77B3E" w:rsidRPr="00800D1B" w:rsidRDefault="00623E14" w:rsidP="00C62CB8">
      <w:pPr>
        <w:spacing w:before="840" w:after="100"/>
        <w:rPr>
          <w:lang w:val="sv-SE"/>
        </w:rPr>
      </w:pPr>
      <w:bookmarkStart w:id="115" w:name="_Toc256000356"/>
      <w:r w:rsidRPr="00800D1B">
        <w:rPr>
          <w:lang w:val="sv-SE"/>
        </w:rPr>
        <w:t>Angivande av de specifika målterritorierna, inbegripet planerad användning av territoriella verktyg – artikel 22.3 d v i förordningen om gemensamma bestämmelser</w:t>
      </w:r>
      <w:bookmarkEnd w:id="115"/>
    </w:p>
    <w:p w14:paraId="20E26002" w14:textId="77777777" w:rsidR="005D0334" w:rsidRPr="00800D1B" w:rsidRDefault="005D0334" w:rsidP="001C4055">
      <w:pPr>
        <w:pBdr>
          <w:top w:val="single" w:sz="4" w:space="10" w:color="auto"/>
          <w:left w:val="single" w:sz="4" w:space="4" w:color="auto"/>
          <w:bottom w:val="single" w:sz="4" w:space="20" w:color="auto"/>
          <w:right w:val="single" w:sz="4" w:space="4" w:color="auto"/>
        </w:pBdr>
        <w:ind w:left="101" w:right="115"/>
        <w:rPr>
          <w:color w:val="000000"/>
          <w:lang w:val="sv-SE"/>
        </w:rPr>
      </w:pPr>
      <w:r w:rsidRPr="00800D1B">
        <w:rPr>
          <w:color w:val="000000"/>
          <w:lang w:val="sv-SE"/>
        </w:rPr>
        <w:t>Nej</w:t>
      </w:r>
    </w:p>
    <w:p w14:paraId="2D0660D7" w14:textId="5BA775AA" w:rsidR="00A77B3E" w:rsidRPr="00800D1B" w:rsidRDefault="00623E14" w:rsidP="00D36B53">
      <w:pPr>
        <w:spacing w:before="360"/>
        <w:rPr>
          <w:lang w:val="sv-SE"/>
        </w:rPr>
      </w:pPr>
      <w:bookmarkStart w:id="116" w:name="_Toc256000357"/>
      <w:r w:rsidRPr="00800D1B">
        <w:rPr>
          <w:lang w:val="sv-SE"/>
        </w:rPr>
        <w:t>Interregionala, gränsregionala och transnationella åtgärder – artikel 22.3 d vi i förordningen om gemensamma bestämmelser</w:t>
      </w:r>
      <w:bookmarkEnd w:id="116"/>
    </w:p>
    <w:p w14:paraId="250D85C9" w14:textId="33531DB8" w:rsidR="003C4A29" w:rsidRPr="00800D1B" w:rsidRDefault="004012A3" w:rsidP="00D36B53">
      <w:pPr>
        <w:spacing w:before="320"/>
        <w:ind w:left="101" w:right="115"/>
        <w:rPr>
          <w:color w:val="000000"/>
          <w:lang w:val="sv-SE"/>
        </w:rPr>
      </w:pPr>
      <w:r w:rsidRPr="00800D1B">
        <w:rPr>
          <w:color w:val="000000"/>
          <w:lang w:val="sv-SE"/>
        </w:rPr>
        <mc:AlternateContent>
          <mc:Choice Requires="wps">
            <w:drawing>
              <wp:anchor distT="0" distB="0" distL="114300" distR="114300" simplePos="0" relativeHeight="251672576" behindDoc="0" locked="0" layoutInCell="1" allowOverlap="1" wp14:anchorId="16A7EC9F" wp14:editId="23C910F8">
                <wp:simplePos x="0" y="0"/>
                <wp:positionH relativeFrom="column">
                  <wp:posOffset>12859</wp:posOffset>
                </wp:positionH>
                <wp:positionV relativeFrom="paragraph">
                  <wp:posOffset>78105</wp:posOffset>
                </wp:positionV>
                <wp:extent cx="9646920" cy="2678906"/>
                <wp:effectExtent l="0" t="0" r="11430" b="26670"/>
                <wp:wrapNone/>
                <wp:docPr id="15" name="Rectangle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646920" cy="2678906"/>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52DFC18" id="Rectangle 15" o:spid="_x0000_s1026" alt="&quot;&quot;" style="position:absolute;margin-left:1pt;margin-top:6.15pt;width:759.6pt;height:210.9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" filled="f" strokecolor="black [3213]" strokeweight=".5pt"/>
            </w:pict>
          </mc:Fallback>
        </mc:AlternateContent>
      </w:r>
      <w:r w:rsidR="003C4A29" w:rsidRPr="00800D1B">
        <w:rPr>
          <w:color w:val="000000"/>
          <w:lang w:val="sv-SE"/>
        </w:rPr>
        <w:t xml:space="preserve">En intervention får helt eller delvis genomföras i annat land, även utanför EU, under förutsättning att insatsen bidrar till det specifika målet. Samarbete med aktörer i ett eller flera andra länder kan vara integrerat i ett projekt för att stärka arbetet mot projektmålet. För att stärka arbetet mot projektmålet kan samarbete med aktörer i ett eller flera andra länder också läggas till ett redan pågående projekt i form av ett påbyggnadsprojekt. </w:t>
      </w:r>
    </w:p>
    <w:p w14:paraId="12D22FB6" w14:textId="77777777" w:rsidR="003C4A29" w:rsidRPr="00800D1B" w:rsidRDefault="003C4A29" w:rsidP="004012A3">
      <w:pPr>
        <w:spacing w:before="100"/>
        <w:ind w:left="101" w:right="115"/>
        <w:rPr>
          <w:color w:val="000000"/>
          <w:lang w:val="sv-SE"/>
        </w:rPr>
      </w:pPr>
      <w:r w:rsidRPr="00800D1B">
        <w:rPr>
          <w:color w:val="000000"/>
          <w:lang w:val="sv-SE"/>
        </w:rPr>
        <w:t xml:space="preserve">Åtgärder som särskilt kan komma i fråga är utbyte av kunskap och goda exempel samt samverkan mellan strategiskt viktiga aktörer, nätverk och plattformar. </w:t>
      </w:r>
    </w:p>
    <w:p w14:paraId="247D1BBB" w14:textId="77777777" w:rsidR="003C4A29" w:rsidRPr="00800D1B" w:rsidRDefault="003C4A29" w:rsidP="004012A3">
      <w:pPr>
        <w:spacing w:before="100"/>
        <w:ind w:left="101" w:right="115"/>
        <w:rPr>
          <w:color w:val="000000"/>
          <w:lang w:val="sv-SE"/>
        </w:rPr>
      </w:pPr>
      <w:r w:rsidRPr="00800D1B">
        <w:rPr>
          <w:color w:val="000000"/>
          <w:lang w:val="sv-SE"/>
        </w:rPr>
        <w:t xml:space="preserve">För att stötta regionens aktörer i att utveckla smarta energisystem, smarta elnät och smart lagring på lokal nivå kan samarbete röra nätverksbyggande och kunskapsuppbyggnad. Exempelvis kan det handla om kompetenshöjande utbyten om hur företag kan använda nya tekniker och metoder och processer. </w:t>
      </w:r>
    </w:p>
    <w:p w14:paraId="6E9D9AC4" w14:textId="77777777" w:rsidR="003C4A29" w:rsidRPr="00800D1B" w:rsidRDefault="003C4A29" w:rsidP="004012A3">
      <w:pPr>
        <w:spacing w:before="100"/>
        <w:ind w:left="101" w:right="115"/>
        <w:rPr>
          <w:color w:val="000000"/>
          <w:lang w:val="sv-SE"/>
        </w:rPr>
      </w:pPr>
      <w:r w:rsidRPr="00800D1B">
        <w:rPr>
          <w:color w:val="000000"/>
          <w:lang w:val="sv-SE"/>
        </w:rPr>
        <w:t>Inom det specifika målet kan så väl makroregionalt integrerade projekt som projekt som faller inom definitionen för den transationella komponenten interregionala innovationsinvesteringar</w:t>
      </w:r>
      <w:r w:rsidRPr="00800D1B">
        <w:rPr>
          <w:i/>
          <w:iCs/>
          <w:color w:val="000000"/>
          <w:lang w:val="sv-SE"/>
        </w:rPr>
        <w:t xml:space="preserve"> </w:t>
      </w:r>
      <w:r w:rsidRPr="00800D1B">
        <w:rPr>
          <w:color w:val="000000"/>
          <w:lang w:val="sv-SE"/>
        </w:rPr>
        <w:t xml:space="preserve">genomföras. Fokus bör ligga på projekt som förstärks av gränsöverskridande och/eller tvärsektoriella insatser och där de interregionala och transnationella komponenterna förstärker projektens bidrag till att nå de globala hållbarhetsmålen. Utbyte av kunskap, expertis, teknik och finansiella resurser är viktiga komponenter för att målen ska nås. </w:t>
      </w:r>
    </w:p>
    <w:p w14:paraId="2F473622" w14:textId="2929D03E" w:rsidR="003C4A29" w:rsidRPr="00800D1B" w:rsidRDefault="003C4A29" w:rsidP="004012A3">
      <w:pPr>
        <w:spacing w:before="100"/>
        <w:ind w:left="101" w:right="115"/>
        <w:rPr>
          <w:color w:val="000000"/>
          <w:lang w:val="sv-SE"/>
        </w:rPr>
      </w:pPr>
      <w:r w:rsidRPr="00800D1B">
        <w:rPr>
          <w:color w:val="000000"/>
          <w:lang w:val="sv-SE"/>
        </w:rPr>
        <w:t xml:space="preserve">EU:s strategi för Östersjöregionen ger en viktig vägledning för valet av insatser och bidrar till att det regionala strukturfondsprogrammet kan användas på ett målmedvetet och fokuserat sätt för att möta gemensamma utmaningar i regionen. </w:t>
      </w:r>
    </w:p>
    <w:p w14:paraId="59F4839A" w14:textId="673AB13D" w:rsidR="003C4A29" w:rsidRPr="00800D1B" w:rsidRDefault="00692105" w:rsidP="004012A3">
      <w:pPr>
        <w:spacing w:before="100"/>
        <w:ind w:left="101" w:right="115"/>
        <w:rPr>
          <w:color w:val="000000"/>
          <w:lang w:val="sv-SE"/>
        </w:rPr>
      </w:pPr>
      <w:r w:rsidRPr="00800D1B">
        <w:rPr>
          <w:color w:val="000000"/>
          <w:lang w:val="sv-SE"/>
        </w:rPr>
        <mc:AlternateContent>
          <mc:Choice Requires="wps">
            <w:drawing>
              <wp:anchor distT="0" distB="0" distL="114300" distR="114300" simplePos="0" relativeHeight="251699200" behindDoc="0" locked="0" layoutInCell="1" allowOverlap="1" wp14:anchorId="242C47DD" wp14:editId="6B7FB805">
                <wp:simplePos x="0" y="0"/>
                <wp:positionH relativeFrom="column">
                  <wp:posOffset>12859</wp:posOffset>
                </wp:positionH>
                <wp:positionV relativeFrom="paragraph">
                  <wp:posOffset>-100012</wp:posOffset>
                </wp:positionV>
                <wp:extent cx="9532620" cy="600075"/>
                <wp:effectExtent l="0" t="0" r="11430" b="28575"/>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532620" cy="6000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46E8B62" id="Rectangle 6" o:spid="_x0000_s1026" alt="&quot;&quot;" style="position:absolute;margin-left:1pt;margin-top:-7.85pt;width:750.6pt;height:47.2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" filled="f" strokecolor="black [3213]" strokeweight=".5pt"/>
            </w:pict>
          </mc:Fallback>
        </mc:AlternateContent>
      </w:r>
      <w:r w:rsidR="003C4A29" w:rsidRPr="00800D1B">
        <w:rPr>
          <w:color w:val="000000"/>
          <w:lang w:val="sv-SE"/>
        </w:rPr>
        <w:t>Möjligheter till samverkan med Östersjöstrategins policyområde Energy bör eftersträvas. Tänkbara samverkansparter är i första hand organisationer och företag verksamma i Interreg Aurora-området.</w:t>
      </w:r>
    </w:p>
    <w:p w14:paraId="2D0660E3" w14:textId="10D7ED1E" w:rsidR="00A77B3E" w:rsidRPr="00800D1B" w:rsidRDefault="00623E14" w:rsidP="001C4055">
      <w:pPr>
        <w:spacing w:before="720" w:after="100"/>
        <w:rPr>
          <w:lang w:val="sv-SE"/>
        </w:rPr>
      </w:pPr>
      <w:bookmarkStart w:id="117" w:name="_Toc256000358"/>
      <w:r w:rsidRPr="00800D1B">
        <w:rPr>
          <w:lang w:val="sv-SE"/>
        </w:rPr>
        <w:t>Planerad användning av finansieringsinstrument – artikel 22.3 d vii i förordningen om gemensamma bestämmelser</w:t>
      </w:r>
      <w:bookmarkEnd w:id="117"/>
    </w:p>
    <w:p w14:paraId="46B04E99" w14:textId="20732D32" w:rsidR="000D6EE3" w:rsidRPr="00800D1B" w:rsidRDefault="000D6EE3" w:rsidP="001C4055">
      <w:pPr>
        <w:pBdr>
          <w:top w:val="single" w:sz="4" w:space="10" w:color="auto"/>
          <w:left w:val="single" w:sz="4" w:space="4" w:color="auto"/>
          <w:bottom w:val="single" w:sz="4" w:space="20" w:color="auto"/>
          <w:right w:val="single" w:sz="4" w:space="4" w:color="auto"/>
          <w:between w:val="single" w:sz="4" w:space="10" w:color="auto"/>
          <w:bar w:val="single" w:sz="4" w:color="auto"/>
        </w:pBdr>
        <w:ind w:left="90"/>
        <w:rPr>
          <w:lang w:val="sv-SE"/>
        </w:rPr>
      </w:pPr>
      <w:r w:rsidRPr="00800D1B">
        <w:rPr>
          <w:lang w:val="sv-SE"/>
        </w:rPr>
        <w:t>Nej</w:t>
      </w:r>
    </w:p>
    <w:p w14:paraId="2D0660E4" w14:textId="77777777" w:rsidR="00A77B3E" w:rsidRPr="00800D1B" w:rsidRDefault="00A77B3E">
      <w:pPr>
        <w:spacing w:before="100"/>
        <w:rPr>
          <w:color w:val="000000"/>
          <w:sz w:val="0"/>
          <w:lang w:val="sv-SE"/>
        </w:rPr>
      </w:pPr>
    </w:p>
    <w:p w14:paraId="2D0660EA" w14:textId="43E7B32A" w:rsidR="00A77B3E" w:rsidRPr="00800D1B" w:rsidRDefault="00623E14" w:rsidP="008D35C9">
      <w:pPr>
        <w:pStyle w:val="Rubrik6"/>
        <w:numPr>
          <w:ilvl w:val="4"/>
          <w:numId w:val="28"/>
        </w:numPr>
        <w:spacing w:before="400"/>
        <w:ind w:left="360"/>
      </w:pPr>
      <w:bookmarkStart w:id="118" w:name="_Toc256000359"/>
      <w:r w:rsidRPr="00800D1B">
        <w:t>Indikatorer</w:t>
      </w:r>
      <w:bookmarkEnd w:id="118"/>
    </w:p>
    <w:p w14:paraId="2D0660EB" w14:textId="77777777" w:rsidR="00A77B3E" w:rsidRPr="00800D1B" w:rsidRDefault="00A77B3E">
      <w:pPr>
        <w:spacing w:before="100"/>
        <w:rPr>
          <w:color w:val="000000"/>
          <w:sz w:val="0"/>
          <w:lang w:val="sv-SE"/>
        </w:rPr>
      </w:pPr>
    </w:p>
    <w:p w14:paraId="2D0660EC" w14:textId="77777777" w:rsidR="00A77B3E" w:rsidRPr="00800D1B" w:rsidRDefault="00623E14" w:rsidP="008D35C9">
      <w:pPr>
        <w:spacing w:before="120"/>
        <w:rPr>
          <w:color w:val="000000"/>
          <w:sz w:val="0"/>
          <w:lang w:val="sv-SE"/>
        </w:rPr>
      </w:pPr>
      <w:r w:rsidRPr="00800D1B">
        <w:rPr>
          <w:color w:val="000000"/>
          <w:lang w:val="sv-SE"/>
        </w:rPr>
        <w:t>Referens: Artikel 22.3 d ii i förordningen om gemensamma bestämmelser och artikel 8 i Eruf-förordningen och förordningen om Sammanhållningsfonden</w:t>
      </w:r>
    </w:p>
    <w:p w14:paraId="2D0660ED" w14:textId="4DAF16F1" w:rsidR="00A77B3E" w:rsidRPr="00800D1B" w:rsidRDefault="00623E14" w:rsidP="003D08B5">
      <w:pPr>
        <w:spacing w:before="100" w:after="100"/>
        <w:rPr>
          <w:lang w:val="sv-SE"/>
        </w:rPr>
      </w:pPr>
      <w:bookmarkStart w:id="119" w:name="_Toc256000360"/>
      <w:r w:rsidRPr="00800D1B">
        <w:rPr>
          <w:lang w:val="sv-SE"/>
        </w:rPr>
        <w:t>Tabell 2: Utfallsindikatorer</w:t>
      </w:r>
      <w:bookmarkEnd w:id="119"/>
    </w:p>
    <w:tbl>
      <w:tblPr>
        <w:tblStyle w:val="Tabellrutnt"/>
        <w:tblW w:w="5000" w:type="pct"/>
        <w:tblLook w:val="04A0" w:firstRow="1" w:lastRow="0" w:firstColumn="1" w:lastColumn="0" w:noHBand="0" w:noVBand="1"/>
        <w:tblDescription w:val="En tabell med nio kolumner: Prioritering; Specifikt mål; Fond; Regionkategori; ID; Indikator; Mätenhet; Delmål (2024); Mål (2029). Tabellen visar information om Utfallsindikatorer."/>
      </w:tblPr>
      <w:tblGrid>
        <w:gridCol w:w="1129"/>
        <w:gridCol w:w="1145"/>
        <w:gridCol w:w="618"/>
        <w:gridCol w:w="1893"/>
        <w:gridCol w:w="851"/>
        <w:gridCol w:w="5189"/>
        <w:gridCol w:w="1817"/>
        <w:gridCol w:w="1274"/>
        <w:gridCol w:w="1256"/>
      </w:tblGrid>
      <w:tr w:rsidR="003422DB" w:rsidRPr="00800D1B" w14:paraId="2D0660F8" w14:textId="77777777" w:rsidTr="00B76590">
        <w:tc>
          <w:tcPr>
            <w:tcW w:w="0" w:type="auto"/>
          </w:tcPr>
          <w:p w14:paraId="2D0660EF" w14:textId="77777777" w:rsidR="00A77B3E" w:rsidRPr="00800D1B" w:rsidRDefault="00623E14" w:rsidP="00B76590">
            <w:pPr>
              <w:spacing w:before="100" w:after="100"/>
              <w:ind w:left="-72"/>
              <w:jc w:val="center"/>
              <w:rPr>
                <w:color w:val="000000"/>
                <w:sz w:val="20"/>
                <w:lang w:val="sv-SE"/>
              </w:rPr>
            </w:pPr>
            <w:r w:rsidRPr="00800D1B">
              <w:rPr>
                <w:color w:val="000000"/>
                <w:sz w:val="20"/>
                <w:lang w:val="sv-SE"/>
              </w:rPr>
              <w:t>Prioritering</w:t>
            </w:r>
          </w:p>
        </w:tc>
        <w:tc>
          <w:tcPr>
            <w:tcW w:w="0" w:type="auto"/>
          </w:tcPr>
          <w:p w14:paraId="2D0660F0" w14:textId="77777777" w:rsidR="00A77B3E" w:rsidRPr="00800D1B" w:rsidRDefault="00623E14" w:rsidP="00B76590">
            <w:pPr>
              <w:spacing w:before="100" w:after="100"/>
              <w:ind w:left="-72"/>
              <w:jc w:val="center"/>
              <w:rPr>
                <w:color w:val="000000"/>
                <w:sz w:val="20"/>
                <w:lang w:val="sv-SE"/>
              </w:rPr>
            </w:pPr>
            <w:r w:rsidRPr="00800D1B">
              <w:rPr>
                <w:color w:val="000000"/>
                <w:sz w:val="20"/>
                <w:lang w:val="sv-SE"/>
              </w:rPr>
              <w:t>Specifikt mål</w:t>
            </w:r>
          </w:p>
        </w:tc>
        <w:tc>
          <w:tcPr>
            <w:tcW w:w="0" w:type="auto"/>
          </w:tcPr>
          <w:p w14:paraId="2D0660F1" w14:textId="77777777" w:rsidR="00A77B3E" w:rsidRPr="00800D1B" w:rsidRDefault="00623E14" w:rsidP="00B76590">
            <w:pPr>
              <w:spacing w:before="100" w:after="100"/>
              <w:ind w:left="-72"/>
              <w:jc w:val="center"/>
              <w:rPr>
                <w:color w:val="000000"/>
                <w:sz w:val="20"/>
                <w:lang w:val="sv-SE"/>
              </w:rPr>
            </w:pPr>
            <w:r w:rsidRPr="00800D1B">
              <w:rPr>
                <w:color w:val="000000"/>
                <w:sz w:val="20"/>
                <w:lang w:val="sv-SE"/>
              </w:rPr>
              <w:t>Fond</w:t>
            </w:r>
          </w:p>
        </w:tc>
        <w:tc>
          <w:tcPr>
            <w:tcW w:w="0" w:type="auto"/>
          </w:tcPr>
          <w:p w14:paraId="2D0660F2" w14:textId="77777777" w:rsidR="00A77B3E" w:rsidRPr="00800D1B" w:rsidRDefault="00623E14" w:rsidP="00B76590">
            <w:pPr>
              <w:spacing w:before="100" w:after="100"/>
              <w:ind w:left="-72"/>
              <w:jc w:val="center"/>
              <w:rPr>
                <w:color w:val="000000"/>
                <w:sz w:val="20"/>
                <w:lang w:val="sv-SE"/>
              </w:rPr>
            </w:pPr>
            <w:r w:rsidRPr="00800D1B">
              <w:rPr>
                <w:color w:val="000000"/>
                <w:sz w:val="20"/>
                <w:lang w:val="sv-SE"/>
              </w:rPr>
              <w:t>Regionkategori</w:t>
            </w:r>
          </w:p>
        </w:tc>
        <w:tc>
          <w:tcPr>
            <w:tcW w:w="0" w:type="auto"/>
          </w:tcPr>
          <w:p w14:paraId="2D0660F3" w14:textId="77777777" w:rsidR="00A77B3E" w:rsidRPr="00800D1B" w:rsidRDefault="00623E14" w:rsidP="00B76590">
            <w:pPr>
              <w:spacing w:before="100" w:after="100"/>
              <w:ind w:left="-72"/>
              <w:jc w:val="center"/>
              <w:rPr>
                <w:color w:val="000000"/>
                <w:sz w:val="20"/>
                <w:lang w:val="sv-SE"/>
              </w:rPr>
            </w:pPr>
            <w:r w:rsidRPr="00800D1B">
              <w:rPr>
                <w:color w:val="000000"/>
                <w:sz w:val="20"/>
                <w:lang w:val="sv-SE"/>
              </w:rPr>
              <w:t>ID</w:t>
            </w:r>
          </w:p>
        </w:tc>
        <w:tc>
          <w:tcPr>
            <w:tcW w:w="0" w:type="auto"/>
          </w:tcPr>
          <w:p w14:paraId="2D0660F4" w14:textId="77777777" w:rsidR="00A77B3E" w:rsidRPr="00800D1B" w:rsidRDefault="00623E14" w:rsidP="00B76590">
            <w:pPr>
              <w:spacing w:before="100" w:after="100"/>
              <w:ind w:left="-72"/>
              <w:jc w:val="center"/>
              <w:rPr>
                <w:color w:val="000000"/>
                <w:sz w:val="20"/>
                <w:lang w:val="sv-SE"/>
              </w:rPr>
            </w:pPr>
            <w:r w:rsidRPr="00800D1B">
              <w:rPr>
                <w:color w:val="000000"/>
                <w:sz w:val="20"/>
                <w:lang w:val="sv-SE"/>
              </w:rPr>
              <w:t>Indikator</w:t>
            </w:r>
          </w:p>
        </w:tc>
        <w:tc>
          <w:tcPr>
            <w:tcW w:w="0" w:type="auto"/>
          </w:tcPr>
          <w:p w14:paraId="2D0660F5" w14:textId="77777777" w:rsidR="00A77B3E" w:rsidRPr="00800D1B" w:rsidRDefault="00623E14" w:rsidP="00B76590">
            <w:pPr>
              <w:spacing w:before="100" w:after="100"/>
              <w:ind w:left="-72"/>
              <w:jc w:val="center"/>
              <w:rPr>
                <w:color w:val="000000"/>
                <w:sz w:val="20"/>
                <w:lang w:val="sv-SE"/>
              </w:rPr>
            </w:pPr>
            <w:r w:rsidRPr="00800D1B">
              <w:rPr>
                <w:color w:val="000000"/>
                <w:sz w:val="20"/>
                <w:lang w:val="sv-SE"/>
              </w:rPr>
              <w:t>Mätenhet</w:t>
            </w:r>
          </w:p>
        </w:tc>
        <w:tc>
          <w:tcPr>
            <w:tcW w:w="0" w:type="auto"/>
          </w:tcPr>
          <w:p w14:paraId="2D0660F6" w14:textId="77777777" w:rsidR="00A77B3E" w:rsidRPr="00800D1B" w:rsidRDefault="00623E14" w:rsidP="00B76590">
            <w:pPr>
              <w:spacing w:before="100" w:after="100"/>
              <w:ind w:left="-72"/>
              <w:jc w:val="center"/>
              <w:rPr>
                <w:color w:val="000000"/>
                <w:sz w:val="20"/>
                <w:lang w:val="sv-SE"/>
              </w:rPr>
            </w:pPr>
            <w:r w:rsidRPr="00800D1B">
              <w:rPr>
                <w:color w:val="000000"/>
                <w:sz w:val="20"/>
                <w:lang w:val="sv-SE"/>
              </w:rPr>
              <w:t>Delmål (2024)</w:t>
            </w:r>
          </w:p>
        </w:tc>
        <w:tc>
          <w:tcPr>
            <w:tcW w:w="0" w:type="auto"/>
          </w:tcPr>
          <w:p w14:paraId="2D0660F7" w14:textId="77777777" w:rsidR="00A77B3E" w:rsidRPr="00800D1B" w:rsidRDefault="00623E14" w:rsidP="00B76590">
            <w:pPr>
              <w:spacing w:before="100" w:after="100"/>
              <w:ind w:left="-72"/>
              <w:jc w:val="center"/>
              <w:rPr>
                <w:color w:val="000000"/>
                <w:sz w:val="20"/>
                <w:lang w:val="sv-SE"/>
              </w:rPr>
            </w:pPr>
            <w:r w:rsidRPr="00800D1B">
              <w:rPr>
                <w:color w:val="000000"/>
                <w:sz w:val="20"/>
                <w:lang w:val="sv-SE"/>
              </w:rPr>
              <w:t>Mål (2029)</w:t>
            </w:r>
          </w:p>
        </w:tc>
      </w:tr>
      <w:tr w:rsidR="003422DB" w:rsidRPr="00800D1B" w14:paraId="2D066102" w14:textId="77777777" w:rsidTr="00B76590">
        <w:tc>
          <w:tcPr>
            <w:tcW w:w="0" w:type="auto"/>
          </w:tcPr>
          <w:p w14:paraId="2D0660F9" w14:textId="77777777" w:rsidR="00A77B3E" w:rsidRPr="00800D1B" w:rsidRDefault="00623E14" w:rsidP="00B76590">
            <w:pPr>
              <w:spacing w:before="100" w:after="100"/>
              <w:ind w:left="-72"/>
              <w:rPr>
                <w:color w:val="000000"/>
                <w:sz w:val="20"/>
                <w:lang w:val="sv-SE"/>
              </w:rPr>
            </w:pPr>
            <w:r w:rsidRPr="00800D1B">
              <w:rPr>
                <w:color w:val="000000"/>
                <w:sz w:val="20"/>
                <w:lang w:val="sv-SE"/>
              </w:rPr>
              <w:t>4</w:t>
            </w:r>
          </w:p>
        </w:tc>
        <w:tc>
          <w:tcPr>
            <w:tcW w:w="0" w:type="auto"/>
          </w:tcPr>
          <w:p w14:paraId="2D0660FA" w14:textId="77777777" w:rsidR="00A77B3E" w:rsidRPr="00800D1B" w:rsidRDefault="00623E14" w:rsidP="00B76590">
            <w:pPr>
              <w:spacing w:before="100" w:after="100"/>
              <w:ind w:left="-72"/>
              <w:rPr>
                <w:color w:val="000000"/>
                <w:sz w:val="20"/>
                <w:lang w:val="sv-SE"/>
              </w:rPr>
            </w:pPr>
            <w:r w:rsidRPr="00800D1B">
              <w:rPr>
                <w:color w:val="000000"/>
                <w:sz w:val="20"/>
                <w:lang w:val="sv-SE"/>
              </w:rPr>
              <w:t>RSO2.3</w:t>
            </w:r>
          </w:p>
        </w:tc>
        <w:tc>
          <w:tcPr>
            <w:tcW w:w="0" w:type="auto"/>
          </w:tcPr>
          <w:p w14:paraId="2D0660FB" w14:textId="77777777" w:rsidR="00A77B3E" w:rsidRPr="00800D1B" w:rsidRDefault="00623E14" w:rsidP="00B76590">
            <w:pPr>
              <w:spacing w:before="100" w:after="100"/>
              <w:ind w:left="-72"/>
              <w:rPr>
                <w:color w:val="000000"/>
                <w:sz w:val="20"/>
                <w:lang w:val="sv-SE"/>
              </w:rPr>
            </w:pPr>
            <w:r w:rsidRPr="00800D1B">
              <w:rPr>
                <w:color w:val="000000"/>
                <w:sz w:val="20"/>
                <w:lang w:val="sv-SE"/>
              </w:rPr>
              <w:t>Eruf</w:t>
            </w:r>
          </w:p>
        </w:tc>
        <w:tc>
          <w:tcPr>
            <w:tcW w:w="0" w:type="auto"/>
          </w:tcPr>
          <w:p w14:paraId="2D0660FC" w14:textId="77777777" w:rsidR="00A77B3E" w:rsidRPr="00800D1B" w:rsidRDefault="00623E14" w:rsidP="00B76590">
            <w:pPr>
              <w:spacing w:before="100" w:after="100"/>
              <w:ind w:left="-72"/>
              <w:rPr>
                <w:color w:val="000000"/>
                <w:sz w:val="20"/>
                <w:lang w:val="sv-SE"/>
              </w:rPr>
            </w:pPr>
            <w:r w:rsidRPr="00800D1B">
              <w:rPr>
                <w:color w:val="000000"/>
                <w:sz w:val="20"/>
                <w:lang w:val="sv-SE"/>
              </w:rPr>
              <w:t>Mer utvecklade regioner</w:t>
            </w:r>
          </w:p>
        </w:tc>
        <w:tc>
          <w:tcPr>
            <w:tcW w:w="0" w:type="auto"/>
          </w:tcPr>
          <w:p w14:paraId="2D0660FD" w14:textId="77777777" w:rsidR="00A77B3E" w:rsidRPr="00800D1B" w:rsidRDefault="00623E14" w:rsidP="00B76590">
            <w:pPr>
              <w:spacing w:before="100" w:after="100"/>
              <w:ind w:left="-72"/>
              <w:rPr>
                <w:color w:val="000000"/>
                <w:sz w:val="20"/>
                <w:lang w:val="sv-SE"/>
              </w:rPr>
            </w:pPr>
            <w:r w:rsidRPr="00800D1B">
              <w:rPr>
                <w:color w:val="000000"/>
                <w:sz w:val="20"/>
                <w:lang w:val="sv-SE"/>
              </w:rPr>
              <w:t>RCO01</w:t>
            </w:r>
          </w:p>
        </w:tc>
        <w:tc>
          <w:tcPr>
            <w:tcW w:w="0" w:type="auto"/>
          </w:tcPr>
          <w:p w14:paraId="2D0660FE" w14:textId="77777777" w:rsidR="00A77B3E" w:rsidRPr="00800D1B" w:rsidRDefault="00623E14" w:rsidP="00B76590">
            <w:pPr>
              <w:spacing w:before="100" w:after="100"/>
              <w:ind w:left="-72"/>
              <w:rPr>
                <w:color w:val="000000"/>
                <w:sz w:val="20"/>
                <w:lang w:val="sv-SE"/>
              </w:rPr>
            </w:pPr>
            <w:r w:rsidRPr="00800D1B">
              <w:rPr>
                <w:color w:val="000000"/>
                <w:sz w:val="20"/>
                <w:lang w:val="sv-SE"/>
              </w:rPr>
              <w:t>Företag som får stöd (varav mikroföretag, små företag, medelstora företag, stora företag)</w:t>
            </w:r>
          </w:p>
        </w:tc>
        <w:tc>
          <w:tcPr>
            <w:tcW w:w="0" w:type="auto"/>
          </w:tcPr>
          <w:p w14:paraId="2D0660FF" w14:textId="77777777" w:rsidR="00A77B3E" w:rsidRPr="00800D1B" w:rsidRDefault="00623E14" w:rsidP="00B76590">
            <w:pPr>
              <w:spacing w:before="100" w:after="100"/>
              <w:ind w:left="-72"/>
              <w:rPr>
                <w:color w:val="000000"/>
                <w:sz w:val="20"/>
                <w:lang w:val="sv-SE"/>
              </w:rPr>
            </w:pPr>
            <w:r w:rsidRPr="00800D1B">
              <w:rPr>
                <w:color w:val="000000"/>
                <w:sz w:val="20"/>
                <w:lang w:val="sv-SE"/>
              </w:rPr>
              <w:t>företag</w:t>
            </w:r>
          </w:p>
        </w:tc>
        <w:tc>
          <w:tcPr>
            <w:tcW w:w="0" w:type="auto"/>
          </w:tcPr>
          <w:p w14:paraId="2D066100" w14:textId="77777777" w:rsidR="00A77B3E" w:rsidRPr="00800D1B" w:rsidRDefault="00623E14" w:rsidP="00B76590">
            <w:pPr>
              <w:spacing w:before="100" w:after="100"/>
              <w:ind w:left="-72"/>
              <w:jc w:val="right"/>
              <w:rPr>
                <w:color w:val="000000"/>
                <w:sz w:val="20"/>
                <w:lang w:val="sv-SE"/>
              </w:rPr>
            </w:pPr>
            <w:r w:rsidRPr="00800D1B">
              <w:rPr>
                <w:color w:val="000000"/>
                <w:sz w:val="20"/>
                <w:lang w:val="sv-SE"/>
              </w:rPr>
              <w:t>1,00</w:t>
            </w:r>
          </w:p>
        </w:tc>
        <w:tc>
          <w:tcPr>
            <w:tcW w:w="0" w:type="auto"/>
          </w:tcPr>
          <w:p w14:paraId="2D066101" w14:textId="77777777" w:rsidR="00A77B3E" w:rsidRPr="00800D1B" w:rsidRDefault="00623E14" w:rsidP="00B76590">
            <w:pPr>
              <w:spacing w:before="100" w:after="100"/>
              <w:ind w:left="-72"/>
              <w:jc w:val="right"/>
              <w:rPr>
                <w:color w:val="000000"/>
                <w:sz w:val="20"/>
                <w:lang w:val="sv-SE"/>
              </w:rPr>
            </w:pPr>
            <w:r w:rsidRPr="00800D1B">
              <w:rPr>
                <w:color w:val="000000"/>
                <w:sz w:val="20"/>
                <w:lang w:val="sv-SE"/>
              </w:rPr>
              <w:t>19,00</w:t>
            </w:r>
          </w:p>
        </w:tc>
      </w:tr>
      <w:tr w:rsidR="003422DB" w:rsidRPr="00800D1B" w14:paraId="2D06610C" w14:textId="77777777" w:rsidTr="00B76590">
        <w:tc>
          <w:tcPr>
            <w:tcW w:w="0" w:type="auto"/>
          </w:tcPr>
          <w:p w14:paraId="2D066103" w14:textId="77777777" w:rsidR="00A77B3E" w:rsidRPr="00800D1B" w:rsidRDefault="00623E14" w:rsidP="00B76590">
            <w:pPr>
              <w:spacing w:before="100" w:after="100"/>
              <w:ind w:left="-72"/>
              <w:rPr>
                <w:color w:val="000000"/>
                <w:sz w:val="20"/>
                <w:lang w:val="sv-SE"/>
              </w:rPr>
            </w:pPr>
            <w:r w:rsidRPr="00800D1B">
              <w:rPr>
                <w:color w:val="000000"/>
                <w:sz w:val="20"/>
                <w:lang w:val="sv-SE"/>
              </w:rPr>
              <w:t>4</w:t>
            </w:r>
          </w:p>
        </w:tc>
        <w:tc>
          <w:tcPr>
            <w:tcW w:w="0" w:type="auto"/>
          </w:tcPr>
          <w:p w14:paraId="2D066104" w14:textId="77777777" w:rsidR="00A77B3E" w:rsidRPr="00800D1B" w:rsidRDefault="00623E14" w:rsidP="00B76590">
            <w:pPr>
              <w:spacing w:before="100" w:after="100"/>
              <w:ind w:left="-72"/>
              <w:rPr>
                <w:color w:val="000000"/>
                <w:sz w:val="20"/>
                <w:lang w:val="sv-SE"/>
              </w:rPr>
            </w:pPr>
            <w:r w:rsidRPr="00800D1B">
              <w:rPr>
                <w:color w:val="000000"/>
                <w:sz w:val="20"/>
                <w:lang w:val="sv-SE"/>
              </w:rPr>
              <w:t>RSO2.3</w:t>
            </w:r>
          </w:p>
        </w:tc>
        <w:tc>
          <w:tcPr>
            <w:tcW w:w="0" w:type="auto"/>
          </w:tcPr>
          <w:p w14:paraId="2D066105" w14:textId="77777777" w:rsidR="00A77B3E" w:rsidRPr="00800D1B" w:rsidRDefault="00623E14" w:rsidP="00B76590">
            <w:pPr>
              <w:spacing w:before="100" w:after="100"/>
              <w:ind w:left="-72"/>
              <w:rPr>
                <w:color w:val="000000"/>
                <w:sz w:val="20"/>
                <w:lang w:val="sv-SE"/>
              </w:rPr>
            </w:pPr>
            <w:r w:rsidRPr="00800D1B">
              <w:rPr>
                <w:color w:val="000000"/>
                <w:sz w:val="20"/>
                <w:lang w:val="sv-SE"/>
              </w:rPr>
              <w:t>Eruf</w:t>
            </w:r>
          </w:p>
        </w:tc>
        <w:tc>
          <w:tcPr>
            <w:tcW w:w="0" w:type="auto"/>
          </w:tcPr>
          <w:p w14:paraId="2D066106" w14:textId="77777777" w:rsidR="00A77B3E" w:rsidRPr="00800D1B" w:rsidRDefault="00623E14" w:rsidP="00B76590">
            <w:pPr>
              <w:spacing w:before="100" w:after="100"/>
              <w:ind w:left="-72"/>
              <w:rPr>
                <w:color w:val="000000"/>
                <w:sz w:val="20"/>
                <w:lang w:val="sv-SE"/>
              </w:rPr>
            </w:pPr>
            <w:r w:rsidRPr="00800D1B">
              <w:rPr>
                <w:color w:val="000000"/>
                <w:sz w:val="20"/>
                <w:lang w:val="sv-SE"/>
              </w:rPr>
              <w:t>Mer utvecklade regioner</w:t>
            </w:r>
          </w:p>
        </w:tc>
        <w:tc>
          <w:tcPr>
            <w:tcW w:w="0" w:type="auto"/>
          </w:tcPr>
          <w:p w14:paraId="2D066107" w14:textId="77777777" w:rsidR="00A77B3E" w:rsidRPr="00800D1B" w:rsidRDefault="00623E14" w:rsidP="00B76590">
            <w:pPr>
              <w:spacing w:before="100" w:after="100"/>
              <w:ind w:left="-72"/>
              <w:rPr>
                <w:color w:val="000000"/>
                <w:sz w:val="20"/>
                <w:lang w:val="sv-SE"/>
              </w:rPr>
            </w:pPr>
            <w:r w:rsidRPr="00800D1B">
              <w:rPr>
                <w:color w:val="000000"/>
                <w:sz w:val="20"/>
                <w:lang w:val="sv-SE"/>
              </w:rPr>
              <w:t>RCO04</w:t>
            </w:r>
          </w:p>
        </w:tc>
        <w:tc>
          <w:tcPr>
            <w:tcW w:w="0" w:type="auto"/>
          </w:tcPr>
          <w:p w14:paraId="2D066108" w14:textId="77777777" w:rsidR="00A77B3E" w:rsidRPr="00800D1B" w:rsidRDefault="00623E14" w:rsidP="00B76590">
            <w:pPr>
              <w:spacing w:before="100" w:after="100"/>
              <w:ind w:left="-72"/>
              <w:rPr>
                <w:color w:val="000000"/>
                <w:sz w:val="20"/>
                <w:lang w:val="sv-SE"/>
              </w:rPr>
            </w:pPr>
            <w:r w:rsidRPr="00800D1B">
              <w:rPr>
                <w:color w:val="000000"/>
                <w:sz w:val="20"/>
                <w:lang w:val="sv-SE"/>
              </w:rPr>
              <w:t>Företag som får icke-finansiellt stöd</w:t>
            </w:r>
          </w:p>
        </w:tc>
        <w:tc>
          <w:tcPr>
            <w:tcW w:w="0" w:type="auto"/>
          </w:tcPr>
          <w:p w14:paraId="2D066109" w14:textId="77777777" w:rsidR="00A77B3E" w:rsidRPr="00800D1B" w:rsidRDefault="00623E14" w:rsidP="00B76590">
            <w:pPr>
              <w:spacing w:before="100" w:after="100"/>
              <w:ind w:left="-72"/>
              <w:rPr>
                <w:color w:val="000000"/>
                <w:sz w:val="20"/>
                <w:lang w:val="sv-SE"/>
              </w:rPr>
            </w:pPr>
            <w:r w:rsidRPr="00800D1B">
              <w:rPr>
                <w:color w:val="000000"/>
                <w:sz w:val="20"/>
                <w:lang w:val="sv-SE"/>
              </w:rPr>
              <w:t>företag</w:t>
            </w:r>
          </w:p>
        </w:tc>
        <w:tc>
          <w:tcPr>
            <w:tcW w:w="0" w:type="auto"/>
          </w:tcPr>
          <w:p w14:paraId="2D06610A" w14:textId="77777777" w:rsidR="00A77B3E" w:rsidRPr="00800D1B" w:rsidRDefault="00623E14" w:rsidP="00B76590">
            <w:pPr>
              <w:spacing w:before="100" w:after="100"/>
              <w:ind w:left="-72"/>
              <w:jc w:val="right"/>
              <w:rPr>
                <w:color w:val="000000"/>
                <w:sz w:val="20"/>
                <w:lang w:val="sv-SE"/>
              </w:rPr>
            </w:pPr>
            <w:r w:rsidRPr="00800D1B">
              <w:rPr>
                <w:color w:val="000000"/>
                <w:sz w:val="20"/>
                <w:lang w:val="sv-SE"/>
              </w:rPr>
              <w:t>1,00</w:t>
            </w:r>
          </w:p>
        </w:tc>
        <w:tc>
          <w:tcPr>
            <w:tcW w:w="0" w:type="auto"/>
          </w:tcPr>
          <w:p w14:paraId="2D06610B" w14:textId="77777777" w:rsidR="00A77B3E" w:rsidRPr="00800D1B" w:rsidRDefault="00623E14" w:rsidP="00B76590">
            <w:pPr>
              <w:spacing w:before="100" w:after="100"/>
              <w:ind w:left="-72"/>
              <w:jc w:val="right"/>
              <w:rPr>
                <w:color w:val="000000"/>
                <w:sz w:val="20"/>
                <w:lang w:val="sv-SE"/>
              </w:rPr>
            </w:pPr>
            <w:r w:rsidRPr="00800D1B">
              <w:rPr>
                <w:color w:val="000000"/>
                <w:sz w:val="20"/>
                <w:lang w:val="sv-SE"/>
              </w:rPr>
              <w:t>19,00</w:t>
            </w:r>
          </w:p>
        </w:tc>
      </w:tr>
      <w:tr w:rsidR="003422DB" w:rsidRPr="00800D1B" w14:paraId="2D066116" w14:textId="77777777" w:rsidTr="00B76590">
        <w:tc>
          <w:tcPr>
            <w:tcW w:w="0" w:type="auto"/>
          </w:tcPr>
          <w:p w14:paraId="2D06610D" w14:textId="77777777" w:rsidR="00A77B3E" w:rsidRPr="00800D1B" w:rsidRDefault="00623E14" w:rsidP="00B76590">
            <w:pPr>
              <w:spacing w:before="100" w:after="100"/>
              <w:ind w:left="-72"/>
              <w:rPr>
                <w:color w:val="000000"/>
                <w:sz w:val="20"/>
                <w:lang w:val="sv-SE"/>
              </w:rPr>
            </w:pPr>
            <w:r w:rsidRPr="00800D1B">
              <w:rPr>
                <w:color w:val="000000"/>
                <w:sz w:val="20"/>
                <w:lang w:val="sv-SE"/>
              </w:rPr>
              <w:t>4</w:t>
            </w:r>
          </w:p>
        </w:tc>
        <w:tc>
          <w:tcPr>
            <w:tcW w:w="0" w:type="auto"/>
          </w:tcPr>
          <w:p w14:paraId="2D06610E" w14:textId="77777777" w:rsidR="00A77B3E" w:rsidRPr="00800D1B" w:rsidRDefault="00623E14" w:rsidP="00B76590">
            <w:pPr>
              <w:spacing w:before="100" w:after="100"/>
              <w:ind w:left="-72"/>
              <w:rPr>
                <w:color w:val="000000"/>
                <w:sz w:val="20"/>
                <w:lang w:val="sv-SE"/>
              </w:rPr>
            </w:pPr>
            <w:r w:rsidRPr="00800D1B">
              <w:rPr>
                <w:color w:val="000000"/>
                <w:sz w:val="20"/>
                <w:lang w:val="sv-SE"/>
              </w:rPr>
              <w:t>RSO2.3</w:t>
            </w:r>
          </w:p>
        </w:tc>
        <w:tc>
          <w:tcPr>
            <w:tcW w:w="0" w:type="auto"/>
          </w:tcPr>
          <w:p w14:paraId="2D06610F" w14:textId="77777777" w:rsidR="00A77B3E" w:rsidRPr="00800D1B" w:rsidRDefault="00623E14" w:rsidP="00B76590">
            <w:pPr>
              <w:spacing w:before="100" w:after="100"/>
              <w:ind w:left="-72"/>
              <w:rPr>
                <w:color w:val="000000"/>
                <w:sz w:val="20"/>
                <w:lang w:val="sv-SE"/>
              </w:rPr>
            </w:pPr>
            <w:r w:rsidRPr="00800D1B">
              <w:rPr>
                <w:color w:val="000000"/>
                <w:sz w:val="20"/>
                <w:lang w:val="sv-SE"/>
              </w:rPr>
              <w:t>Eruf</w:t>
            </w:r>
          </w:p>
        </w:tc>
        <w:tc>
          <w:tcPr>
            <w:tcW w:w="0" w:type="auto"/>
          </w:tcPr>
          <w:p w14:paraId="2D066110" w14:textId="77777777" w:rsidR="00A77B3E" w:rsidRPr="00800D1B" w:rsidRDefault="00623E14" w:rsidP="00B76590">
            <w:pPr>
              <w:spacing w:before="100" w:after="100"/>
              <w:ind w:left="-72"/>
              <w:rPr>
                <w:color w:val="000000"/>
                <w:sz w:val="20"/>
                <w:lang w:val="sv-SE"/>
              </w:rPr>
            </w:pPr>
            <w:r w:rsidRPr="00800D1B">
              <w:rPr>
                <w:color w:val="000000"/>
                <w:sz w:val="20"/>
                <w:lang w:val="sv-SE"/>
              </w:rPr>
              <w:t>Mer utvecklade regioner</w:t>
            </w:r>
          </w:p>
        </w:tc>
        <w:tc>
          <w:tcPr>
            <w:tcW w:w="0" w:type="auto"/>
          </w:tcPr>
          <w:p w14:paraId="2D066111" w14:textId="77777777" w:rsidR="00A77B3E" w:rsidRPr="00800D1B" w:rsidRDefault="00623E14" w:rsidP="00B76590">
            <w:pPr>
              <w:spacing w:before="100" w:after="100"/>
              <w:ind w:left="-72"/>
              <w:rPr>
                <w:color w:val="000000"/>
                <w:sz w:val="20"/>
                <w:lang w:val="sv-SE"/>
              </w:rPr>
            </w:pPr>
            <w:r w:rsidRPr="00800D1B">
              <w:rPr>
                <w:color w:val="000000"/>
                <w:sz w:val="20"/>
                <w:lang w:val="sv-SE"/>
              </w:rPr>
              <w:t>RCO23</w:t>
            </w:r>
          </w:p>
        </w:tc>
        <w:tc>
          <w:tcPr>
            <w:tcW w:w="0" w:type="auto"/>
          </w:tcPr>
          <w:p w14:paraId="2D066112" w14:textId="77777777" w:rsidR="00A77B3E" w:rsidRPr="00800D1B" w:rsidRDefault="00623E14" w:rsidP="00B76590">
            <w:pPr>
              <w:spacing w:before="100" w:after="100"/>
              <w:ind w:left="-72"/>
              <w:rPr>
                <w:color w:val="000000"/>
                <w:sz w:val="20"/>
                <w:lang w:val="sv-SE"/>
              </w:rPr>
            </w:pPr>
            <w:r w:rsidRPr="00800D1B">
              <w:rPr>
                <w:color w:val="000000"/>
                <w:sz w:val="20"/>
                <w:lang w:val="sv-SE"/>
              </w:rPr>
              <w:t>Digitala förvaltningssystem för smarta energisystem</w:t>
            </w:r>
          </w:p>
        </w:tc>
        <w:tc>
          <w:tcPr>
            <w:tcW w:w="0" w:type="auto"/>
          </w:tcPr>
          <w:p w14:paraId="2D066113" w14:textId="77777777" w:rsidR="00A77B3E" w:rsidRPr="00800D1B" w:rsidRDefault="00623E14" w:rsidP="00B76590">
            <w:pPr>
              <w:spacing w:before="100" w:after="100"/>
              <w:ind w:left="-72"/>
              <w:rPr>
                <w:color w:val="000000"/>
                <w:sz w:val="20"/>
                <w:lang w:val="sv-SE"/>
              </w:rPr>
            </w:pPr>
            <w:r w:rsidRPr="00800D1B">
              <w:rPr>
                <w:color w:val="000000"/>
                <w:sz w:val="20"/>
                <w:lang w:val="sv-SE"/>
              </w:rPr>
              <w:t>systemkomponenter</w:t>
            </w:r>
          </w:p>
        </w:tc>
        <w:tc>
          <w:tcPr>
            <w:tcW w:w="0" w:type="auto"/>
          </w:tcPr>
          <w:p w14:paraId="2D066114" w14:textId="77777777" w:rsidR="00A77B3E" w:rsidRPr="00800D1B" w:rsidRDefault="00623E14" w:rsidP="00B76590">
            <w:pPr>
              <w:spacing w:before="100" w:after="100"/>
              <w:ind w:left="-72"/>
              <w:jc w:val="right"/>
              <w:rPr>
                <w:color w:val="000000"/>
                <w:sz w:val="20"/>
                <w:lang w:val="sv-SE"/>
              </w:rPr>
            </w:pPr>
            <w:r w:rsidRPr="00800D1B">
              <w:rPr>
                <w:color w:val="000000"/>
                <w:sz w:val="20"/>
                <w:lang w:val="sv-SE"/>
              </w:rPr>
              <w:t>1,00</w:t>
            </w:r>
          </w:p>
        </w:tc>
        <w:tc>
          <w:tcPr>
            <w:tcW w:w="0" w:type="auto"/>
          </w:tcPr>
          <w:p w14:paraId="2D066115" w14:textId="77777777" w:rsidR="00A77B3E" w:rsidRPr="00800D1B" w:rsidRDefault="00623E14" w:rsidP="00B76590">
            <w:pPr>
              <w:spacing w:before="100" w:after="100"/>
              <w:ind w:left="-72"/>
              <w:jc w:val="right"/>
              <w:rPr>
                <w:color w:val="000000"/>
                <w:sz w:val="20"/>
                <w:lang w:val="sv-SE"/>
              </w:rPr>
            </w:pPr>
            <w:r w:rsidRPr="00800D1B">
              <w:rPr>
                <w:color w:val="000000"/>
                <w:sz w:val="20"/>
                <w:lang w:val="sv-SE"/>
              </w:rPr>
              <w:t>19,00</w:t>
            </w:r>
          </w:p>
        </w:tc>
      </w:tr>
      <w:tr w:rsidR="003422DB" w:rsidRPr="00800D1B" w14:paraId="2D066120" w14:textId="77777777" w:rsidTr="00B76590">
        <w:tc>
          <w:tcPr>
            <w:tcW w:w="0" w:type="auto"/>
          </w:tcPr>
          <w:p w14:paraId="2D066117" w14:textId="77777777" w:rsidR="00A77B3E" w:rsidRPr="00800D1B" w:rsidRDefault="00623E14" w:rsidP="00B76590">
            <w:pPr>
              <w:spacing w:before="100" w:after="100"/>
              <w:ind w:left="-72"/>
              <w:rPr>
                <w:color w:val="000000"/>
                <w:sz w:val="20"/>
                <w:lang w:val="sv-SE"/>
              </w:rPr>
            </w:pPr>
            <w:r w:rsidRPr="00800D1B">
              <w:rPr>
                <w:color w:val="000000"/>
                <w:sz w:val="20"/>
                <w:lang w:val="sv-SE"/>
              </w:rPr>
              <w:t>4</w:t>
            </w:r>
          </w:p>
        </w:tc>
        <w:tc>
          <w:tcPr>
            <w:tcW w:w="0" w:type="auto"/>
          </w:tcPr>
          <w:p w14:paraId="2D066118" w14:textId="77777777" w:rsidR="00A77B3E" w:rsidRPr="00800D1B" w:rsidRDefault="00623E14" w:rsidP="00B76590">
            <w:pPr>
              <w:spacing w:before="100" w:after="100"/>
              <w:ind w:left="-72"/>
              <w:rPr>
                <w:color w:val="000000"/>
                <w:sz w:val="20"/>
                <w:lang w:val="sv-SE"/>
              </w:rPr>
            </w:pPr>
            <w:r w:rsidRPr="00800D1B">
              <w:rPr>
                <w:color w:val="000000"/>
                <w:sz w:val="20"/>
                <w:lang w:val="sv-SE"/>
              </w:rPr>
              <w:t>RSO2.3</w:t>
            </w:r>
          </w:p>
        </w:tc>
        <w:tc>
          <w:tcPr>
            <w:tcW w:w="0" w:type="auto"/>
          </w:tcPr>
          <w:p w14:paraId="2D066119" w14:textId="77777777" w:rsidR="00A77B3E" w:rsidRPr="00800D1B" w:rsidRDefault="00623E14" w:rsidP="00B76590">
            <w:pPr>
              <w:spacing w:before="100" w:after="100"/>
              <w:ind w:left="-72"/>
              <w:rPr>
                <w:color w:val="000000"/>
                <w:sz w:val="20"/>
                <w:lang w:val="sv-SE"/>
              </w:rPr>
            </w:pPr>
            <w:r w:rsidRPr="00800D1B">
              <w:rPr>
                <w:color w:val="000000"/>
                <w:sz w:val="20"/>
                <w:lang w:val="sv-SE"/>
              </w:rPr>
              <w:t>Eruf</w:t>
            </w:r>
          </w:p>
        </w:tc>
        <w:tc>
          <w:tcPr>
            <w:tcW w:w="0" w:type="auto"/>
          </w:tcPr>
          <w:p w14:paraId="2D06611A" w14:textId="77777777" w:rsidR="00A77B3E" w:rsidRPr="00800D1B" w:rsidRDefault="00623E14" w:rsidP="00B76590">
            <w:pPr>
              <w:spacing w:before="100" w:after="100"/>
              <w:ind w:left="-72"/>
              <w:rPr>
                <w:color w:val="000000"/>
                <w:sz w:val="20"/>
                <w:lang w:val="sv-SE"/>
              </w:rPr>
            </w:pPr>
            <w:r w:rsidRPr="00800D1B">
              <w:rPr>
                <w:color w:val="000000"/>
                <w:sz w:val="20"/>
                <w:lang w:val="sv-SE"/>
              </w:rPr>
              <w:t>Mer utvecklade regioner</w:t>
            </w:r>
          </w:p>
        </w:tc>
        <w:tc>
          <w:tcPr>
            <w:tcW w:w="0" w:type="auto"/>
          </w:tcPr>
          <w:p w14:paraId="2D06611B" w14:textId="77777777" w:rsidR="00A77B3E" w:rsidRPr="00800D1B" w:rsidRDefault="00623E14" w:rsidP="00B76590">
            <w:pPr>
              <w:spacing w:before="100" w:after="100"/>
              <w:ind w:left="-72"/>
              <w:rPr>
                <w:color w:val="000000"/>
                <w:sz w:val="20"/>
                <w:lang w:val="sv-SE"/>
              </w:rPr>
            </w:pPr>
            <w:r w:rsidRPr="00800D1B">
              <w:rPr>
                <w:color w:val="000000"/>
                <w:sz w:val="20"/>
                <w:lang w:val="sv-SE"/>
              </w:rPr>
              <w:t>SWO01</w:t>
            </w:r>
          </w:p>
        </w:tc>
        <w:tc>
          <w:tcPr>
            <w:tcW w:w="0" w:type="auto"/>
          </w:tcPr>
          <w:p w14:paraId="2D06611C" w14:textId="77777777" w:rsidR="00A77B3E" w:rsidRPr="00800D1B" w:rsidRDefault="00623E14" w:rsidP="00B76590">
            <w:pPr>
              <w:spacing w:before="100" w:after="100"/>
              <w:ind w:left="-72"/>
              <w:rPr>
                <w:color w:val="000000"/>
                <w:sz w:val="20"/>
                <w:lang w:val="sv-SE"/>
              </w:rPr>
            </w:pPr>
            <w:r w:rsidRPr="00800D1B">
              <w:rPr>
                <w:color w:val="000000"/>
                <w:sz w:val="20"/>
                <w:lang w:val="sv-SE"/>
              </w:rPr>
              <w:t>Antal organisationer som får stöd</w:t>
            </w:r>
          </w:p>
        </w:tc>
        <w:tc>
          <w:tcPr>
            <w:tcW w:w="0" w:type="auto"/>
          </w:tcPr>
          <w:p w14:paraId="2D06611D" w14:textId="77777777" w:rsidR="00A77B3E" w:rsidRPr="00800D1B" w:rsidRDefault="00623E14" w:rsidP="00B76590">
            <w:pPr>
              <w:spacing w:before="100" w:after="100"/>
              <w:ind w:left="-72"/>
              <w:rPr>
                <w:color w:val="000000"/>
                <w:sz w:val="20"/>
                <w:lang w:val="sv-SE"/>
              </w:rPr>
            </w:pPr>
            <w:r w:rsidRPr="00800D1B">
              <w:rPr>
                <w:color w:val="000000"/>
                <w:sz w:val="20"/>
                <w:lang w:val="sv-SE"/>
              </w:rPr>
              <w:t>Organisationer</w:t>
            </w:r>
          </w:p>
        </w:tc>
        <w:tc>
          <w:tcPr>
            <w:tcW w:w="0" w:type="auto"/>
          </w:tcPr>
          <w:p w14:paraId="2D06611E" w14:textId="77777777" w:rsidR="00A77B3E" w:rsidRPr="00800D1B" w:rsidRDefault="00623E14" w:rsidP="00B76590">
            <w:pPr>
              <w:spacing w:before="100" w:after="100"/>
              <w:ind w:left="-72"/>
              <w:jc w:val="right"/>
              <w:rPr>
                <w:color w:val="000000"/>
                <w:sz w:val="20"/>
                <w:lang w:val="sv-SE"/>
              </w:rPr>
            </w:pPr>
            <w:r w:rsidRPr="00800D1B">
              <w:rPr>
                <w:color w:val="000000"/>
                <w:sz w:val="20"/>
                <w:lang w:val="sv-SE"/>
              </w:rPr>
              <w:t>1,00</w:t>
            </w:r>
          </w:p>
        </w:tc>
        <w:tc>
          <w:tcPr>
            <w:tcW w:w="0" w:type="auto"/>
          </w:tcPr>
          <w:p w14:paraId="2D06611F" w14:textId="77777777" w:rsidR="00A77B3E" w:rsidRPr="00800D1B" w:rsidRDefault="00623E14" w:rsidP="00B76590">
            <w:pPr>
              <w:spacing w:before="100" w:after="100"/>
              <w:ind w:left="-72"/>
              <w:jc w:val="right"/>
              <w:rPr>
                <w:color w:val="000000"/>
                <w:sz w:val="20"/>
                <w:lang w:val="sv-SE"/>
              </w:rPr>
            </w:pPr>
            <w:r w:rsidRPr="00800D1B">
              <w:rPr>
                <w:color w:val="000000"/>
                <w:sz w:val="20"/>
                <w:lang w:val="sv-SE"/>
              </w:rPr>
              <w:t>5,00</w:t>
            </w:r>
          </w:p>
        </w:tc>
      </w:tr>
      <w:tr w:rsidR="003422DB" w:rsidRPr="00800D1B" w14:paraId="2D06612A" w14:textId="77777777" w:rsidTr="00B76590">
        <w:tc>
          <w:tcPr>
            <w:tcW w:w="0" w:type="auto"/>
          </w:tcPr>
          <w:p w14:paraId="2D066121" w14:textId="77777777" w:rsidR="00A77B3E" w:rsidRPr="00800D1B" w:rsidRDefault="00623E14" w:rsidP="00B76590">
            <w:pPr>
              <w:spacing w:before="100" w:after="100"/>
              <w:ind w:left="-72"/>
              <w:rPr>
                <w:color w:val="000000"/>
                <w:sz w:val="20"/>
                <w:lang w:val="sv-SE"/>
              </w:rPr>
            </w:pPr>
            <w:r w:rsidRPr="00800D1B">
              <w:rPr>
                <w:color w:val="000000"/>
                <w:sz w:val="20"/>
                <w:lang w:val="sv-SE"/>
              </w:rPr>
              <w:t>4</w:t>
            </w:r>
          </w:p>
        </w:tc>
        <w:tc>
          <w:tcPr>
            <w:tcW w:w="0" w:type="auto"/>
          </w:tcPr>
          <w:p w14:paraId="2D066122" w14:textId="77777777" w:rsidR="00A77B3E" w:rsidRPr="00800D1B" w:rsidRDefault="00623E14" w:rsidP="00B76590">
            <w:pPr>
              <w:spacing w:before="100" w:after="100"/>
              <w:ind w:left="-72"/>
              <w:rPr>
                <w:color w:val="000000"/>
                <w:sz w:val="20"/>
                <w:lang w:val="sv-SE"/>
              </w:rPr>
            </w:pPr>
            <w:r w:rsidRPr="00800D1B">
              <w:rPr>
                <w:color w:val="000000"/>
                <w:sz w:val="20"/>
                <w:lang w:val="sv-SE"/>
              </w:rPr>
              <w:t>RSO2.3</w:t>
            </w:r>
          </w:p>
        </w:tc>
        <w:tc>
          <w:tcPr>
            <w:tcW w:w="0" w:type="auto"/>
          </w:tcPr>
          <w:p w14:paraId="2D066123" w14:textId="77777777" w:rsidR="00A77B3E" w:rsidRPr="00800D1B" w:rsidRDefault="00623E14" w:rsidP="00B76590">
            <w:pPr>
              <w:spacing w:before="100" w:after="100"/>
              <w:ind w:left="-72"/>
              <w:rPr>
                <w:color w:val="000000"/>
                <w:sz w:val="20"/>
                <w:lang w:val="sv-SE"/>
              </w:rPr>
            </w:pPr>
            <w:r w:rsidRPr="00800D1B">
              <w:rPr>
                <w:color w:val="000000"/>
                <w:sz w:val="20"/>
                <w:lang w:val="sv-SE"/>
              </w:rPr>
              <w:t>Eruf</w:t>
            </w:r>
          </w:p>
        </w:tc>
        <w:tc>
          <w:tcPr>
            <w:tcW w:w="0" w:type="auto"/>
          </w:tcPr>
          <w:p w14:paraId="2D066124" w14:textId="77777777" w:rsidR="00A77B3E" w:rsidRPr="00800D1B" w:rsidRDefault="00623E14" w:rsidP="00B76590">
            <w:pPr>
              <w:spacing w:before="100" w:after="100"/>
              <w:ind w:left="-72"/>
              <w:rPr>
                <w:color w:val="000000"/>
                <w:sz w:val="20"/>
                <w:lang w:val="sv-SE"/>
              </w:rPr>
            </w:pPr>
            <w:r w:rsidRPr="00800D1B">
              <w:rPr>
                <w:color w:val="000000"/>
                <w:sz w:val="20"/>
                <w:lang w:val="sv-SE"/>
              </w:rPr>
              <w:t>Mer utvecklade regioner</w:t>
            </w:r>
          </w:p>
        </w:tc>
        <w:tc>
          <w:tcPr>
            <w:tcW w:w="0" w:type="auto"/>
          </w:tcPr>
          <w:p w14:paraId="2D066125" w14:textId="77777777" w:rsidR="00A77B3E" w:rsidRPr="00800D1B" w:rsidRDefault="00623E14" w:rsidP="00B76590">
            <w:pPr>
              <w:spacing w:before="100" w:after="100"/>
              <w:ind w:left="-72"/>
              <w:rPr>
                <w:color w:val="000000"/>
                <w:sz w:val="20"/>
                <w:lang w:val="sv-SE"/>
              </w:rPr>
            </w:pPr>
            <w:r w:rsidRPr="00800D1B">
              <w:rPr>
                <w:color w:val="000000"/>
                <w:sz w:val="20"/>
                <w:lang w:val="sv-SE"/>
              </w:rPr>
              <w:t>SWO02</w:t>
            </w:r>
          </w:p>
        </w:tc>
        <w:tc>
          <w:tcPr>
            <w:tcW w:w="0" w:type="auto"/>
          </w:tcPr>
          <w:p w14:paraId="2D066126" w14:textId="77777777" w:rsidR="00A77B3E" w:rsidRPr="00800D1B" w:rsidRDefault="00623E14" w:rsidP="00B76590">
            <w:pPr>
              <w:spacing w:before="100" w:after="100"/>
              <w:ind w:left="-72"/>
              <w:rPr>
                <w:color w:val="000000"/>
                <w:sz w:val="20"/>
                <w:lang w:val="sv-SE"/>
              </w:rPr>
            </w:pPr>
            <w:r w:rsidRPr="00800D1B">
              <w:rPr>
                <w:color w:val="000000"/>
                <w:sz w:val="20"/>
                <w:lang w:val="sv-SE"/>
              </w:rPr>
              <w:t>Investeringar i euro</w:t>
            </w:r>
          </w:p>
        </w:tc>
        <w:tc>
          <w:tcPr>
            <w:tcW w:w="0" w:type="auto"/>
          </w:tcPr>
          <w:p w14:paraId="2D066127" w14:textId="77777777" w:rsidR="00A77B3E" w:rsidRPr="00800D1B" w:rsidRDefault="00623E14" w:rsidP="00B76590">
            <w:pPr>
              <w:spacing w:before="100" w:after="100"/>
              <w:ind w:left="-72"/>
              <w:rPr>
                <w:color w:val="000000"/>
                <w:sz w:val="20"/>
                <w:lang w:val="sv-SE"/>
              </w:rPr>
            </w:pPr>
            <w:r w:rsidRPr="00800D1B">
              <w:rPr>
                <w:color w:val="000000"/>
                <w:sz w:val="20"/>
                <w:lang w:val="sv-SE"/>
              </w:rPr>
              <w:t>euro</w:t>
            </w:r>
          </w:p>
        </w:tc>
        <w:tc>
          <w:tcPr>
            <w:tcW w:w="0" w:type="auto"/>
          </w:tcPr>
          <w:p w14:paraId="2D066128" w14:textId="77777777" w:rsidR="00A77B3E" w:rsidRPr="00800D1B" w:rsidRDefault="00623E14" w:rsidP="00B76590">
            <w:pPr>
              <w:spacing w:before="100" w:after="100"/>
              <w:ind w:left="-72"/>
              <w:jc w:val="right"/>
              <w:rPr>
                <w:color w:val="000000"/>
                <w:sz w:val="20"/>
                <w:lang w:val="sv-SE"/>
              </w:rPr>
            </w:pPr>
            <w:r w:rsidRPr="00800D1B">
              <w:rPr>
                <w:color w:val="000000"/>
                <w:sz w:val="20"/>
                <w:lang w:val="sv-SE"/>
              </w:rPr>
              <w:t>495 956,00</w:t>
            </w:r>
          </w:p>
        </w:tc>
        <w:tc>
          <w:tcPr>
            <w:tcW w:w="0" w:type="auto"/>
          </w:tcPr>
          <w:p w14:paraId="2D066129" w14:textId="77777777" w:rsidR="00A77B3E" w:rsidRPr="00800D1B" w:rsidRDefault="00623E14" w:rsidP="00B76590">
            <w:pPr>
              <w:spacing w:before="100" w:after="100"/>
              <w:ind w:left="-72"/>
              <w:jc w:val="right"/>
              <w:rPr>
                <w:color w:val="000000"/>
                <w:sz w:val="20"/>
                <w:lang w:val="sv-SE"/>
              </w:rPr>
            </w:pPr>
            <w:r w:rsidRPr="00800D1B">
              <w:rPr>
                <w:color w:val="000000"/>
                <w:sz w:val="20"/>
                <w:lang w:val="sv-SE"/>
              </w:rPr>
              <w:t>9 919 114,00</w:t>
            </w:r>
          </w:p>
        </w:tc>
      </w:tr>
    </w:tbl>
    <w:p w14:paraId="2D06612C" w14:textId="77777777" w:rsidR="00A77B3E" w:rsidRPr="00800D1B" w:rsidRDefault="00623E14" w:rsidP="00FE3189">
      <w:pPr>
        <w:spacing w:before="360"/>
        <w:rPr>
          <w:color w:val="000000"/>
          <w:sz w:val="0"/>
          <w:lang w:val="sv-SE"/>
        </w:rPr>
      </w:pPr>
      <w:r w:rsidRPr="00800D1B">
        <w:rPr>
          <w:color w:val="000000"/>
          <w:lang w:val="sv-SE"/>
        </w:rPr>
        <w:t>Referens: Artikel 22.3 d ii i förordningen om gemensamma bestämmelser</w:t>
      </w:r>
    </w:p>
    <w:p w14:paraId="2D06612D" w14:textId="6B859516" w:rsidR="00A77B3E" w:rsidRPr="00800D1B" w:rsidRDefault="00623E14" w:rsidP="003D08B5">
      <w:pPr>
        <w:spacing w:before="720" w:after="100"/>
        <w:rPr>
          <w:lang w:val="sv-SE"/>
        </w:rPr>
      </w:pPr>
      <w:bookmarkStart w:id="120" w:name="_Toc256000361"/>
      <w:r w:rsidRPr="00800D1B">
        <w:rPr>
          <w:lang w:val="sv-SE"/>
        </w:rPr>
        <w:t>Tabell 3: Resultatindikatorer</w:t>
      </w:r>
      <w:bookmarkEnd w:id="120"/>
    </w:p>
    <w:tbl>
      <w:tblPr>
        <w:tblStyle w:val="Tabellrutnt"/>
        <w:tblW w:w="5000" w:type="pct"/>
        <w:tblLook w:val="04A0" w:firstRow="1" w:lastRow="0" w:firstColumn="1" w:lastColumn="0" w:noHBand="0" w:noVBand="1"/>
        <w:tblDescription w:val="En tabell med tolv kolumner: Prioritering; Specifikt mål; Fond; Regionkategori; ID; Indikator; Mätenhet; Utgångsvärde eller referensvärde; Referensår; Mål (2029); Datakälla; Kommentarer. Tabellen visar information om Resultatindikatorer."/>
      </w:tblPr>
      <w:tblGrid>
        <w:gridCol w:w="1083"/>
        <w:gridCol w:w="937"/>
        <w:gridCol w:w="572"/>
        <w:gridCol w:w="1508"/>
        <w:gridCol w:w="793"/>
        <w:gridCol w:w="3007"/>
        <w:gridCol w:w="1481"/>
        <w:gridCol w:w="1509"/>
        <w:gridCol w:w="1026"/>
        <w:gridCol w:w="1060"/>
        <w:gridCol w:w="926"/>
        <w:gridCol w:w="1270"/>
      </w:tblGrid>
      <w:tr w:rsidR="003422DB" w:rsidRPr="00800D1B" w14:paraId="2D06613B" w14:textId="77777777" w:rsidTr="00B76590">
        <w:tc>
          <w:tcPr>
            <w:tcW w:w="0" w:type="auto"/>
          </w:tcPr>
          <w:p w14:paraId="2D06612F" w14:textId="77777777" w:rsidR="00A77B3E" w:rsidRPr="00800D1B" w:rsidRDefault="00623E14" w:rsidP="00B76590">
            <w:pPr>
              <w:spacing w:before="100" w:after="100"/>
              <w:ind w:left="-72"/>
              <w:jc w:val="center"/>
              <w:rPr>
                <w:color w:val="000000"/>
                <w:sz w:val="20"/>
                <w:lang w:val="sv-SE"/>
              </w:rPr>
            </w:pPr>
            <w:r w:rsidRPr="00800D1B">
              <w:rPr>
                <w:color w:val="000000"/>
                <w:sz w:val="20"/>
                <w:lang w:val="sv-SE"/>
              </w:rPr>
              <w:t>Prioritering</w:t>
            </w:r>
          </w:p>
        </w:tc>
        <w:tc>
          <w:tcPr>
            <w:tcW w:w="0" w:type="auto"/>
          </w:tcPr>
          <w:p w14:paraId="2D066130" w14:textId="77777777" w:rsidR="00A77B3E" w:rsidRPr="00800D1B" w:rsidRDefault="00623E14" w:rsidP="00B76590">
            <w:pPr>
              <w:spacing w:before="100" w:after="100"/>
              <w:ind w:left="-72"/>
              <w:jc w:val="center"/>
              <w:rPr>
                <w:color w:val="000000"/>
                <w:sz w:val="20"/>
                <w:lang w:val="sv-SE"/>
              </w:rPr>
            </w:pPr>
            <w:r w:rsidRPr="00800D1B">
              <w:rPr>
                <w:color w:val="000000"/>
                <w:sz w:val="20"/>
                <w:lang w:val="sv-SE"/>
              </w:rPr>
              <w:t>Specifikt mål</w:t>
            </w:r>
          </w:p>
        </w:tc>
        <w:tc>
          <w:tcPr>
            <w:tcW w:w="0" w:type="auto"/>
          </w:tcPr>
          <w:p w14:paraId="2D066131" w14:textId="77777777" w:rsidR="00A77B3E" w:rsidRPr="00800D1B" w:rsidRDefault="00623E14" w:rsidP="00B76590">
            <w:pPr>
              <w:spacing w:before="100" w:after="100"/>
              <w:ind w:left="-72"/>
              <w:jc w:val="center"/>
              <w:rPr>
                <w:color w:val="000000"/>
                <w:sz w:val="20"/>
                <w:lang w:val="sv-SE"/>
              </w:rPr>
            </w:pPr>
            <w:r w:rsidRPr="00800D1B">
              <w:rPr>
                <w:color w:val="000000"/>
                <w:sz w:val="20"/>
                <w:lang w:val="sv-SE"/>
              </w:rPr>
              <w:t>Fond</w:t>
            </w:r>
          </w:p>
        </w:tc>
        <w:tc>
          <w:tcPr>
            <w:tcW w:w="0" w:type="auto"/>
          </w:tcPr>
          <w:p w14:paraId="2D066132" w14:textId="77777777" w:rsidR="00A77B3E" w:rsidRPr="00800D1B" w:rsidRDefault="00623E14" w:rsidP="00B76590">
            <w:pPr>
              <w:spacing w:before="100" w:after="100"/>
              <w:ind w:left="-72"/>
              <w:jc w:val="center"/>
              <w:rPr>
                <w:color w:val="000000"/>
                <w:sz w:val="20"/>
                <w:lang w:val="sv-SE"/>
              </w:rPr>
            </w:pPr>
            <w:r w:rsidRPr="00800D1B">
              <w:rPr>
                <w:color w:val="000000"/>
                <w:sz w:val="20"/>
                <w:lang w:val="sv-SE"/>
              </w:rPr>
              <w:t>Regionkategori</w:t>
            </w:r>
          </w:p>
        </w:tc>
        <w:tc>
          <w:tcPr>
            <w:tcW w:w="0" w:type="auto"/>
          </w:tcPr>
          <w:p w14:paraId="2D066133" w14:textId="77777777" w:rsidR="00A77B3E" w:rsidRPr="00800D1B" w:rsidRDefault="00623E14" w:rsidP="00B76590">
            <w:pPr>
              <w:spacing w:before="100" w:after="100"/>
              <w:ind w:left="-72"/>
              <w:jc w:val="center"/>
              <w:rPr>
                <w:color w:val="000000"/>
                <w:sz w:val="20"/>
                <w:lang w:val="sv-SE"/>
              </w:rPr>
            </w:pPr>
            <w:r w:rsidRPr="00800D1B">
              <w:rPr>
                <w:color w:val="000000"/>
                <w:sz w:val="20"/>
                <w:lang w:val="sv-SE"/>
              </w:rPr>
              <w:t>ID</w:t>
            </w:r>
          </w:p>
        </w:tc>
        <w:tc>
          <w:tcPr>
            <w:tcW w:w="0" w:type="auto"/>
          </w:tcPr>
          <w:p w14:paraId="2D066134" w14:textId="77777777" w:rsidR="00A77B3E" w:rsidRPr="00800D1B" w:rsidRDefault="00623E14" w:rsidP="00B76590">
            <w:pPr>
              <w:spacing w:before="100" w:after="100"/>
              <w:ind w:left="-72"/>
              <w:jc w:val="center"/>
              <w:rPr>
                <w:color w:val="000000"/>
                <w:sz w:val="20"/>
                <w:lang w:val="sv-SE"/>
              </w:rPr>
            </w:pPr>
            <w:r w:rsidRPr="00800D1B">
              <w:rPr>
                <w:color w:val="000000"/>
                <w:sz w:val="20"/>
                <w:lang w:val="sv-SE"/>
              </w:rPr>
              <w:t>Indikator</w:t>
            </w:r>
          </w:p>
        </w:tc>
        <w:tc>
          <w:tcPr>
            <w:tcW w:w="0" w:type="auto"/>
          </w:tcPr>
          <w:p w14:paraId="2D066135" w14:textId="77777777" w:rsidR="00A77B3E" w:rsidRPr="00800D1B" w:rsidRDefault="00623E14" w:rsidP="00B76590">
            <w:pPr>
              <w:spacing w:before="100" w:after="100"/>
              <w:ind w:left="-72"/>
              <w:jc w:val="center"/>
              <w:rPr>
                <w:color w:val="000000"/>
                <w:sz w:val="20"/>
                <w:lang w:val="sv-SE"/>
              </w:rPr>
            </w:pPr>
            <w:r w:rsidRPr="00800D1B">
              <w:rPr>
                <w:color w:val="000000"/>
                <w:sz w:val="20"/>
                <w:lang w:val="sv-SE"/>
              </w:rPr>
              <w:t>Mätenhet</w:t>
            </w:r>
          </w:p>
        </w:tc>
        <w:tc>
          <w:tcPr>
            <w:tcW w:w="0" w:type="auto"/>
          </w:tcPr>
          <w:p w14:paraId="2D066136" w14:textId="77777777" w:rsidR="00A77B3E" w:rsidRPr="00800D1B" w:rsidRDefault="00623E14" w:rsidP="00B76590">
            <w:pPr>
              <w:spacing w:before="100" w:after="100"/>
              <w:ind w:left="-72"/>
              <w:jc w:val="center"/>
              <w:rPr>
                <w:color w:val="000000"/>
                <w:sz w:val="20"/>
                <w:lang w:val="sv-SE"/>
              </w:rPr>
            </w:pPr>
            <w:r w:rsidRPr="00800D1B">
              <w:rPr>
                <w:color w:val="000000"/>
                <w:sz w:val="20"/>
                <w:lang w:val="sv-SE"/>
              </w:rPr>
              <w:t>Utgångsvärde eller referensvärde</w:t>
            </w:r>
          </w:p>
        </w:tc>
        <w:tc>
          <w:tcPr>
            <w:tcW w:w="0" w:type="auto"/>
          </w:tcPr>
          <w:p w14:paraId="2D066137" w14:textId="77777777" w:rsidR="00A77B3E" w:rsidRPr="00800D1B" w:rsidRDefault="00623E14" w:rsidP="00B76590">
            <w:pPr>
              <w:spacing w:before="100" w:after="100"/>
              <w:ind w:left="-72"/>
              <w:jc w:val="center"/>
              <w:rPr>
                <w:color w:val="000000"/>
                <w:sz w:val="20"/>
                <w:lang w:val="sv-SE"/>
              </w:rPr>
            </w:pPr>
            <w:r w:rsidRPr="00800D1B">
              <w:rPr>
                <w:color w:val="000000"/>
                <w:sz w:val="20"/>
                <w:lang w:val="sv-SE"/>
              </w:rPr>
              <w:t>Referensår</w:t>
            </w:r>
          </w:p>
        </w:tc>
        <w:tc>
          <w:tcPr>
            <w:tcW w:w="0" w:type="auto"/>
          </w:tcPr>
          <w:p w14:paraId="2D066138" w14:textId="77777777" w:rsidR="00A77B3E" w:rsidRPr="00800D1B" w:rsidRDefault="00623E14" w:rsidP="00B76590">
            <w:pPr>
              <w:spacing w:before="100" w:after="100"/>
              <w:ind w:left="-72"/>
              <w:jc w:val="center"/>
              <w:rPr>
                <w:color w:val="000000"/>
                <w:sz w:val="20"/>
                <w:lang w:val="sv-SE"/>
              </w:rPr>
            </w:pPr>
            <w:r w:rsidRPr="00800D1B">
              <w:rPr>
                <w:color w:val="000000"/>
                <w:sz w:val="20"/>
                <w:lang w:val="sv-SE"/>
              </w:rPr>
              <w:t>Mål (2029)</w:t>
            </w:r>
          </w:p>
        </w:tc>
        <w:tc>
          <w:tcPr>
            <w:tcW w:w="0" w:type="auto"/>
          </w:tcPr>
          <w:p w14:paraId="2D066139" w14:textId="77777777" w:rsidR="00A77B3E" w:rsidRPr="00800D1B" w:rsidRDefault="00623E14" w:rsidP="00B76590">
            <w:pPr>
              <w:spacing w:before="100" w:after="100"/>
              <w:ind w:left="-72"/>
              <w:jc w:val="center"/>
              <w:rPr>
                <w:color w:val="000000"/>
                <w:sz w:val="20"/>
                <w:lang w:val="sv-SE"/>
              </w:rPr>
            </w:pPr>
            <w:r w:rsidRPr="00800D1B">
              <w:rPr>
                <w:color w:val="000000"/>
                <w:sz w:val="20"/>
                <w:lang w:val="sv-SE"/>
              </w:rPr>
              <w:t>Datakälla</w:t>
            </w:r>
          </w:p>
        </w:tc>
        <w:tc>
          <w:tcPr>
            <w:tcW w:w="0" w:type="auto"/>
          </w:tcPr>
          <w:p w14:paraId="2D06613A" w14:textId="77777777" w:rsidR="00A77B3E" w:rsidRPr="00800D1B" w:rsidRDefault="00623E14" w:rsidP="00B76590">
            <w:pPr>
              <w:spacing w:before="100" w:after="100"/>
              <w:ind w:left="-72"/>
              <w:jc w:val="center"/>
              <w:rPr>
                <w:color w:val="000000"/>
                <w:sz w:val="20"/>
                <w:lang w:val="sv-SE"/>
              </w:rPr>
            </w:pPr>
            <w:r w:rsidRPr="00800D1B">
              <w:rPr>
                <w:color w:val="000000"/>
                <w:sz w:val="20"/>
                <w:lang w:val="sv-SE"/>
              </w:rPr>
              <w:t>Kommentarer</w:t>
            </w:r>
          </w:p>
        </w:tc>
      </w:tr>
      <w:tr w:rsidR="003422DB" w:rsidRPr="00800D1B" w14:paraId="2D066148" w14:textId="77777777" w:rsidTr="00B76590">
        <w:tc>
          <w:tcPr>
            <w:tcW w:w="0" w:type="auto"/>
          </w:tcPr>
          <w:p w14:paraId="2D06613C" w14:textId="77777777" w:rsidR="00A77B3E" w:rsidRPr="00800D1B" w:rsidRDefault="00623E14" w:rsidP="00B76590">
            <w:pPr>
              <w:spacing w:before="100" w:after="100"/>
              <w:ind w:left="-72"/>
              <w:rPr>
                <w:color w:val="000000"/>
                <w:sz w:val="20"/>
                <w:lang w:val="sv-SE"/>
              </w:rPr>
            </w:pPr>
            <w:r w:rsidRPr="00800D1B">
              <w:rPr>
                <w:color w:val="000000"/>
                <w:sz w:val="20"/>
                <w:lang w:val="sv-SE"/>
              </w:rPr>
              <w:t>4</w:t>
            </w:r>
          </w:p>
        </w:tc>
        <w:tc>
          <w:tcPr>
            <w:tcW w:w="0" w:type="auto"/>
          </w:tcPr>
          <w:p w14:paraId="2D06613D" w14:textId="77777777" w:rsidR="00A77B3E" w:rsidRPr="00800D1B" w:rsidRDefault="00623E14" w:rsidP="00B76590">
            <w:pPr>
              <w:spacing w:before="100" w:after="100"/>
              <w:ind w:left="-72"/>
              <w:rPr>
                <w:color w:val="000000"/>
                <w:sz w:val="20"/>
                <w:lang w:val="sv-SE"/>
              </w:rPr>
            </w:pPr>
            <w:r w:rsidRPr="00800D1B">
              <w:rPr>
                <w:color w:val="000000"/>
                <w:sz w:val="20"/>
                <w:lang w:val="sv-SE"/>
              </w:rPr>
              <w:t>RSO2.3</w:t>
            </w:r>
          </w:p>
        </w:tc>
        <w:tc>
          <w:tcPr>
            <w:tcW w:w="0" w:type="auto"/>
          </w:tcPr>
          <w:p w14:paraId="2D06613E" w14:textId="77777777" w:rsidR="00A77B3E" w:rsidRPr="00800D1B" w:rsidRDefault="00623E14" w:rsidP="00B76590">
            <w:pPr>
              <w:spacing w:before="100" w:after="100"/>
              <w:ind w:left="-72"/>
              <w:rPr>
                <w:color w:val="000000"/>
                <w:sz w:val="20"/>
                <w:lang w:val="sv-SE"/>
              </w:rPr>
            </w:pPr>
            <w:r w:rsidRPr="00800D1B">
              <w:rPr>
                <w:color w:val="000000"/>
                <w:sz w:val="20"/>
                <w:lang w:val="sv-SE"/>
              </w:rPr>
              <w:t>Eruf</w:t>
            </w:r>
          </w:p>
        </w:tc>
        <w:tc>
          <w:tcPr>
            <w:tcW w:w="0" w:type="auto"/>
          </w:tcPr>
          <w:p w14:paraId="2D06613F" w14:textId="77777777" w:rsidR="00A77B3E" w:rsidRPr="00800D1B" w:rsidRDefault="00623E14" w:rsidP="00B76590">
            <w:pPr>
              <w:spacing w:before="100" w:after="100"/>
              <w:ind w:left="-72"/>
              <w:rPr>
                <w:color w:val="000000"/>
                <w:sz w:val="20"/>
                <w:lang w:val="sv-SE"/>
              </w:rPr>
            </w:pPr>
            <w:r w:rsidRPr="00800D1B">
              <w:rPr>
                <w:color w:val="000000"/>
                <w:sz w:val="20"/>
                <w:lang w:val="sv-SE"/>
              </w:rPr>
              <w:t>Mer utvecklade regioner</w:t>
            </w:r>
          </w:p>
        </w:tc>
        <w:tc>
          <w:tcPr>
            <w:tcW w:w="0" w:type="auto"/>
          </w:tcPr>
          <w:p w14:paraId="2D066140" w14:textId="77777777" w:rsidR="00A77B3E" w:rsidRPr="00800D1B" w:rsidRDefault="00623E14" w:rsidP="00B76590">
            <w:pPr>
              <w:spacing w:before="100" w:after="100"/>
              <w:ind w:left="-72"/>
              <w:rPr>
                <w:color w:val="000000"/>
                <w:sz w:val="20"/>
                <w:lang w:val="sv-SE"/>
              </w:rPr>
            </w:pPr>
            <w:r w:rsidRPr="00800D1B">
              <w:rPr>
                <w:color w:val="000000"/>
                <w:sz w:val="20"/>
                <w:lang w:val="sv-SE"/>
              </w:rPr>
              <w:t>RCR03</w:t>
            </w:r>
          </w:p>
        </w:tc>
        <w:tc>
          <w:tcPr>
            <w:tcW w:w="0" w:type="auto"/>
          </w:tcPr>
          <w:p w14:paraId="2D066141" w14:textId="77777777" w:rsidR="00A77B3E" w:rsidRPr="00800D1B" w:rsidRDefault="00623E14" w:rsidP="00B76590">
            <w:pPr>
              <w:spacing w:before="100" w:after="100"/>
              <w:ind w:left="-72"/>
              <w:rPr>
                <w:color w:val="000000"/>
                <w:sz w:val="20"/>
                <w:lang w:val="sv-SE"/>
              </w:rPr>
            </w:pPr>
            <w:r w:rsidRPr="00800D1B">
              <w:rPr>
                <w:color w:val="000000"/>
                <w:sz w:val="20"/>
                <w:lang w:val="sv-SE"/>
              </w:rPr>
              <w:t>Små och medelstora företag (SMF) som inför produkt- eller processinnovationer</w:t>
            </w:r>
          </w:p>
        </w:tc>
        <w:tc>
          <w:tcPr>
            <w:tcW w:w="0" w:type="auto"/>
          </w:tcPr>
          <w:p w14:paraId="2D066142" w14:textId="77777777" w:rsidR="00A77B3E" w:rsidRPr="00800D1B" w:rsidRDefault="00623E14" w:rsidP="00B76590">
            <w:pPr>
              <w:spacing w:before="100" w:after="100"/>
              <w:ind w:left="-72"/>
              <w:rPr>
                <w:color w:val="000000"/>
                <w:sz w:val="20"/>
                <w:lang w:val="sv-SE"/>
              </w:rPr>
            </w:pPr>
            <w:r w:rsidRPr="00800D1B">
              <w:rPr>
                <w:color w:val="000000"/>
                <w:sz w:val="20"/>
                <w:lang w:val="sv-SE"/>
              </w:rPr>
              <w:t>företag</w:t>
            </w:r>
          </w:p>
        </w:tc>
        <w:tc>
          <w:tcPr>
            <w:tcW w:w="0" w:type="auto"/>
          </w:tcPr>
          <w:p w14:paraId="2D066143" w14:textId="77777777" w:rsidR="00A77B3E" w:rsidRPr="00800D1B" w:rsidRDefault="00623E14" w:rsidP="00B76590">
            <w:pPr>
              <w:spacing w:before="100" w:after="100"/>
              <w:ind w:left="-72"/>
              <w:jc w:val="right"/>
              <w:rPr>
                <w:color w:val="000000"/>
                <w:sz w:val="20"/>
                <w:lang w:val="sv-SE"/>
              </w:rPr>
            </w:pPr>
            <w:r w:rsidRPr="00800D1B">
              <w:rPr>
                <w:color w:val="000000"/>
                <w:sz w:val="20"/>
                <w:lang w:val="sv-SE"/>
              </w:rPr>
              <w:t>0,00</w:t>
            </w:r>
          </w:p>
        </w:tc>
        <w:tc>
          <w:tcPr>
            <w:tcW w:w="0" w:type="auto"/>
          </w:tcPr>
          <w:p w14:paraId="2D066144" w14:textId="77777777" w:rsidR="00A77B3E" w:rsidRPr="00800D1B" w:rsidRDefault="00623E14" w:rsidP="00B76590">
            <w:pPr>
              <w:spacing w:before="100" w:after="100"/>
              <w:ind w:left="-72"/>
              <w:jc w:val="center"/>
              <w:rPr>
                <w:color w:val="000000"/>
                <w:sz w:val="20"/>
                <w:lang w:val="sv-SE"/>
              </w:rPr>
            </w:pPr>
            <w:r w:rsidRPr="00800D1B">
              <w:rPr>
                <w:color w:val="000000"/>
                <w:sz w:val="20"/>
                <w:lang w:val="sv-SE"/>
              </w:rPr>
              <w:t>2021</w:t>
            </w:r>
          </w:p>
        </w:tc>
        <w:tc>
          <w:tcPr>
            <w:tcW w:w="0" w:type="auto"/>
          </w:tcPr>
          <w:p w14:paraId="2D066145" w14:textId="77777777" w:rsidR="00A77B3E" w:rsidRPr="00800D1B" w:rsidRDefault="00623E14" w:rsidP="00B76590">
            <w:pPr>
              <w:spacing w:before="100" w:after="100"/>
              <w:ind w:left="-72"/>
              <w:jc w:val="right"/>
              <w:rPr>
                <w:color w:val="000000"/>
                <w:sz w:val="20"/>
                <w:lang w:val="sv-SE"/>
              </w:rPr>
            </w:pPr>
            <w:r w:rsidRPr="00800D1B">
              <w:rPr>
                <w:color w:val="000000"/>
                <w:sz w:val="20"/>
                <w:lang w:val="sv-SE"/>
              </w:rPr>
              <w:t>1,00</w:t>
            </w:r>
          </w:p>
        </w:tc>
        <w:tc>
          <w:tcPr>
            <w:tcW w:w="0" w:type="auto"/>
          </w:tcPr>
          <w:p w14:paraId="2D066146" w14:textId="77777777" w:rsidR="00A77B3E" w:rsidRPr="00800D1B" w:rsidRDefault="00623E14" w:rsidP="00B76590">
            <w:pPr>
              <w:spacing w:before="100" w:after="100"/>
              <w:ind w:left="-72"/>
              <w:rPr>
                <w:color w:val="000000"/>
                <w:sz w:val="20"/>
                <w:lang w:val="sv-SE"/>
              </w:rPr>
            </w:pPr>
            <w:r w:rsidRPr="00800D1B">
              <w:rPr>
                <w:color w:val="000000"/>
                <w:sz w:val="20"/>
                <w:lang w:val="sv-SE"/>
              </w:rPr>
              <w:t>Projekt</w:t>
            </w:r>
          </w:p>
        </w:tc>
        <w:tc>
          <w:tcPr>
            <w:tcW w:w="0" w:type="auto"/>
          </w:tcPr>
          <w:p w14:paraId="2D066147" w14:textId="77777777" w:rsidR="00A77B3E" w:rsidRPr="00800D1B" w:rsidRDefault="00A77B3E" w:rsidP="00B76590">
            <w:pPr>
              <w:spacing w:before="100" w:after="100"/>
              <w:ind w:left="-72"/>
              <w:rPr>
                <w:color w:val="000000"/>
                <w:sz w:val="20"/>
                <w:lang w:val="sv-SE"/>
              </w:rPr>
            </w:pPr>
          </w:p>
        </w:tc>
      </w:tr>
      <w:tr w:rsidR="003422DB" w:rsidRPr="00800D1B" w14:paraId="2D066155" w14:textId="77777777" w:rsidTr="00B76590">
        <w:tc>
          <w:tcPr>
            <w:tcW w:w="0" w:type="auto"/>
          </w:tcPr>
          <w:p w14:paraId="2D066149" w14:textId="77777777" w:rsidR="00A77B3E" w:rsidRPr="00800D1B" w:rsidRDefault="00623E14" w:rsidP="00B76590">
            <w:pPr>
              <w:spacing w:before="100" w:after="100"/>
              <w:ind w:left="-72"/>
              <w:rPr>
                <w:color w:val="000000"/>
                <w:sz w:val="20"/>
                <w:lang w:val="sv-SE"/>
              </w:rPr>
            </w:pPr>
            <w:r w:rsidRPr="00800D1B">
              <w:rPr>
                <w:color w:val="000000"/>
                <w:sz w:val="20"/>
                <w:lang w:val="sv-SE"/>
              </w:rPr>
              <w:t>4</w:t>
            </w:r>
          </w:p>
        </w:tc>
        <w:tc>
          <w:tcPr>
            <w:tcW w:w="0" w:type="auto"/>
          </w:tcPr>
          <w:p w14:paraId="2D06614A" w14:textId="77777777" w:rsidR="00A77B3E" w:rsidRPr="00800D1B" w:rsidRDefault="00623E14" w:rsidP="00B76590">
            <w:pPr>
              <w:spacing w:before="100" w:after="100"/>
              <w:ind w:left="-72"/>
              <w:rPr>
                <w:color w:val="000000"/>
                <w:sz w:val="20"/>
                <w:lang w:val="sv-SE"/>
              </w:rPr>
            </w:pPr>
            <w:r w:rsidRPr="00800D1B">
              <w:rPr>
                <w:color w:val="000000"/>
                <w:sz w:val="20"/>
                <w:lang w:val="sv-SE"/>
              </w:rPr>
              <w:t>RSO2.3</w:t>
            </w:r>
          </w:p>
        </w:tc>
        <w:tc>
          <w:tcPr>
            <w:tcW w:w="0" w:type="auto"/>
          </w:tcPr>
          <w:p w14:paraId="2D06614B" w14:textId="77777777" w:rsidR="00A77B3E" w:rsidRPr="00800D1B" w:rsidRDefault="00623E14" w:rsidP="00B76590">
            <w:pPr>
              <w:spacing w:before="100" w:after="100"/>
              <w:ind w:left="-72"/>
              <w:rPr>
                <w:color w:val="000000"/>
                <w:sz w:val="20"/>
                <w:lang w:val="sv-SE"/>
              </w:rPr>
            </w:pPr>
            <w:r w:rsidRPr="00800D1B">
              <w:rPr>
                <w:color w:val="000000"/>
                <w:sz w:val="20"/>
                <w:lang w:val="sv-SE"/>
              </w:rPr>
              <w:t>Eruf</w:t>
            </w:r>
          </w:p>
        </w:tc>
        <w:tc>
          <w:tcPr>
            <w:tcW w:w="0" w:type="auto"/>
          </w:tcPr>
          <w:p w14:paraId="2D06614C" w14:textId="77777777" w:rsidR="00A77B3E" w:rsidRPr="00800D1B" w:rsidRDefault="00623E14" w:rsidP="00B76590">
            <w:pPr>
              <w:spacing w:before="100" w:after="100"/>
              <w:ind w:left="-72"/>
              <w:rPr>
                <w:color w:val="000000"/>
                <w:sz w:val="20"/>
                <w:lang w:val="sv-SE"/>
              </w:rPr>
            </w:pPr>
            <w:r w:rsidRPr="00800D1B">
              <w:rPr>
                <w:color w:val="000000"/>
                <w:sz w:val="20"/>
                <w:lang w:val="sv-SE"/>
              </w:rPr>
              <w:t>Mer utvecklade regioner</w:t>
            </w:r>
          </w:p>
        </w:tc>
        <w:tc>
          <w:tcPr>
            <w:tcW w:w="0" w:type="auto"/>
          </w:tcPr>
          <w:p w14:paraId="2D06614D" w14:textId="77777777" w:rsidR="00A77B3E" w:rsidRPr="00800D1B" w:rsidRDefault="00623E14" w:rsidP="00B76590">
            <w:pPr>
              <w:spacing w:before="100" w:after="100"/>
              <w:ind w:left="-72"/>
              <w:rPr>
                <w:color w:val="000000"/>
                <w:sz w:val="20"/>
                <w:lang w:val="sv-SE"/>
              </w:rPr>
            </w:pPr>
            <w:r w:rsidRPr="00800D1B">
              <w:rPr>
                <w:color w:val="000000"/>
                <w:sz w:val="20"/>
                <w:lang w:val="sv-SE"/>
              </w:rPr>
              <w:t>RCR04</w:t>
            </w:r>
          </w:p>
        </w:tc>
        <w:tc>
          <w:tcPr>
            <w:tcW w:w="0" w:type="auto"/>
          </w:tcPr>
          <w:p w14:paraId="2D06614E" w14:textId="77777777" w:rsidR="00A77B3E" w:rsidRPr="00800D1B" w:rsidRDefault="00623E14" w:rsidP="00B76590">
            <w:pPr>
              <w:spacing w:before="100" w:after="100"/>
              <w:ind w:left="-72"/>
              <w:rPr>
                <w:color w:val="000000"/>
                <w:sz w:val="20"/>
                <w:lang w:val="sv-SE"/>
              </w:rPr>
            </w:pPr>
            <w:r w:rsidRPr="00800D1B">
              <w:rPr>
                <w:color w:val="000000"/>
                <w:sz w:val="20"/>
                <w:lang w:val="sv-SE"/>
              </w:rPr>
              <w:t>Små och medelstora företag som inför marknadsförings- eller organisationsinnovationer</w:t>
            </w:r>
          </w:p>
        </w:tc>
        <w:tc>
          <w:tcPr>
            <w:tcW w:w="0" w:type="auto"/>
          </w:tcPr>
          <w:p w14:paraId="2D06614F" w14:textId="77777777" w:rsidR="00A77B3E" w:rsidRPr="00800D1B" w:rsidRDefault="00623E14" w:rsidP="00B76590">
            <w:pPr>
              <w:spacing w:before="100" w:after="100"/>
              <w:ind w:left="-72"/>
              <w:rPr>
                <w:color w:val="000000"/>
                <w:sz w:val="20"/>
                <w:lang w:val="sv-SE"/>
              </w:rPr>
            </w:pPr>
            <w:r w:rsidRPr="00800D1B">
              <w:rPr>
                <w:color w:val="000000"/>
                <w:sz w:val="20"/>
                <w:lang w:val="sv-SE"/>
              </w:rPr>
              <w:t>företag</w:t>
            </w:r>
          </w:p>
        </w:tc>
        <w:tc>
          <w:tcPr>
            <w:tcW w:w="0" w:type="auto"/>
          </w:tcPr>
          <w:p w14:paraId="2D066150" w14:textId="77777777" w:rsidR="00A77B3E" w:rsidRPr="00800D1B" w:rsidRDefault="00623E14" w:rsidP="00B76590">
            <w:pPr>
              <w:spacing w:before="100" w:after="100"/>
              <w:ind w:left="-72"/>
              <w:jc w:val="right"/>
              <w:rPr>
                <w:color w:val="000000"/>
                <w:sz w:val="20"/>
                <w:lang w:val="sv-SE"/>
              </w:rPr>
            </w:pPr>
            <w:r w:rsidRPr="00800D1B">
              <w:rPr>
                <w:color w:val="000000"/>
                <w:sz w:val="20"/>
                <w:lang w:val="sv-SE"/>
              </w:rPr>
              <w:t>0,00</w:t>
            </w:r>
          </w:p>
        </w:tc>
        <w:tc>
          <w:tcPr>
            <w:tcW w:w="0" w:type="auto"/>
          </w:tcPr>
          <w:p w14:paraId="2D066151" w14:textId="77777777" w:rsidR="00A77B3E" w:rsidRPr="00800D1B" w:rsidRDefault="00623E14" w:rsidP="00B76590">
            <w:pPr>
              <w:spacing w:before="100" w:after="100"/>
              <w:ind w:left="-72"/>
              <w:jc w:val="center"/>
              <w:rPr>
                <w:color w:val="000000"/>
                <w:sz w:val="20"/>
                <w:lang w:val="sv-SE"/>
              </w:rPr>
            </w:pPr>
            <w:r w:rsidRPr="00800D1B">
              <w:rPr>
                <w:color w:val="000000"/>
                <w:sz w:val="20"/>
                <w:lang w:val="sv-SE"/>
              </w:rPr>
              <w:t>2021</w:t>
            </w:r>
          </w:p>
        </w:tc>
        <w:tc>
          <w:tcPr>
            <w:tcW w:w="0" w:type="auto"/>
          </w:tcPr>
          <w:p w14:paraId="2D066152" w14:textId="77777777" w:rsidR="00A77B3E" w:rsidRPr="00800D1B" w:rsidRDefault="00623E14" w:rsidP="00B76590">
            <w:pPr>
              <w:spacing w:before="100" w:after="100"/>
              <w:ind w:left="-72"/>
              <w:jc w:val="right"/>
              <w:rPr>
                <w:color w:val="000000"/>
                <w:sz w:val="20"/>
                <w:lang w:val="sv-SE"/>
              </w:rPr>
            </w:pPr>
            <w:r w:rsidRPr="00800D1B">
              <w:rPr>
                <w:color w:val="000000"/>
                <w:sz w:val="20"/>
                <w:lang w:val="sv-SE"/>
              </w:rPr>
              <w:t>1,00</w:t>
            </w:r>
          </w:p>
        </w:tc>
        <w:tc>
          <w:tcPr>
            <w:tcW w:w="0" w:type="auto"/>
          </w:tcPr>
          <w:p w14:paraId="2D066153" w14:textId="77777777" w:rsidR="00A77B3E" w:rsidRPr="00800D1B" w:rsidRDefault="00623E14" w:rsidP="00B76590">
            <w:pPr>
              <w:spacing w:before="100" w:after="100"/>
              <w:ind w:left="-72"/>
              <w:rPr>
                <w:color w:val="000000"/>
                <w:sz w:val="20"/>
                <w:lang w:val="sv-SE"/>
              </w:rPr>
            </w:pPr>
            <w:r w:rsidRPr="00800D1B">
              <w:rPr>
                <w:color w:val="000000"/>
                <w:sz w:val="20"/>
                <w:lang w:val="sv-SE"/>
              </w:rPr>
              <w:t>Projekt</w:t>
            </w:r>
          </w:p>
        </w:tc>
        <w:tc>
          <w:tcPr>
            <w:tcW w:w="0" w:type="auto"/>
          </w:tcPr>
          <w:p w14:paraId="2D066154" w14:textId="77777777" w:rsidR="00A77B3E" w:rsidRPr="00800D1B" w:rsidRDefault="00A77B3E" w:rsidP="00B76590">
            <w:pPr>
              <w:spacing w:before="100" w:after="100"/>
              <w:ind w:left="-72"/>
              <w:rPr>
                <w:color w:val="000000"/>
                <w:sz w:val="20"/>
                <w:lang w:val="sv-SE"/>
              </w:rPr>
            </w:pPr>
          </w:p>
        </w:tc>
      </w:tr>
      <w:tr w:rsidR="003422DB" w:rsidRPr="00800D1B" w14:paraId="2D066162" w14:textId="77777777" w:rsidTr="00B76590">
        <w:tc>
          <w:tcPr>
            <w:tcW w:w="0" w:type="auto"/>
          </w:tcPr>
          <w:p w14:paraId="2D066156" w14:textId="77777777" w:rsidR="00A77B3E" w:rsidRPr="00800D1B" w:rsidRDefault="00623E14" w:rsidP="00B76590">
            <w:pPr>
              <w:spacing w:before="100" w:after="100"/>
              <w:ind w:left="-72"/>
              <w:rPr>
                <w:color w:val="000000"/>
                <w:sz w:val="20"/>
                <w:lang w:val="sv-SE"/>
              </w:rPr>
            </w:pPr>
            <w:r w:rsidRPr="00800D1B">
              <w:rPr>
                <w:color w:val="000000"/>
                <w:sz w:val="20"/>
                <w:lang w:val="sv-SE"/>
              </w:rPr>
              <w:t>4</w:t>
            </w:r>
          </w:p>
        </w:tc>
        <w:tc>
          <w:tcPr>
            <w:tcW w:w="0" w:type="auto"/>
          </w:tcPr>
          <w:p w14:paraId="2D066157" w14:textId="77777777" w:rsidR="00A77B3E" w:rsidRPr="00800D1B" w:rsidRDefault="00623E14" w:rsidP="00B76590">
            <w:pPr>
              <w:spacing w:before="100" w:after="100"/>
              <w:ind w:left="-72"/>
              <w:rPr>
                <w:color w:val="000000"/>
                <w:sz w:val="20"/>
                <w:lang w:val="sv-SE"/>
              </w:rPr>
            </w:pPr>
            <w:r w:rsidRPr="00800D1B">
              <w:rPr>
                <w:color w:val="000000"/>
                <w:sz w:val="20"/>
                <w:lang w:val="sv-SE"/>
              </w:rPr>
              <w:t>RSO2.3</w:t>
            </w:r>
          </w:p>
        </w:tc>
        <w:tc>
          <w:tcPr>
            <w:tcW w:w="0" w:type="auto"/>
          </w:tcPr>
          <w:p w14:paraId="2D066158" w14:textId="77777777" w:rsidR="00A77B3E" w:rsidRPr="00800D1B" w:rsidRDefault="00623E14" w:rsidP="00B76590">
            <w:pPr>
              <w:spacing w:before="100" w:after="100"/>
              <w:ind w:left="-72"/>
              <w:rPr>
                <w:color w:val="000000"/>
                <w:sz w:val="20"/>
                <w:lang w:val="sv-SE"/>
              </w:rPr>
            </w:pPr>
            <w:r w:rsidRPr="00800D1B">
              <w:rPr>
                <w:color w:val="000000"/>
                <w:sz w:val="20"/>
                <w:lang w:val="sv-SE"/>
              </w:rPr>
              <w:t>Eruf</w:t>
            </w:r>
          </w:p>
        </w:tc>
        <w:tc>
          <w:tcPr>
            <w:tcW w:w="0" w:type="auto"/>
          </w:tcPr>
          <w:p w14:paraId="2D066159" w14:textId="77777777" w:rsidR="00A77B3E" w:rsidRPr="00800D1B" w:rsidRDefault="00623E14" w:rsidP="00B76590">
            <w:pPr>
              <w:spacing w:before="100" w:after="100"/>
              <w:ind w:left="-72"/>
              <w:rPr>
                <w:color w:val="000000"/>
                <w:sz w:val="20"/>
                <w:lang w:val="sv-SE"/>
              </w:rPr>
            </w:pPr>
            <w:r w:rsidRPr="00800D1B">
              <w:rPr>
                <w:color w:val="000000"/>
                <w:sz w:val="20"/>
                <w:lang w:val="sv-SE"/>
              </w:rPr>
              <w:t>Mer utvecklade regioner</w:t>
            </w:r>
          </w:p>
        </w:tc>
        <w:tc>
          <w:tcPr>
            <w:tcW w:w="0" w:type="auto"/>
          </w:tcPr>
          <w:p w14:paraId="2D06615A" w14:textId="77777777" w:rsidR="00A77B3E" w:rsidRPr="00800D1B" w:rsidRDefault="00623E14" w:rsidP="00B76590">
            <w:pPr>
              <w:spacing w:before="100" w:after="100"/>
              <w:ind w:left="-72"/>
              <w:rPr>
                <w:color w:val="000000"/>
                <w:sz w:val="20"/>
                <w:lang w:val="sv-SE"/>
              </w:rPr>
            </w:pPr>
            <w:r w:rsidRPr="00800D1B">
              <w:rPr>
                <w:color w:val="000000"/>
                <w:sz w:val="20"/>
                <w:lang w:val="sv-SE"/>
              </w:rPr>
              <w:t>RCR05</w:t>
            </w:r>
          </w:p>
        </w:tc>
        <w:tc>
          <w:tcPr>
            <w:tcW w:w="0" w:type="auto"/>
          </w:tcPr>
          <w:p w14:paraId="2D06615B" w14:textId="77777777" w:rsidR="00A77B3E" w:rsidRPr="00800D1B" w:rsidRDefault="00623E14" w:rsidP="00B76590">
            <w:pPr>
              <w:spacing w:before="100" w:after="100"/>
              <w:ind w:left="-72"/>
              <w:rPr>
                <w:color w:val="000000"/>
                <w:sz w:val="20"/>
                <w:lang w:val="sv-SE"/>
              </w:rPr>
            </w:pPr>
            <w:r w:rsidRPr="00800D1B">
              <w:rPr>
                <w:color w:val="000000"/>
                <w:sz w:val="20"/>
                <w:lang w:val="sv-SE"/>
              </w:rPr>
              <w:t>Små och medelstora företag som gör innovationer inom företaget</w:t>
            </w:r>
          </w:p>
        </w:tc>
        <w:tc>
          <w:tcPr>
            <w:tcW w:w="0" w:type="auto"/>
          </w:tcPr>
          <w:p w14:paraId="2D06615C" w14:textId="77777777" w:rsidR="00A77B3E" w:rsidRPr="00800D1B" w:rsidRDefault="00623E14" w:rsidP="00B76590">
            <w:pPr>
              <w:spacing w:before="100" w:after="100"/>
              <w:ind w:left="-72"/>
              <w:rPr>
                <w:color w:val="000000"/>
                <w:sz w:val="20"/>
                <w:lang w:val="sv-SE"/>
              </w:rPr>
            </w:pPr>
            <w:r w:rsidRPr="00800D1B">
              <w:rPr>
                <w:color w:val="000000"/>
                <w:sz w:val="20"/>
                <w:lang w:val="sv-SE"/>
              </w:rPr>
              <w:t>företag</w:t>
            </w:r>
          </w:p>
        </w:tc>
        <w:tc>
          <w:tcPr>
            <w:tcW w:w="0" w:type="auto"/>
          </w:tcPr>
          <w:p w14:paraId="2D06615D" w14:textId="77777777" w:rsidR="00A77B3E" w:rsidRPr="00800D1B" w:rsidRDefault="00623E14" w:rsidP="00B76590">
            <w:pPr>
              <w:spacing w:before="100" w:after="100"/>
              <w:ind w:left="-72"/>
              <w:jc w:val="right"/>
              <w:rPr>
                <w:color w:val="000000"/>
                <w:sz w:val="20"/>
                <w:lang w:val="sv-SE"/>
              </w:rPr>
            </w:pPr>
            <w:r w:rsidRPr="00800D1B">
              <w:rPr>
                <w:color w:val="000000"/>
                <w:sz w:val="20"/>
                <w:lang w:val="sv-SE"/>
              </w:rPr>
              <w:t>0,00</w:t>
            </w:r>
          </w:p>
        </w:tc>
        <w:tc>
          <w:tcPr>
            <w:tcW w:w="0" w:type="auto"/>
          </w:tcPr>
          <w:p w14:paraId="2D06615E" w14:textId="77777777" w:rsidR="00A77B3E" w:rsidRPr="00800D1B" w:rsidRDefault="00623E14" w:rsidP="00B76590">
            <w:pPr>
              <w:spacing w:before="100" w:after="100"/>
              <w:ind w:left="-72"/>
              <w:jc w:val="center"/>
              <w:rPr>
                <w:color w:val="000000"/>
                <w:sz w:val="20"/>
                <w:lang w:val="sv-SE"/>
              </w:rPr>
            </w:pPr>
            <w:r w:rsidRPr="00800D1B">
              <w:rPr>
                <w:color w:val="000000"/>
                <w:sz w:val="20"/>
                <w:lang w:val="sv-SE"/>
              </w:rPr>
              <w:t>2021</w:t>
            </w:r>
          </w:p>
        </w:tc>
        <w:tc>
          <w:tcPr>
            <w:tcW w:w="0" w:type="auto"/>
          </w:tcPr>
          <w:p w14:paraId="2D06615F" w14:textId="77777777" w:rsidR="00A77B3E" w:rsidRPr="00800D1B" w:rsidRDefault="00623E14" w:rsidP="00B76590">
            <w:pPr>
              <w:spacing w:before="100" w:after="100"/>
              <w:ind w:left="-72"/>
              <w:jc w:val="right"/>
              <w:rPr>
                <w:color w:val="000000"/>
                <w:sz w:val="20"/>
                <w:lang w:val="sv-SE"/>
              </w:rPr>
            </w:pPr>
            <w:r w:rsidRPr="00800D1B">
              <w:rPr>
                <w:color w:val="000000"/>
                <w:sz w:val="20"/>
                <w:lang w:val="sv-SE"/>
              </w:rPr>
              <w:t>1,00</w:t>
            </w:r>
          </w:p>
        </w:tc>
        <w:tc>
          <w:tcPr>
            <w:tcW w:w="0" w:type="auto"/>
          </w:tcPr>
          <w:p w14:paraId="2D066160" w14:textId="77777777" w:rsidR="00A77B3E" w:rsidRPr="00800D1B" w:rsidRDefault="00623E14" w:rsidP="00B76590">
            <w:pPr>
              <w:spacing w:before="100" w:after="100"/>
              <w:ind w:left="-72"/>
              <w:rPr>
                <w:color w:val="000000"/>
                <w:sz w:val="20"/>
                <w:lang w:val="sv-SE"/>
              </w:rPr>
            </w:pPr>
            <w:r w:rsidRPr="00800D1B">
              <w:rPr>
                <w:color w:val="000000"/>
                <w:sz w:val="20"/>
                <w:lang w:val="sv-SE"/>
              </w:rPr>
              <w:t>Projekt</w:t>
            </w:r>
          </w:p>
        </w:tc>
        <w:tc>
          <w:tcPr>
            <w:tcW w:w="0" w:type="auto"/>
          </w:tcPr>
          <w:p w14:paraId="2D066161" w14:textId="77777777" w:rsidR="00A77B3E" w:rsidRPr="00800D1B" w:rsidRDefault="00A77B3E" w:rsidP="00B76590">
            <w:pPr>
              <w:spacing w:before="100" w:after="100"/>
              <w:ind w:left="-72"/>
              <w:rPr>
                <w:color w:val="000000"/>
                <w:sz w:val="20"/>
                <w:lang w:val="sv-SE"/>
              </w:rPr>
            </w:pPr>
          </w:p>
        </w:tc>
      </w:tr>
      <w:tr w:rsidR="003422DB" w:rsidRPr="00800D1B" w14:paraId="2D06616F" w14:textId="77777777" w:rsidTr="00B76590">
        <w:tc>
          <w:tcPr>
            <w:tcW w:w="0" w:type="auto"/>
          </w:tcPr>
          <w:p w14:paraId="2D066163" w14:textId="77777777" w:rsidR="00A77B3E" w:rsidRPr="00800D1B" w:rsidRDefault="00623E14" w:rsidP="00B76590">
            <w:pPr>
              <w:spacing w:before="100" w:after="100"/>
              <w:ind w:left="-72"/>
              <w:rPr>
                <w:color w:val="000000"/>
                <w:sz w:val="20"/>
                <w:lang w:val="sv-SE"/>
              </w:rPr>
            </w:pPr>
            <w:r w:rsidRPr="00800D1B">
              <w:rPr>
                <w:color w:val="000000"/>
                <w:sz w:val="20"/>
                <w:lang w:val="sv-SE"/>
              </w:rPr>
              <w:t>4</w:t>
            </w:r>
          </w:p>
        </w:tc>
        <w:tc>
          <w:tcPr>
            <w:tcW w:w="0" w:type="auto"/>
          </w:tcPr>
          <w:p w14:paraId="2D066164" w14:textId="77777777" w:rsidR="00A77B3E" w:rsidRPr="00800D1B" w:rsidRDefault="00623E14" w:rsidP="00B76590">
            <w:pPr>
              <w:spacing w:before="100" w:after="100"/>
              <w:ind w:left="-72"/>
              <w:rPr>
                <w:color w:val="000000"/>
                <w:sz w:val="20"/>
                <w:lang w:val="sv-SE"/>
              </w:rPr>
            </w:pPr>
            <w:r w:rsidRPr="00800D1B">
              <w:rPr>
                <w:color w:val="000000"/>
                <w:sz w:val="20"/>
                <w:lang w:val="sv-SE"/>
              </w:rPr>
              <w:t>RSO2.3</w:t>
            </w:r>
          </w:p>
        </w:tc>
        <w:tc>
          <w:tcPr>
            <w:tcW w:w="0" w:type="auto"/>
          </w:tcPr>
          <w:p w14:paraId="2D066165" w14:textId="77777777" w:rsidR="00A77B3E" w:rsidRPr="00800D1B" w:rsidRDefault="00623E14" w:rsidP="00B76590">
            <w:pPr>
              <w:spacing w:before="100" w:after="100"/>
              <w:ind w:left="-72"/>
              <w:rPr>
                <w:color w:val="000000"/>
                <w:sz w:val="20"/>
                <w:lang w:val="sv-SE"/>
              </w:rPr>
            </w:pPr>
            <w:r w:rsidRPr="00800D1B">
              <w:rPr>
                <w:color w:val="000000"/>
                <w:sz w:val="20"/>
                <w:lang w:val="sv-SE"/>
              </w:rPr>
              <w:t>Eruf</w:t>
            </w:r>
          </w:p>
        </w:tc>
        <w:tc>
          <w:tcPr>
            <w:tcW w:w="0" w:type="auto"/>
          </w:tcPr>
          <w:p w14:paraId="2D066166" w14:textId="77777777" w:rsidR="00A77B3E" w:rsidRPr="00800D1B" w:rsidRDefault="00623E14" w:rsidP="00B76590">
            <w:pPr>
              <w:spacing w:before="100" w:after="100"/>
              <w:ind w:left="-72"/>
              <w:rPr>
                <w:color w:val="000000"/>
                <w:sz w:val="20"/>
                <w:lang w:val="sv-SE"/>
              </w:rPr>
            </w:pPr>
            <w:r w:rsidRPr="00800D1B">
              <w:rPr>
                <w:color w:val="000000"/>
                <w:sz w:val="20"/>
                <w:lang w:val="sv-SE"/>
              </w:rPr>
              <w:t>Mer utvecklade regioner</w:t>
            </w:r>
          </w:p>
        </w:tc>
        <w:tc>
          <w:tcPr>
            <w:tcW w:w="0" w:type="auto"/>
          </w:tcPr>
          <w:p w14:paraId="2D066167" w14:textId="77777777" w:rsidR="00A77B3E" w:rsidRPr="00800D1B" w:rsidRDefault="00623E14" w:rsidP="00B76590">
            <w:pPr>
              <w:spacing w:before="100" w:after="100"/>
              <w:ind w:left="-72"/>
              <w:rPr>
                <w:color w:val="000000"/>
                <w:sz w:val="20"/>
                <w:lang w:val="sv-SE"/>
              </w:rPr>
            </w:pPr>
            <w:r w:rsidRPr="00800D1B">
              <w:rPr>
                <w:color w:val="000000"/>
                <w:sz w:val="20"/>
                <w:lang w:val="sv-SE"/>
              </w:rPr>
              <w:t>RCR33</w:t>
            </w:r>
          </w:p>
        </w:tc>
        <w:tc>
          <w:tcPr>
            <w:tcW w:w="0" w:type="auto"/>
          </w:tcPr>
          <w:p w14:paraId="2D066168" w14:textId="77777777" w:rsidR="00A77B3E" w:rsidRPr="00800D1B" w:rsidRDefault="00623E14" w:rsidP="00B76590">
            <w:pPr>
              <w:spacing w:before="100" w:after="100"/>
              <w:ind w:left="-72"/>
              <w:rPr>
                <w:color w:val="000000"/>
                <w:sz w:val="20"/>
                <w:lang w:val="sv-SE"/>
              </w:rPr>
            </w:pPr>
            <w:r w:rsidRPr="00800D1B">
              <w:rPr>
                <w:color w:val="000000"/>
                <w:sz w:val="20"/>
                <w:lang w:val="sv-SE"/>
              </w:rPr>
              <w:t>Användare som anslutits till smarta energisystem</w:t>
            </w:r>
          </w:p>
        </w:tc>
        <w:tc>
          <w:tcPr>
            <w:tcW w:w="0" w:type="auto"/>
          </w:tcPr>
          <w:p w14:paraId="2D066169" w14:textId="77777777" w:rsidR="00A77B3E" w:rsidRPr="00800D1B" w:rsidRDefault="00623E14" w:rsidP="00B76590">
            <w:pPr>
              <w:spacing w:before="100" w:after="100"/>
              <w:ind w:left="-72"/>
              <w:rPr>
                <w:color w:val="000000"/>
                <w:sz w:val="20"/>
                <w:lang w:val="sv-SE"/>
              </w:rPr>
            </w:pPr>
            <w:r w:rsidRPr="00800D1B">
              <w:rPr>
                <w:color w:val="000000"/>
                <w:sz w:val="20"/>
                <w:lang w:val="sv-SE"/>
              </w:rPr>
              <w:t>slutanvändare/år</w:t>
            </w:r>
          </w:p>
        </w:tc>
        <w:tc>
          <w:tcPr>
            <w:tcW w:w="0" w:type="auto"/>
          </w:tcPr>
          <w:p w14:paraId="2D06616A" w14:textId="77777777" w:rsidR="00A77B3E" w:rsidRPr="00800D1B" w:rsidRDefault="00623E14" w:rsidP="00B76590">
            <w:pPr>
              <w:spacing w:before="100" w:after="100"/>
              <w:ind w:left="-72"/>
              <w:jc w:val="right"/>
              <w:rPr>
                <w:color w:val="000000"/>
                <w:sz w:val="20"/>
                <w:lang w:val="sv-SE"/>
              </w:rPr>
            </w:pPr>
            <w:r w:rsidRPr="00800D1B">
              <w:rPr>
                <w:color w:val="000000"/>
                <w:sz w:val="20"/>
                <w:lang w:val="sv-SE"/>
              </w:rPr>
              <w:t>0,00</w:t>
            </w:r>
          </w:p>
        </w:tc>
        <w:tc>
          <w:tcPr>
            <w:tcW w:w="0" w:type="auto"/>
          </w:tcPr>
          <w:p w14:paraId="2D06616B" w14:textId="77777777" w:rsidR="00A77B3E" w:rsidRPr="00800D1B" w:rsidRDefault="00623E14" w:rsidP="00B76590">
            <w:pPr>
              <w:spacing w:before="100" w:after="100"/>
              <w:ind w:left="-72"/>
              <w:jc w:val="center"/>
              <w:rPr>
                <w:color w:val="000000"/>
                <w:sz w:val="20"/>
                <w:lang w:val="sv-SE"/>
              </w:rPr>
            </w:pPr>
            <w:r w:rsidRPr="00800D1B">
              <w:rPr>
                <w:color w:val="000000"/>
                <w:sz w:val="20"/>
                <w:lang w:val="sv-SE"/>
              </w:rPr>
              <w:t>2021</w:t>
            </w:r>
          </w:p>
        </w:tc>
        <w:tc>
          <w:tcPr>
            <w:tcW w:w="0" w:type="auto"/>
          </w:tcPr>
          <w:p w14:paraId="2D06616C" w14:textId="77777777" w:rsidR="00A77B3E" w:rsidRPr="00800D1B" w:rsidRDefault="00623E14" w:rsidP="00B76590">
            <w:pPr>
              <w:spacing w:before="100" w:after="100"/>
              <w:ind w:left="-72"/>
              <w:jc w:val="right"/>
              <w:rPr>
                <w:color w:val="000000"/>
                <w:sz w:val="20"/>
                <w:lang w:val="sv-SE"/>
              </w:rPr>
            </w:pPr>
            <w:r w:rsidRPr="00800D1B">
              <w:rPr>
                <w:color w:val="000000"/>
                <w:sz w:val="20"/>
                <w:lang w:val="sv-SE"/>
              </w:rPr>
              <w:t>100 673,30</w:t>
            </w:r>
          </w:p>
        </w:tc>
        <w:tc>
          <w:tcPr>
            <w:tcW w:w="0" w:type="auto"/>
          </w:tcPr>
          <w:p w14:paraId="2D06616D" w14:textId="77777777" w:rsidR="00A77B3E" w:rsidRPr="00800D1B" w:rsidRDefault="00623E14" w:rsidP="00B76590">
            <w:pPr>
              <w:spacing w:before="100" w:after="100"/>
              <w:ind w:left="-72"/>
              <w:rPr>
                <w:color w:val="000000"/>
                <w:sz w:val="20"/>
                <w:lang w:val="sv-SE"/>
              </w:rPr>
            </w:pPr>
            <w:r w:rsidRPr="00800D1B">
              <w:rPr>
                <w:color w:val="000000"/>
                <w:sz w:val="20"/>
                <w:lang w:val="sv-SE"/>
              </w:rPr>
              <w:t>Projekt</w:t>
            </w:r>
          </w:p>
        </w:tc>
        <w:tc>
          <w:tcPr>
            <w:tcW w:w="0" w:type="auto"/>
          </w:tcPr>
          <w:p w14:paraId="2D06616E" w14:textId="77777777" w:rsidR="00A77B3E" w:rsidRPr="00800D1B" w:rsidRDefault="00A77B3E" w:rsidP="00B76590">
            <w:pPr>
              <w:spacing w:before="100" w:after="100"/>
              <w:ind w:left="-72"/>
              <w:rPr>
                <w:color w:val="000000"/>
                <w:sz w:val="20"/>
                <w:lang w:val="sv-SE"/>
              </w:rPr>
            </w:pPr>
          </w:p>
        </w:tc>
      </w:tr>
      <w:tr w:rsidR="003422DB" w:rsidRPr="00800D1B" w14:paraId="2D06617C" w14:textId="77777777" w:rsidTr="00B76590">
        <w:tc>
          <w:tcPr>
            <w:tcW w:w="0" w:type="auto"/>
          </w:tcPr>
          <w:p w14:paraId="2D066170" w14:textId="77777777" w:rsidR="00A77B3E" w:rsidRPr="00800D1B" w:rsidRDefault="00623E14" w:rsidP="00B76590">
            <w:pPr>
              <w:spacing w:before="100" w:after="100"/>
              <w:ind w:left="-72"/>
              <w:rPr>
                <w:color w:val="000000"/>
                <w:sz w:val="20"/>
                <w:lang w:val="sv-SE"/>
              </w:rPr>
            </w:pPr>
            <w:r w:rsidRPr="00800D1B">
              <w:rPr>
                <w:color w:val="000000"/>
                <w:sz w:val="20"/>
                <w:lang w:val="sv-SE"/>
              </w:rPr>
              <w:t>4</w:t>
            </w:r>
          </w:p>
        </w:tc>
        <w:tc>
          <w:tcPr>
            <w:tcW w:w="0" w:type="auto"/>
          </w:tcPr>
          <w:p w14:paraId="2D066171" w14:textId="77777777" w:rsidR="00A77B3E" w:rsidRPr="00800D1B" w:rsidRDefault="00623E14" w:rsidP="00B76590">
            <w:pPr>
              <w:spacing w:before="100" w:after="100"/>
              <w:ind w:left="-72"/>
              <w:rPr>
                <w:color w:val="000000"/>
                <w:sz w:val="20"/>
                <w:lang w:val="sv-SE"/>
              </w:rPr>
            </w:pPr>
            <w:r w:rsidRPr="00800D1B">
              <w:rPr>
                <w:color w:val="000000"/>
                <w:sz w:val="20"/>
                <w:lang w:val="sv-SE"/>
              </w:rPr>
              <w:t>RSO2.3</w:t>
            </w:r>
          </w:p>
        </w:tc>
        <w:tc>
          <w:tcPr>
            <w:tcW w:w="0" w:type="auto"/>
          </w:tcPr>
          <w:p w14:paraId="2D066172" w14:textId="77777777" w:rsidR="00A77B3E" w:rsidRPr="00800D1B" w:rsidRDefault="00623E14" w:rsidP="00B76590">
            <w:pPr>
              <w:spacing w:before="100" w:after="100"/>
              <w:ind w:left="-72"/>
              <w:rPr>
                <w:color w:val="000000"/>
                <w:sz w:val="20"/>
                <w:lang w:val="sv-SE"/>
              </w:rPr>
            </w:pPr>
            <w:r w:rsidRPr="00800D1B">
              <w:rPr>
                <w:color w:val="000000"/>
                <w:sz w:val="20"/>
                <w:lang w:val="sv-SE"/>
              </w:rPr>
              <w:t>Eruf</w:t>
            </w:r>
          </w:p>
        </w:tc>
        <w:tc>
          <w:tcPr>
            <w:tcW w:w="0" w:type="auto"/>
          </w:tcPr>
          <w:p w14:paraId="2D066173" w14:textId="77777777" w:rsidR="00A77B3E" w:rsidRPr="00800D1B" w:rsidRDefault="00623E14" w:rsidP="00B76590">
            <w:pPr>
              <w:spacing w:before="100" w:after="100"/>
              <w:ind w:left="-72"/>
              <w:rPr>
                <w:color w:val="000000"/>
                <w:sz w:val="20"/>
                <w:lang w:val="sv-SE"/>
              </w:rPr>
            </w:pPr>
            <w:r w:rsidRPr="00800D1B">
              <w:rPr>
                <w:color w:val="000000"/>
                <w:sz w:val="20"/>
                <w:lang w:val="sv-SE"/>
              </w:rPr>
              <w:t>Mer utvecklade regioner</w:t>
            </w:r>
          </w:p>
        </w:tc>
        <w:tc>
          <w:tcPr>
            <w:tcW w:w="0" w:type="auto"/>
          </w:tcPr>
          <w:p w14:paraId="2D066174" w14:textId="77777777" w:rsidR="00A77B3E" w:rsidRPr="00800D1B" w:rsidRDefault="00623E14" w:rsidP="00B76590">
            <w:pPr>
              <w:spacing w:before="100" w:after="100"/>
              <w:ind w:left="-72"/>
              <w:rPr>
                <w:color w:val="000000"/>
                <w:sz w:val="20"/>
                <w:lang w:val="sv-SE"/>
              </w:rPr>
            </w:pPr>
            <w:r w:rsidRPr="00800D1B">
              <w:rPr>
                <w:color w:val="000000"/>
                <w:sz w:val="20"/>
                <w:lang w:val="sv-SE"/>
              </w:rPr>
              <w:t>RCR34</w:t>
            </w:r>
          </w:p>
        </w:tc>
        <w:tc>
          <w:tcPr>
            <w:tcW w:w="0" w:type="auto"/>
          </w:tcPr>
          <w:p w14:paraId="2D066175" w14:textId="77777777" w:rsidR="00A77B3E" w:rsidRPr="00800D1B" w:rsidRDefault="00623E14" w:rsidP="00B76590">
            <w:pPr>
              <w:spacing w:before="100" w:after="100"/>
              <w:ind w:left="-72"/>
              <w:rPr>
                <w:color w:val="000000"/>
                <w:sz w:val="20"/>
                <w:lang w:val="sv-SE"/>
              </w:rPr>
            </w:pPr>
            <w:r w:rsidRPr="00800D1B">
              <w:rPr>
                <w:color w:val="000000"/>
                <w:sz w:val="20"/>
                <w:lang w:val="sv-SE"/>
              </w:rPr>
              <w:t>Lansering av projekt för smarta energisystem</w:t>
            </w:r>
          </w:p>
        </w:tc>
        <w:tc>
          <w:tcPr>
            <w:tcW w:w="0" w:type="auto"/>
          </w:tcPr>
          <w:p w14:paraId="2D066176" w14:textId="77777777" w:rsidR="00A77B3E" w:rsidRPr="00800D1B" w:rsidRDefault="00623E14" w:rsidP="00B76590">
            <w:pPr>
              <w:spacing w:before="100" w:after="100"/>
              <w:ind w:left="-72"/>
              <w:rPr>
                <w:color w:val="000000"/>
                <w:sz w:val="20"/>
                <w:lang w:val="sv-SE"/>
              </w:rPr>
            </w:pPr>
            <w:r w:rsidRPr="00800D1B">
              <w:rPr>
                <w:color w:val="000000"/>
                <w:sz w:val="20"/>
                <w:lang w:val="sv-SE"/>
              </w:rPr>
              <w:t>projekt</w:t>
            </w:r>
          </w:p>
        </w:tc>
        <w:tc>
          <w:tcPr>
            <w:tcW w:w="0" w:type="auto"/>
          </w:tcPr>
          <w:p w14:paraId="2D066177" w14:textId="77777777" w:rsidR="00A77B3E" w:rsidRPr="00800D1B" w:rsidRDefault="00623E14" w:rsidP="00B76590">
            <w:pPr>
              <w:spacing w:before="100" w:after="100"/>
              <w:ind w:left="-72"/>
              <w:jc w:val="right"/>
              <w:rPr>
                <w:color w:val="000000"/>
                <w:sz w:val="20"/>
                <w:lang w:val="sv-SE"/>
              </w:rPr>
            </w:pPr>
            <w:r w:rsidRPr="00800D1B">
              <w:rPr>
                <w:color w:val="000000"/>
                <w:sz w:val="20"/>
                <w:lang w:val="sv-SE"/>
              </w:rPr>
              <w:t>0,00</w:t>
            </w:r>
          </w:p>
        </w:tc>
        <w:tc>
          <w:tcPr>
            <w:tcW w:w="0" w:type="auto"/>
          </w:tcPr>
          <w:p w14:paraId="2D066178" w14:textId="77777777" w:rsidR="00A77B3E" w:rsidRPr="00800D1B" w:rsidRDefault="00623E14" w:rsidP="00B76590">
            <w:pPr>
              <w:spacing w:before="100" w:after="100"/>
              <w:ind w:left="-72"/>
              <w:jc w:val="center"/>
              <w:rPr>
                <w:color w:val="000000"/>
                <w:sz w:val="20"/>
                <w:lang w:val="sv-SE"/>
              </w:rPr>
            </w:pPr>
            <w:r w:rsidRPr="00800D1B">
              <w:rPr>
                <w:color w:val="000000"/>
                <w:sz w:val="20"/>
                <w:lang w:val="sv-SE"/>
              </w:rPr>
              <w:t>2021</w:t>
            </w:r>
          </w:p>
        </w:tc>
        <w:tc>
          <w:tcPr>
            <w:tcW w:w="0" w:type="auto"/>
          </w:tcPr>
          <w:p w14:paraId="2D066179" w14:textId="77777777" w:rsidR="00A77B3E" w:rsidRPr="00800D1B" w:rsidRDefault="00623E14" w:rsidP="00B76590">
            <w:pPr>
              <w:spacing w:before="100" w:after="100"/>
              <w:ind w:left="-72"/>
              <w:jc w:val="right"/>
              <w:rPr>
                <w:color w:val="000000"/>
                <w:sz w:val="20"/>
                <w:lang w:val="sv-SE"/>
              </w:rPr>
            </w:pPr>
            <w:r w:rsidRPr="00800D1B">
              <w:rPr>
                <w:color w:val="000000"/>
                <w:sz w:val="20"/>
                <w:lang w:val="sv-SE"/>
              </w:rPr>
              <w:t>6,00</w:t>
            </w:r>
          </w:p>
        </w:tc>
        <w:tc>
          <w:tcPr>
            <w:tcW w:w="0" w:type="auto"/>
          </w:tcPr>
          <w:p w14:paraId="2D06617A" w14:textId="77777777" w:rsidR="00A77B3E" w:rsidRPr="00800D1B" w:rsidRDefault="00623E14" w:rsidP="00B76590">
            <w:pPr>
              <w:spacing w:before="100" w:after="100"/>
              <w:ind w:left="-72"/>
              <w:rPr>
                <w:color w:val="000000"/>
                <w:sz w:val="20"/>
                <w:lang w:val="sv-SE"/>
              </w:rPr>
            </w:pPr>
            <w:r w:rsidRPr="00800D1B">
              <w:rPr>
                <w:color w:val="000000"/>
                <w:sz w:val="20"/>
                <w:lang w:val="sv-SE"/>
              </w:rPr>
              <w:t>Projekt</w:t>
            </w:r>
          </w:p>
        </w:tc>
        <w:tc>
          <w:tcPr>
            <w:tcW w:w="0" w:type="auto"/>
          </w:tcPr>
          <w:p w14:paraId="2D06617B" w14:textId="77777777" w:rsidR="00A77B3E" w:rsidRPr="00800D1B" w:rsidRDefault="00A77B3E" w:rsidP="00B76590">
            <w:pPr>
              <w:spacing w:before="100" w:after="100"/>
              <w:ind w:left="-72"/>
              <w:rPr>
                <w:color w:val="000000"/>
                <w:sz w:val="20"/>
                <w:lang w:val="sv-SE"/>
              </w:rPr>
            </w:pPr>
          </w:p>
        </w:tc>
      </w:tr>
      <w:tr w:rsidR="003422DB" w:rsidRPr="00800D1B" w14:paraId="2D066189" w14:textId="77777777" w:rsidTr="00B76590">
        <w:tc>
          <w:tcPr>
            <w:tcW w:w="0" w:type="auto"/>
          </w:tcPr>
          <w:p w14:paraId="2D06617D" w14:textId="77777777" w:rsidR="00A77B3E" w:rsidRPr="00800D1B" w:rsidRDefault="00623E14" w:rsidP="00B76590">
            <w:pPr>
              <w:spacing w:before="100" w:after="100"/>
              <w:ind w:left="-72"/>
              <w:rPr>
                <w:color w:val="000000"/>
                <w:sz w:val="20"/>
                <w:lang w:val="sv-SE"/>
              </w:rPr>
            </w:pPr>
            <w:r w:rsidRPr="00800D1B">
              <w:rPr>
                <w:color w:val="000000"/>
                <w:sz w:val="20"/>
                <w:lang w:val="sv-SE"/>
              </w:rPr>
              <w:t>4</w:t>
            </w:r>
          </w:p>
        </w:tc>
        <w:tc>
          <w:tcPr>
            <w:tcW w:w="0" w:type="auto"/>
          </w:tcPr>
          <w:p w14:paraId="2D06617E" w14:textId="77777777" w:rsidR="00A77B3E" w:rsidRPr="00800D1B" w:rsidRDefault="00623E14" w:rsidP="00B76590">
            <w:pPr>
              <w:spacing w:before="100" w:after="100"/>
              <w:ind w:left="-72"/>
              <w:rPr>
                <w:color w:val="000000"/>
                <w:sz w:val="20"/>
                <w:lang w:val="sv-SE"/>
              </w:rPr>
            </w:pPr>
            <w:r w:rsidRPr="00800D1B">
              <w:rPr>
                <w:color w:val="000000"/>
                <w:sz w:val="20"/>
                <w:lang w:val="sv-SE"/>
              </w:rPr>
              <w:t>RSO2.3</w:t>
            </w:r>
          </w:p>
        </w:tc>
        <w:tc>
          <w:tcPr>
            <w:tcW w:w="0" w:type="auto"/>
          </w:tcPr>
          <w:p w14:paraId="2D06617F" w14:textId="77777777" w:rsidR="00A77B3E" w:rsidRPr="00800D1B" w:rsidRDefault="00623E14" w:rsidP="00B76590">
            <w:pPr>
              <w:spacing w:before="100" w:after="100"/>
              <w:ind w:left="-72"/>
              <w:rPr>
                <w:color w:val="000000"/>
                <w:sz w:val="20"/>
                <w:lang w:val="sv-SE"/>
              </w:rPr>
            </w:pPr>
            <w:r w:rsidRPr="00800D1B">
              <w:rPr>
                <w:color w:val="000000"/>
                <w:sz w:val="20"/>
                <w:lang w:val="sv-SE"/>
              </w:rPr>
              <w:t>Eruf</w:t>
            </w:r>
          </w:p>
        </w:tc>
        <w:tc>
          <w:tcPr>
            <w:tcW w:w="0" w:type="auto"/>
          </w:tcPr>
          <w:p w14:paraId="2D066180" w14:textId="77777777" w:rsidR="00A77B3E" w:rsidRPr="00800D1B" w:rsidRDefault="00623E14" w:rsidP="00B76590">
            <w:pPr>
              <w:spacing w:before="100" w:after="100"/>
              <w:ind w:left="-72"/>
              <w:rPr>
                <w:color w:val="000000"/>
                <w:sz w:val="20"/>
                <w:lang w:val="sv-SE"/>
              </w:rPr>
            </w:pPr>
            <w:r w:rsidRPr="00800D1B">
              <w:rPr>
                <w:color w:val="000000"/>
                <w:sz w:val="20"/>
                <w:lang w:val="sv-SE"/>
              </w:rPr>
              <w:t>Mer utvecklade regioner</w:t>
            </w:r>
          </w:p>
        </w:tc>
        <w:tc>
          <w:tcPr>
            <w:tcW w:w="0" w:type="auto"/>
          </w:tcPr>
          <w:p w14:paraId="2D066181" w14:textId="77777777" w:rsidR="00A77B3E" w:rsidRPr="00800D1B" w:rsidRDefault="00623E14" w:rsidP="00B76590">
            <w:pPr>
              <w:spacing w:before="100" w:after="100"/>
              <w:ind w:left="-72"/>
              <w:rPr>
                <w:color w:val="000000"/>
                <w:sz w:val="20"/>
                <w:lang w:val="sv-SE"/>
              </w:rPr>
            </w:pPr>
            <w:r w:rsidRPr="00800D1B">
              <w:rPr>
                <w:color w:val="000000"/>
                <w:sz w:val="20"/>
                <w:lang w:val="sv-SE"/>
              </w:rPr>
              <w:t>SWR05</w:t>
            </w:r>
          </w:p>
        </w:tc>
        <w:tc>
          <w:tcPr>
            <w:tcW w:w="0" w:type="auto"/>
          </w:tcPr>
          <w:p w14:paraId="2D066182" w14:textId="77777777" w:rsidR="00A77B3E" w:rsidRPr="00800D1B" w:rsidRDefault="00623E14" w:rsidP="00B76590">
            <w:pPr>
              <w:spacing w:before="100" w:after="100"/>
              <w:ind w:left="-72"/>
              <w:rPr>
                <w:color w:val="000000"/>
                <w:sz w:val="20"/>
                <w:lang w:val="sv-SE"/>
              </w:rPr>
            </w:pPr>
            <w:r w:rsidRPr="00800D1B">
              <w:rPr>
                <w:color w:val="000000"/>
                <w:sz w:val="20"/>
                <w:lang w:val="sv-SE"/>
              </w:rPr>
              <w:t>Användare av färdigställd miljö/infrastruktur</w:t>
            </w:r>
          </w:p>
        </w:tc>
        <w:tc>
          <w:tcPr>
            <w:tcW w:w="0" w:type="auto"/>
          </w:tcPr>
          <w:p w14:paraId="2D066183" w14:textId="77777777" w:rsidR="00A77B3E" w:rsidRPr="00800D1B" w:rsidRDefault="00623E14" w:rsidP="00B76590">
            <w:pPr>
              <w:spacing w:before="100" w:after="100"/>
              <w:ind w:left="-72"/>
              <w:rPr>
                <w:color w:val="000000"/>
                <w:sz w:val="20"/>
                <w:lang w:val="sv-SE"/>
              </w:rPr>
            </w:pPr>
            <w:r w:rsidRPr="00800D1B">
              <w:rPr>
                <w:color w:val="000000"/>
                <w:sz w:val="20"/>
                <w:lang w:val="sv-SE"/>
              </w:rPr>
              <w:t>Användare</w:t>
            </w:r>
          </w:p>
        </w:tc>
        <w:tc>
          <w:tcPr>
            <w:tcW w:w="0" w:type="auto"/>
          </w:tcPr>
          <w:p w14:paraId="2D066184" w14:textId="77777777" w:rsidR="00A77B3E" w:rsidRPr="00800D1B" w:rsidRDefault="00623E14" w:rsidP="00B76590">
            <w:pPr>
              <w:spacing w:before="100" w:after="100"/>
              <w:ind w:left="-72"/>
              <w:jc w:val="right"/>
              <w:rPr>
                <w:color w:val="000000"/>
                <w:sz w:val="20"/>
                <w:lang w:val="sv-SE"/>
              </w:rPr>
            </w:pPr>
            <w:r w:rsidRPr="00800D1B">
              <w:rPr>
                <w:color w:val="000000"/>
                <w:sz w:val="20"/>
                <w:lang w:val="sv-SE"/>
              </w:rPr>
              <w:t>0,00</w:t>
            </w:r>
          </w:p>
        </w:tc>
        <w:tc>
          <w:tcPr>
            <w:tcW w:w="0" w:type="auto"/>
          </w:tcPr>
          <w:p w14:paraId="2D066185" w14:textId="77777777" w:rsidR="00A77B3E" w:rsidRPr="00800D1B" w:rsidRDefault="00623E14" w:rsidP="00B76590">
            <w:pPr>
              <w:spacing w:before="100" w:after="100"/>
              <w:ind w:left="-72"/>
              <w:jc w:val="center"/>
              <w:rPr>
                <w:color w:val="000000"/>
                <w:sz w:val="20"/>
                <w:lang w:val="sv-SE"/>
              </w:rPr>
            </w:pPr>
            <w:r w:rsidRPr="00800D1B">
              <w:rPr>
                <w:color w:val="000000"/>
                <w:sz w:val="20"/>
                <w:lang w:val="sv-SE"/>
              </w:rPr>
              <w:t>2021</w:t>
            </w:r>
          </w:p>
        </w:tc>
        <w:tc>
          <w:tcPr>
            <w:tcW w:w="0" w:type="auto"/>
          </w:tcPr>
          <w:p w14:paraId="2D066186" w14:textId="77777777" w:rsidR="00A77B3E" w:rsidRPr="00800D1B" w:rsidRDefault="00623E14" w:rsidP="00B76590">
            <w:pPr>
              <w:spacing w:before="100" w:after="100"/>
              <w:ind w:left="-72"/>
              <w:jc w:val="right"/>
              <w:rPr>
                <w:color w:val="000000"/>
                <w:sz w:val="20"/>
                <w:lang w:val="sv-SE"/>
              </w:rPr>
            </w:pPr>
            <w:r w:rsidRPr="00800D1B">
              <w:rPr>
                <w:color w:val="000000"/>
                <w:sz w:val="20"/>
                <w:lang w:val="sv-SE"/>
              </w:rPr>
              <w:t>17,00</w:t>
            </w:r>
          </w:p>
        </w:tc>
        <w:tc>
          <w:tcPr>
            <w:tcW w:w="0" w:type="auto"/>
          </w:tcPr>
          <w:p w14:paraId="2D066187" w14:textId="77777777" w:rsidR="00A77B3E" w:rsidRPr="00800D1B" w:rsidRDefault="00623E14" w:rsidP="00B76590">
            <w:pPr>
              <w:spacing w:before="100" w:after="100"/>
              <w:ind w:left="-72"/>
              <w:rPr>
                <w:color w:val="000000"/>
                <w:sz w:val="20"/>
                <w:lang w:val="sv-SE"/>
              </w:rPr>
            </w:pPr>
            <w:r w:rsidRPr="00800D1B">
              <w:rPr>
                <w:color w:val="000000"/>
                <w:sz w:val="20"/>
                <w:lang w:val="sv-SE"/>
              </w:rPr>
              <w:t>Projekt</w:t>
            </w:r>
          </w:p>
        </w:tc>
        <w:tc>
          <w:tcPr>
            <w:tcW w:w="0" w:type="auto"/>
          </w:tcPr>
          <w:p w14:paraId="2D066188" w14:textId="77777777" w:rsidR="00A77B3E" w:rsidRPr="00800D1B" w:rsidRDefault="00A77B3E" w:rsidP="00B76590">
            <w:pPr>
              <w:spacing w:before="100" w:after="100"/>
              <w:ind w:left="-72"/>
              <w:rPr>
                <w:color w:val="000000"/>
                <w:sz w:val="20"/>
                <w:lang w:val="sv-SE"/>
              </w:rPr>
            </w:pPr>
          </w:p>
        </w:tc>
      </w:tr>
      <w:tr w:rsidR="003422DB" w:rsidRPr="00800D1B" w14:paraId="2D066196" w14:textId="77777777" w:rsidTr="00B76590">
        <w:tc>
          <w:tcPr>
            <w:tcW w:w="0" w:type="auto"/>
          </w:tcPr>
          <w:p w14:paraId="2D06618A" w14:textId="77777777" w:rsidR="00A77B3E" w:rsidRPr="00800D1B" w:rsidRDefault="00623E14" w:rsidP="00B76590">
            <w:pPr>
              <w:spacing w:before="100" w:after="100"/>
              <w:ind w:left="-72"/>
              <w:rPr>
                <w:color w:val="000000"/>
                <w:sz w:val="20"/>
                <w:lang w:val="sv-SE"/>
              </w:rPr>
            </w:pPr>
            <w:r w:rsidRPr="00800D1B">
              <w:rPr>
                <w:color w:val="000000"/>
                <w:sz w:val="20"/>
                <w:lang w:val="sv-SE"/>
              </w:rPr>
              <w:t>4</w:t>
            </w:r>
          </w:p>
        </w:tc>
        <w:tc>
          <w:tcPr>
            <w:tcW w:w="0" w:type="auto"/>
          </w:tcPr>
          <w:p w14:paraId="2D06618B" w14:textId="77777777" w:rsidR="00A77B3E" w:rsidRPr="00800D1B" w:rsidRDefault="00623E14" w:rsidP="00B76590">
            <w:pPr>
              <w:spacing w:before="100" w:after="100"/>
              <w:ind w:left="-72"/>
              <w:rPr>
                <w:color w:val="000000"/>
                <w:sz w:val="20"/>
                <w:lang w:val="sv-SE"/>
              </w:rPr>
            </w:pPr>
            <w:r w:rsidRPr="00800D1B">
              <w:rPr>
                <w:color w:val="000000"/>
                <w:sz w:val="20"/>
                <w:lang w:val="sv-SE"/>
              </w:rPr>
              <w:t>RSO2.3</w:t>
            </w:r>
          </w:p>
        </w:tc>
        <w:tc>
          <w:tcPr>
            <w:tcW w:w="0" w:type="auto"/>
          </w:tcPr>
          <w:p w14:paraId="2D06618C" w14:textId="77777777" w:rsidR="00A77B3E" w:rsidRPr="00800D1B" w:rsidRDefault="00623E14" w:rsidP="00B76590">
            <w:pPr>
              <w:spacing w:before="100" w:after="100"/>
              <w:ind w:left="-72"/>
              <w:rPr>
                <w:color w:val="000000"/>
                <w:sz w:val="20"/>
                <w:lang w:val="sv-SE"/>
              </w:rPr>
            </w:pPr>
            <w:r w:rsidRPr="00800D1B">
              <w:rPr>
                <w:color w:val="000000"/>
                <w:sz w:val="20"/>
                <w:lang w:val="sv-SE"/>
              </w:rPr>
              <w:t>Eruf</w:t>
            </w:r>
          </w:p>
        </w:tc>
        <w:tc>
          <w:tcPr>
            <w:tcW w:w="0" w:type="auto"/>
          </w:tcPr>
          <w:p w14:paraId="2D06618D" w14:textId="77777777" w:rsidR="00A77B3E" w:rsidRPr="00800D1B" w:rsidRDefault="00623E14" w:rsidP="00B76590">
            <w:pPr>
              <w:spacing w:before="100" w:after="100"/>
              <w:ind w:left="-72"/>
              <w:rPr>
                <w:color w:val="000000"/>
                <w:sz w:val="20"/>
                <w:lang w:val="sv-SE"/>
              </w:rPr>
            </w:pPr>
            <w:r w:rsidRPr="00800D1B">
              <w:rPr>
                <w:color w:val="000000"/>
                <w:sz w:val="20"/>
                <w:lang w:val="sv-SE"/>
              </w:rPr>
              <w:t>Mer utvecklade regioner</w:t>
            </w:r>
          </w:p>
        </w:tc>
        <w:tc>
          <w:tcPr>
            <w:tcW w:w="0" w:type="auto"/>
          </w:tcPr>
          <w:p w14:paraId="2D06618E" w14:textId="77777777" w:rsidR="00A77B3E" w:rsidRPr="00800D1B" w:rsidRDefault="00623E14" w:rsidP="00B76590">
            <w:pPr>
              <w:spacing w:before="100" w:after="100"/>
              <w:ind w:left="-72"/>
              <w:rPr>
                <w:color w:val="000000"/>
                <w:sz w:val="20"/>
                <w:lang w:val="sv-SE"/>
              </w:rPr>
            </w:pPr>
            <w:r w:rsidRPr="00800D1B">
              <w:rPr>
                <w:color w:val="000000"/>
                <w:sz w:val="20"/>
                <w:lang w:val="sv-SE"/>
              </w:rPr>
              <w:t>SWR01</w:t>
            </w:r>
          </w:p>
        </w:tc>
        <w:tc>
          <w:tcPr>
            <w:tcW w:w="0" w:type="auto"/>
          </w:tcPr>
          <w:p w14:paraId="2D06618F" w14:textId="4F87EF1D" w:rsidR="00A77B3E" w:rsidRPr="00800D1B" w:rsidRDefault="00623E14" w:rsidP="00B76590">
            <w:pPr>
              <w:spacing w:before="100" w:after="100"/>
              <w:ind w:left="-72"/>
              <w:rPr>
                <w:color w:val="000000"/>
                <w:sz w:val="20"/>
                <w:lang w:val="sv-SE"/>
              </w:rPr>
            </w:pPr>
            <w:r w:rsidRPr="00800D1B">
              <w:rPr>
                <w:color w:val="000000"/>
                <w:sz w:val="20"/>
                <w:lang w:val="sv-SE"/>
              </w:rPr>
              <w:t>Antal företag som utvecklar produkter, processer och affärsmodeller</w:t>
            </w:r>
            <w:r w:rsidR="00CF74CB" w:rsidRPr="00800D1B">
              <w:rPr>
                <w:color w:val="000000"/>
                <w:sz w:val="20"/>
                <w:lang w:val="sv-SE"/>
              </w:rPr>
              <w:t xml:space="preserve"> </w:t>
            </w:r>
          </w:p>
        </w:tc>
        <w:tc>
          <w:tcPr>
            <w:tcW w:w="0" w:type="auto"/>
          </w:tcPr>
          <w:p w14:paraId="2D066190" w14:textId="77777777" w:rsidR="00A77B3E" w:rsidRPr="00800D1B" w:rsidRDefault="00623E14" w:rsidP="00B76590">
            <w:pPr>
              <w:spacing w:before="100" w:after="100"/>
              <w:ind w:left="-72"/>
              <w:rPr>
                <w:color w:val="000000"/>
                <w:sz w:val="20"/>
                <w:lang w:val="sv-SE"/>
              </w:rPr>
            </w:pPr>
            <w:r w:rsidRPr="00800D1B">
              <w:rPr>
                <w:color w:val="000000"/>
                <w:sz w:val="20"/>
                <w:lang w:val="sv-SE"/>
              </w:rPr>
              <w:t>Företag</w:t>
            </w:r>
          </w:p>
        </w:tc>
        <w:tc>
          <w:tcPr>
            <w:tcW w:w="0" w:type="auto"/>
          </w:tcPr>
          <w:p w14:paraId="2D066191" w14:textId="77777777" w:rsidR="00A77B3E" w:rsidRPr="00800D1B" w:rsidRDefault="00623E14" w:rsidP="00B76590">
            <w:pPr>
              <w:spacing w:before="100" w:after="100"/>
              <w:ind w:left="-72"/>
              <w:jc w:val="right"/>
              <w:rPr>
                <w:color w:val="000000"/>
                <w:sz w:val="20"/>
                <w:lang w:val="sv-SE"/>
              </w:rPr>
            </w:pPr>
            <w:r w:rsidRPr="00800D1B">
              <w:rPr>
                <w:color w:val="000000"/>
                <w:sz w:val="20"/>
                <w:lang w:val="sv-SE"/>
              </w:rPr>
              <w:t>0,00</w:t>
            </w:r>
          </w:p>
        </w:tc>
        <w:tc>
          <w:tcPr>
            <w:tcW w:w="0" w:type="auto"/>
          </w:tcPr>
          <w:p w14:paraId="2D066192" w14:textId="77777777" w:rsidR="00A77B3E" w:rsidRPr="00800D1B" w:rsidRDefault="00623E14" w:rsidP="00B76590">
            <w:pPr>
              <w:spacing w:before="100" w:after="100"/>
              <w:ind w:left="-72"/>
              <w:jc w:val="center"/>
              <w:rPr>
                <w:color w:val="000000"/>
                <w:sz w:val="20"/>
                <w:lang w:val="sv-SE"/>
              </w:rPr>
            </w:pPr>
            <w:r w:rsidRPr="00800D1B">
              <w:rPr>
                <w:color w:val="000000"/>
                <w:sz w:val="20"/>
                <w:lang w:val="sv-SE"/>
              </w:rPr>
              <w:t>2021</w:t>
            </w:r>
          </w:p>
        </w:tc>
        <w:tc>
          <w:tcPr>
            <w:tcW w:w="0" w:type="auto"/>
          </w:tcPr>
          <w:p w14:paraId="2D066193" w14:textId="77777777" w:rsidR="00A77B3E" w:rsidRPr="00800D1B" w:rsidRDefault="00623E14" w:rsidP="00B76590">
            <w:pPr>
              <w:spacing w:before="100" w:after="100"/>
              <w:ind w:left="-72"/>
              <w:jc w:val="right"/>
              <w:rPr>
                <w:color w:val="000000"/>
                <w:sz w:val="20"/>
                <w:lang w:val="sv-SE"/>
              </w:rPr>
            </w:pPr>
            <w:r w:rsidRPr="00800D1B">
              <w:rPr>
                <w:color w:val="000000"/>
                <w:sz w:val="20"/>
                <w:lang w:val="sv-SE"/>
              </w:rPr>
              <w:t>9,00</w:t>
            </w:r>
          </w:p>
        </w:tc>
        <w:tc>
          <w:tcPr>
            <w:tcW w:w="0" w:type="auto"/>
          </w:tcPr>
          <w:p w14:paraId="2D066194" w14:textId="77777777" w:rsidR="00A77B3E" w:rsidRPr="00800D1B" w:rsidRDefault="00623E14" w:rsidP="00B76590">
            <w:pPr>
              <w:spacing w:before="100" w:after="100"/>
              <w:ind w:left="-72"/>
              <w:rPr>
                <w:color w:val="000000"/>
                <w:sz w:val="20"/>
                <w:lang w:val="sv-SE"/>
              </w:rPr>
            </w:pPr>
            <w:r w:rsidRPr="00800D1B">
              <w:rPr>
                <w:color w:val="000000"/>
                <w:sz w:val="20"/>
                <w:lang w:val="sv-SE"/>
              </w:rPr>
              <w:t>Projekt</w:t>
            </w:r>
          </w:p>
        </w:tc>
        <w:tc>
          <w:tcPr>
            <w:tcW w:w="0" w:type="auto"/>
          </w:tcPr>
          <w:p w14:paraId="2D066195" w14:textId="77777777" w:rsidR="00A77B3E" w:rsidRPr="00800D1B" w:rsidRDefault="00A77B3E" w:rsidP="00B76590">
            <w:pPr>
              <w:spacing w:before="100" w:after="100"/>
              <w:ind w:left="-72"/>
              <w:rPr>
                <w:color w:val="000000"/>
                <w:sz w:val="20"/>
                <w:lang w:val="sv-SE"/>
              </w:rPr>
            </w:pPr>
          </w:p>
        </w:tc>
      </w:tr>
      <w:tr w:rsidR="003422DB" w:rsidRPr="00800D1B" w14:paraId="2D0661A3" w14:textId="77777777" w:rsidTr="00B76590">
        <w:tc>
          <w:tcPr>
            <w:tcW w:w="0" w:type="auto"/>
          </w:tcPr>
          <w:p w14:paraId="2D066197" w14:textId="77777777" w:rsidR="00A77B3E" w:rsidRPr="00800D1B" w:rsidRDefault="00623E14" w:rsidP="00B76590">
            <w:pPr>
              <w:spacing w:before="100" w:after="100"/>
              <w:ind w:left="-72"/>
              <w:rPr>
                <w:color w:val="000000"/>
                <w:sz w:val="20"/>
                <w:lang w:val="sv-SE"/>
              </w:rPr>
            </w:pPr>
            <w:r w:rsidRPr="00800D1B">
              <w:rPr>
                <w:color w:val="000000"/>
                <w:sz w:val="20"/>
                <w:lang w:val="sv-SE"/>
              </w:rPr>
              <w:t>4</w:t>
            </w:r>
          </w:p>
        </w:tc>
        <w:tc>
          <w:tcPr>
            <w:tcW w:w="0" w:type="auto"/>
          </w:tcPr>
          <w:p w14:paraId="2D066198" w14:textId="77777777" w:rsidR="00A77B3E" w:rsidRPr="00800D1B" w:rsidRDefault="00623E14" w:rsidP="00B76590">
            <w:pPr>
              <w:spacing w:before="100" w:after="100"/>
              <w:ind w:left="-72"/>
              <w:rPr>
                <w:color w:val="000000"/>
                <w:sz w:val="20"/>
                <w:lang w:val="sv-SE"/>
              </w:rPr>
            </w:pPr>
            <w:r w:rsidRPr="00800D1B">
              <w:rPr>
                <w:color w:val="000000"/>
                <w:sz w:val="20"/>
                <w:lang w:val="sv-SE"/>
              </w:rPr>
              <w:t>RSO2.3</w:t>
            </w:r>
          </w:p>
        </w:tc>
        <w:tc>
          <w:tcPr>
            <w:tcW w:w="0" w:type="auto"/>
          </w:tcPr>
          <w:p w14:paraId="2D066199" w14:textId="77777777" w:rsidR="00A77B3E" w:rsidRPr="00800D1B" w:rsidRDefault="00623E14" w:rsidP="00B76590">
            <w:pPr>
              <w:spacing w:before="100" w:after="100"/>
              <w:ind w:left="-72"/>
              <w:rPr>
                <w:color w:val="000000"/>
                <w:sz w:val="20"/>
                <w:lang w:val="sv-SE"/>
              </w:rPr>
            </w:pPr>
            <w:r w:rsidRPr="00800D1B">
              <w:rPr>
                <w:color w:val="000000"/>
                <w:sz w:val="20"/>
                <w:lang w:val="sv-SE"/>
              </w:rPr>
              <w:t>Eruf</w:t>
            </w:r>
          </w:p>
        </w:tc>
        <w:tc>
          <w:tcPr>
            <w:tcW w:w="0" w:type="auto"/>
          </w:tcPr>
          <w:p w14:paraId="2D06619A" w14:textId="77777777" w:rsidR="00A77B3E" w:rsidRPr="00800D1B" w:rsidRDefault="00623E14" w:rsidP="00B76590">
            <w:pPr>
              <w:spacing w:before="100" w:after="100"/>
              <w:ind w:left="-72"/>
              <w:rPr>
                <w:color w:val="000000"/>
                <w:sz w:val="20"/>
                <w:lang w:val="sv-SE"/>
              </w:rPr>
            </w:pPr>
            <w:r w:rsidRPr="00800D1B">
              <w:rPr>
                <w:color w:val="000000"/>
                <w:sz w:val="20"/>
                <w:lang w:val="sv-SE"/>
              </w:rPr>
              <w:t>Mer utvecklade regioner</w:t>
            </w:r>
          </w:p>
        </w:tc>
        <w:tc>
          <w:tcPr>
            <w:tcW w:w="0" w:type="auto"/>
          </w:tcPr>
          <w:p w14:paraId="2D06619B" w14:textId="77777777" w:rsidR="00A77B3E" w:rsidRPr="00800D1B" w:rsidRDefault="00623E14" w:rsidP="00B76590">
            <w:pPr>
              <w:spacing w:before="100" w:after="100"/>
              <w:ind w:left="-72"/>
              <w:rPr>
                <w:color w:val="000000"/>
                <w:sz w:val="20"/>
                <w:lang w:val="sv-SE"/>
              </w:rPr>
            </w:pPr>
            <w:r w:rsidRPr="00800D1B">
              <w:rPr>
                <w:color w:val="000000"/>
                <w:sz w:val="20"/>
                <w:lang w:val="sv-SE"/>
              </w:rPr>
              <w:t>SWR02</w:t>
            </w:r>
          </w:p>
        </w:tc>
        <w:tc>
          <w:tcPr>
            <w:tcW w:w="0" w:type="auto"/>
          </w:tcPr>
          <w:p w14:paraId="2D06619C" w14:textId="77777777" w:rsidR="00A77B3E" w:rsidRPr="00800D1B" w:rsidRDefault="00623E14" w:rsidP="00B76590">
            <w:pPr>
              <w:spacing w:before="100" w:after="100"/>
              <w:ind w:left="-72"/>
              <w:rPr>
                <w:color w:val="000000"/>
                <w:sz w:val="20"/>
                <w:lang w:val="sv-SE"/>
              </w:rPr>
            </w:pPr>
            <w:r w:rsidRPr="00800D1B">
              <w:rPr>
                <w:color w:val="000000"/>
                <w:sz w:val="20"/>
                <w:lang w:val="sv-SE"/>
              </w:rPr>
              <w:t xml:space="preserve">Antal organisationer som utvecklar produkter, processer och tjänster </w:t>
            </w:r>
          </w:p>
        </w:tc>
        <w:tc>
          <w:tcPr>
            <w:tcW w:w="0" w:type="auto"/>
          </w:tcPr>
          <w:p w14:paraId="2D06619D" w14:textId="77777777" w:rsidR="00A77B3E" w:rsidRPr="00800D1B" w:rsidRDefault="00623E14" w:rsidP="00B76590">
            <w:pPr>
              <w:spacing w:before="100" w:after="100"/>
              <w:ind w:left="-72"/>
              <w:rPr>
                <w:color w:val="000000"/>
                <w:sz w:val="20"/>
                <w:lang w:val="sv-SE"/>
              </w:rPr>
            </w:pPr>
            <w:r w:rsidRPr="00800D1B">
              <w:rPr>
                <w:color w:val="000000"/>
                <w:sz w:val="20"/>
                <w:lang w:val="sv-SE"/>
              </w:rPr>
              <w:t>Organisationer</w:t>
            </w:r>
          </w:p>
        </w:tc>
        <w:tc>
          <w:tcPr>
            <w:tcW w:w="0" w:type="auto"/>
          </w:tcPr>
          <w:p w14:paraId="2D06619E" w14:textId="77777777" w:rsidR="00A77B3E" w:rsidRPr="00800D1B" w:rsidRDefault="00623E14" w:rsidP="00B76590">
            <w:pPr>
              <w:spacing w:before="100" w:after="100"/>
              <w:ind w:left="-72"/>
              <w:jc w:val="right"/>
              <w:rPr>
                <w:color w:val="000000"/>
                <w:sz w:val="20"/>
                <w:lang w:val="sv-SE"/>
              </w:rPr>
            </w:pPr>
            <w:r w:rsidRPr="00800D1B">
              <w:rPr>
                <w:color w:val="000000"/>
                <w:sz w:val="20"/>
                <w:lang w:val="sv-SE"/>
              </w:rPr>
              <w:t>0,00</w:t>
            </w:r>
          </w:p>
        </w:tc>
        <w:tc>
          <w:tcPr>
            <w:tcW w:w="0" w:type="auto"/>
          </w:tcPr>
          <w:p w14:paraId="2D06619F" w14:textId="77777777" w:rsidR="00A77B3E" w:rsidRPr="00800D1B" w:rsidRDefault="00623E14" w:rsidP="00B76590">
            <w:pPr>
              <w:spacing w:before="100" w:after="100"/>
              <w:ind w:left="-72"/>
              <w:jc w:val="center"/>
              <w:rPr>
                <w:color w:val="000000"/>
                <w:sz w:val="20"/>
                <w:lang w:val="sv-SE"/>
              </w:rPr>
            </w:pPr>
            <w:r w:rsidRPr="00800D1B">
              <w:rPr>
                <w:color w:val="000000"/>
                <w:sz w:val="20"/>
                <w:lang w:val="sv-SE"/>
              </w:rPr>
              <w:t>2021</w:t>
            </w:r>
          </w:p>
        </w:tc>
        <w:tc>
          <w:tcPr>
            <w:tcW w:w="0" w:type="auto"/>
          </w:tcPr>
          <w:p w14:paraId="2D0661A0" w14:textId="77777777" w:rsidR="00A77B3E" w:rsidRPr="00800D1B" w:rsidRDefault="00623E14" w:rsidP="00B76590">
            <w:pPr>
              <w:spacing w:before="100" w:after="100"/>
              <w:ind w:left="-72"/>
              <w:jc w:val="right"/>
              <w:rPr>
                <w:color w:val="000000"/>
                <w:sz w:val="20"/>
                <w:lang w:val="sv-SE"/>
              </w:rPr>
            </w:pPr>
            <w:r w:rsidRPr="00800D1B">
              <w:rPr>
                <w:color w:val="000000"/>
                <w:sz w:val="20"/>
                <w:lang w:val="sv-SE"/>
              </w:rPr>
              <w:t>3,00</w:t>
            </w:r>
          </w:p>
        </w:tc>
        <w:tc>
          <w:tcPr>
            <w:tcW w:w="0" w:type="auto"/>
          </w:tcPr>
          <w:p w14:paraId="2D0661A1" w14:textId="77777777" w:rsidR="00A77B3E" w:rsidRPr="00800D1B" w:rsidRDefault="00623E14" w:rsidP="00B76590">
            <w:pPr>
              <w:spacing w:before="100" w:after="100"/>
              <w:ind w:left="-72"/>
              <w:rPr>
                <w:color w:val="000000"/>
                <w:sz w:val="20"/>
                <w:lang w:val="sv-SE"/>
              </w:rPr>
            </w:pPr>
            <w:r w:rsidRPr="00800D1B">
              <w:rPr>
                <w:color w:val="000000"/>
                <w:sz w:val="20"/>
                <w:lang w:val="sv-SE"/>
              </w:rPr>
              <w:t>Projekt</w:t>
            </w:r>
          </w:p>
        </w:tc>
        <w:tc>
          <w:tcPr>
            <w:tcW w:w="0" w:type="auto"/>
          </w:tcPr>
          <w:p w14:paraId="2D0661A2" w14:textId="77777777" w:rsidR="00A77B3E" w:rsidRPr="00800D1B" w:rsidRDefault="00A77B3E" w:rsidP="00B76590">
            <w:pPr>
              <w:spacing w:before="100" w:after="100"/>
              <w:ind w:left="-72"/>
              <w:rPr>
                <w:color w:val="000000"/>
                <w:sz w:val="20"/>
                <w:lang w:val="sv-SE"/>
              </w:rPr>
            </w:pPr>
          </w:p>
        </w:tc>
      </w:tr>
    </w:tbl>
    <w:p w14:paraId="2D0661A5" w14:textId="6615EECB" w:rsidR="00A77B3E" w:rsidRPr="00800D1B" w:rsidRDefault="00623E14" w:rsidP="00B76590">
      <w:pPr>
        <w:pStyle w:val="Rubrik6"/>
        <w:numPr>
          <w:ilvl w:val="4"/>
          <w:numId w:val="29"/>
        </w:numPr>
        <w:spacing w:before="200"/>
        <w:ind w:left="360"/>
      </w:pPr>
      <w:bookmarkStart w:id="121" w:name="_Toc256000362"/>
      <w:r w:rsidRPr="00800D1B">
        <w:t>Preliminär fördelning av anslagna (EU-)medel efter interventionstyp</w:t>
      </w:r>
      <w:bookmarkEnd w:id="121"/>
    </w:p>
    <w:p w14:paraId="2D0661A6" w14:textId="77777777" w:rsidR="00A77B3E" w:rsidRPr="00800D1B" w:rsidRDefault="00A77B3E">
      <w:pPr>
        <w:spacing w:before="100"/>
        <w:rPr>
          <w:color w:val="000000"/>
          <w:sz w:val="0"/>
          <w:lang w:val="sv-SE"/>
        </w:rPr>
      </w:pPr>
    </w:p>
    <w:p w14:paraId="2D0661A7" w14:textId="77777777" w:rsidR="00A77B3E" w:rsidRPr="00800D1B" w:rsidRDefault="00623E14">
      <w:pPr>
        <w:spacing w:before="100"/>
        <w:rPr>
          <w:color w:val="000000"/>
          <w:sz w:val="0"/>
          <w:lang w:val="sv-SE"/>
        </w:rPr>
      </w:pPr>
      <w:r w:rsidRPr="00800D1B">
        <w:rPr>
          <w:color w:val="000000"/>
          <w:lang w:val="sv-SE"/>
        </w:rPr>
        <w:t>Referens: artikel 22.3 d viii i förordningen om gemensamma bestämmelser</w:t>
      </w:r>
    </w:p>
    <w:p w14:paraId="2D0661A8" w14:textId="33CD99D0" w:rsidR="00A77B3E" w:rsidRPr="00800D1B" w:rsidRDefault="00623E14" w:rsidP="00431BFA">
      <w:pPr>
        <w:spacing w:before="200" w:after="100"/>
        <w:rPr>
          <w:lang w:val="sv-SE"/>
        </w:rPr>
      </w:pPr>
      <w:bookmarkStart w:id="122" w:name="_Toc256000363"/>
      <w:r w:rsidRPr="00800D1B">
        <w:rPr>
          <w:lang w:val="sv-SE"/>
        </w:rPr>
        <w:t>Tabell 4: Dimension 1 – interventionsområde</w:t>
      </w:r>
      <w:bookmarkEnd w:id="122"/>
    </w:p>
    <w:tbl>
      <w:tblPr>
        <w:tblStyle w:val="Tabellrutnt"/>
        <w:tblW w:w="5000" w:type="pct"/>
        <w:tblLook w:val="04A0" w:firstRow="1" w:lastRow="0" w:firstColumn="1" w:lastColumn="0" w:noHBand="0" w:noVBand="1"/>
        <w:tblDescription w:val="En tabell med sex kolumner: Prioritering; Specifikt mål; Fond; Regionkategori; Kod; Belopp (euro). Tabellen visar information om interventionsområde."/>
      </w:tblPr>
      <w:tblGrid>
        <w:gridCol w:w="1263"/>
        <w:gridCol w:w="1424"/>
        <w:gridCol w:w="782"/>
        <w:gridCol w:w="2393"/>
        <w:gridCol w:w="7836"/>
        <w:gridCol w:w="1474"/>
      </w:tblGrid>
      <w:tr w:rsidR="003422DB" w:rsidRPr="00800D1B" w14:paraId="2D0661B0" w14:textId="77777777" w:rsidTr="00B76590">
        <w:tc>
          <w:tcPr>
            <w:tcW w:w="0" w:type="auto"/>
          </w:tcPr>
          <w:p w14:paraId="2D0661AA" w14:textId="77777777" w:rsidR="00A77B3E" w:rsidRPr="00800D1B" w:rsidRDefault="00623E14" w:rsidP="00B76590">
            <w:pPr>
              <w:spacing w:before="100" w:after="100"/>
              <w:ind w:left="-72"/>
              <w:jc w:val="center"/>
              <w:rPr>
                <w:color w:val="000000"/>
                <w:sz w:val="20"/>
                <w:lang w:val="sv-SE"/>
              </w:rPr>
            </w:pPr>
            <w:r w:rsidRPr="00800D1B">
              <w:rPr>
                <w:color w:val="000000"/>
                <w:sz w:val="20"/>
                <w:lang w:val="sv-SE"/>
              </w:rPr>
              <w:t>Prioritering</w:t>
            </w:r>
          </w:p>
        </w:tc>
        <w:tc>
          <w:tcPr>
            <w:tcW w:w="0" w:type="auto"/>
          </w:tcPr>
          <w:p w14:paraId="2D0661AB" w14:textId="77777777" w:rsidR="00A77B3E" w:rsidRPr="00800D1B" w:rsidRDefault="00623E14" w:rsidP="00B76590">
            <w:pPr>
              <w:spacing w:before="100" w:after="100"/>
              <w:ind w:left="-72"/>
              <w:jc w:val="center"/>
              <w:rPr>
                <w:color w:val="000000"/>
                <w:sz w:val="20"/>
                <w:lang w:val="sv-SE"/>
              </w:rPr>
            </w:pPr>
            <w:r w:rsidRPr="00800D1B">
              <w:rPr>
                <w:color w:val="000000"/>
                <w:sz w:val="20"/>
                <w:lang w:val="sv-SE"/>
              </w:rPr>
              <w:t>Specifikt mål</w:t>
            </w:r>
          </w:p>
        </w:tc>
        <w:tc>
          <w:tcPr>
            <w:tcW w:w="0" w:type="auto"/>
          </w:tcPr>
          <w:p w14:paraId="2D0661AC" w14:textId="77777777" w:rsidR="00A77B3E" w:rsidRPr="00800D1B" w:rsidRDefault="00623E14" w:rsidP="00B76590">
            <w:pPr>
              <w:spacing w:before="100" w:after="100"/>
              <w:ind w:left="-72"/>
              <w:jc w:val="center"/>
              <w:rPr>
                <w:color w:val="000000"/>
                <w:sz w:val="20"/>
                <w:lang w:val="sv-SE"/>
              </w:rPr>
            </w:pPr>
            <w:r w:rsidRPr="00800D1B">
              <w:rPr>
                <w:color w:val="000000"/>
                <w:sz w:val="20"/>
                <w:lang w:val="sv-SE"/>
              </w:rPr>
              <w:t>Fond</w:t>
            </w:r>
          </w:p>
        </w:tc>
        <w:tc>
          <w:tcPr>
            <w:tcW w:w="0" w:type="auto"/>
          </w:tcPr>
          <w:p w14:paraId="2D0661AD" w14:textId="77777777" w:rsidR="00A77B3E" w:rsidRPr="00800D1B" w:rsidRDefault="00623E14" w:rsidP="00B76590">
            <w:pPr>
              <w:spacing w:before="100" w:after="100"/>
              <w:ind w:left="-72"/>
              <w:jc w:val="center"/>
              <w:rPr>
                <w:color w:val="000000"/>
                <w:sz w:val="20"/>
                <w:lang w:val="sv-SE"/>
              </w:rPr>
            </w:pPr>
            <w:r w:rsidRPr="00800D1B">
              <w:rPr>
                <w:color w:val="000000"/>
                <w:sz w:val="20"/>
                <w:lang w:val="sv-SE"/>
              </w:rPr>
              <w:t>Regionkategori</w:t>
            </w:r>
          </w:p>
        </w:tc>
        <w:tc>
          <w:tcPr>
            <w:tcW w:w="0" w:type="auto"/>
          </w:tcPr>
          <w:p w14:paraId="2D0661AE" w14:textId="77777777" w:rsidR="00A77B3E" w:rsidRPr="00800D1B" w:rsidRDefault="00623E14" w:rsidP="00B76590">
            <w:pPr>
              <w:spacing w:before="100" w:after="100"/>
              <w:ind w:left="-72"/>
              <w:jc w:val="center"/>
              <w:rPr>
                <w:color w:val="000000"/>
                <w:sz w:val="20"/>
                <w:lang w:val="sv-SE"/>
              </w:rPr>
            </w:pPr>
            <w:r w:rsidRPr="00800D1B">
              <w:rPr>
                <w:color w:val="000000"/>
                <w:sz w:val="20"/>
                <w:lang w:val="sv-SE"/>
              </w:rPr>
              <w:t>Kod</w:t>
            </w:r>
          </w:p>
        </w:tc>
        <w:tc>
          <w:tcPr>
            <w:tcW w:w="0" w:type="auto"/>
          </w:tcPr>
          <w:p w14:paraId="2D0661AF" w14:textId="77777777" w:rsidR="00A77B3E" w:rsidRPr="00800D1B" w:rsidRDefault="00623E14" w:rsidP="00B76590">
            <w:pPr>
              <w:spacing w:before="100" w:after="100"/>
              <w:ind w:left="-72"/>
              <w:jc w:val="center"/>
              <w:rPr>
                <w:color w:val="000000"/>
                <w:sz w:val="20"/>
                <w:lang w:val="sv-SE"/>
              </w:rPr>
            </w:pPr>
            <w:r w:rsidRPr="00800D1B">
              <w:rPr>
                <w:color w:val="000000"/>
                <w:sz w:val="20"/>
                <w:lang w:val="sv-SE"/>
              </w:rPr>
              <w:t>Belopp (euro)</w:t>
            </w:r>
          </w:p>
        </w:tc>
      </w:tr>
      <w:tr w:rsidR="003422DB" w:rsidRPr="00800D1B" w14:paraId="2D0661B7" w14:textId="77777777" w:rsidTr="00B76590">
        <w:tc>
          <w:tcPr>
            <w:tcW w:w="0" w:type="auto"/>
          </w:tcPr>
          <w:p w14:paraId="2D0661B1" w14:textId="77777777" w:rsidR="00A77B3E" w:rsidRPr="00800D1B" w:rsidRDefault="00623E14" w:rsidP="00B76590">
            <w:pPr>
              <w:spacing w:before="100" w:after="100"/>
              <w:ind w:left="-72"/>
              <w:rPr>
                <w:color w:val="000000"/>
                <w:sz w:val="20"/>
                <w:lang w:val="sv-SE"/>
              </w:rPr>
            </w:pPr>
            <w:r w:rsidRPr="00800D1B">
              <w:rPr>
                <w:color w:val="000000"/>
                <w:sz w:val="20"/>
                <w:lang w:val="sv-SE"/>
              </w:rPr>
              <w:t>4</w:t>
            </w:r>
          </w:p>
        </w:tc>
        <w:tc>
          <w:tcPr>
            <w:tcW w:w="0" w:type="auto"/>
          </w:tcPr>
          <w:p w14:paraId="2D0661B2" w14:textId="77777777" w:rsidR="00A77B3E" w:rsidRPr="00800D1B" w:rsidRDefault="00623E14" w:rsidP="00B76590">
            <w:pPr>
              <w:spacing w:before="100" w:after="100"/>
              <w:ind w:left="-72"/>
              <w:rPr>
                <w:color w:val="000000"/>
                <w:sz w:val="20"/>
                <w:lang w:val="sv-SE"/>
              </w:rPr>
            </w:pPr>
            <w:r w:rsidRPr="00800D1B">
              <w:rPr>
                <w:color w:val="000000"/>
                <w:sz w:val="20"/>
                <w:lang w:val="sv-SE"/>
              </w:rPr>
              <w:t>RSO2.3</w:t>
            </w:r>
          </w:p>
        </w:tc>
        <w:tc>
          <w:tcPr>
            <w:tcW w:w="0" w:type="auto"/>
          </w:tcPr>
          <w:p w14:paraId="2D0661B3" w14:textId="77777777" w:rsidR="00A77B3E" w:rsidRPr="00800D1B" w:rsidRDefault="00623E14" w:rsidP="00B76590">
            <w:pPr>
              <w:spacing w:before="100" w:after="100"/>
              <w:ind w:left="-72"/>
              <w:rPr>
                <w:color w:val="000000"/>
                <w:sz w:val="20"/>
                <w:lang w:val="sv-SE"/>
              </w:rPr>
            </w:pPr>
            <w:r w:rsidRPr="00800D1B">
              <w:rPr>
                <w:color w:val="000000"/>
                <w:sz w:val="20"/>
                <w:lang w:val="sv-SE"/>
              </w:rPr>
              <w:t>Eruf</w:t>
            </w:r>
          </w:p>
        </w:tc>
        <w:tc>
          <w:tcPr>
            <w:tcW w:w="0" w:type="auto"/>
          </w:tcPr>
          <w:p w14:paraId="2D0661B4" w14:textId="77777777" w:rsidR="00A77B3E" w:rsidRPr="00800D1B" w:rsidRDefault="00623E14" w:rsidP="00B76590">
            <w:pPr>
              <w:spacing w:before="100" w:after="100"/>
              <w:ind w:left="-72"/>
              <w:rPr>
                <w:color w:val="000000"/>
                <w:sz w:val="20"/>
                <w:lang w:val="sv-SE"/>
              </w:rPr>
            </w:pPr>
            <w:r w:rsidRPr="00800D1B">
              <w:rPr>
                <w:color w:val="000000"/>
                <w:sz w:val="20"/>
                <w:lang w:val="sv-SE"/>
              </w:rPr>
              <w:t>Mer utvecklade regioner</w:t>
            </w:r>
          </w:p>
        </w:tc>
        <w:tc>
          <w:tcPr>
            <w:tcW w:w="0" w:type="auto"/>
          </w:tcPr>
          <w:p w14:paraId="2D0661B5" w14:textId="77777777" w:rsidR="00A77B3E" w:rsidRPr="00800D1B" w:rsidRDefault="00623E14" w:rsidP="00B76590">
            <w:pPr>
              <w:spacing w:before="100" w:after="100"/>
              <w:ind w:left="-72"/>
              <w:rPr>
                <w:color w:val="000000"/>
                <w:sz w:val="20"/>
                <w:lang w:val="sv-SE"/>
              </w:rPr>
            </w:pPr>
            <w:r w:rsidRPr="00800D1B">
              <w:rPr>
                <w:color w:val="000000"/>
                <w:sz w:val="20"/>
                <w:lang w:val="sv-SE"/>
              </w:rPr>
              <w:t>053. Smarta energisystem (inbegripet smarta nät och IKT-system) och relaterad lagring</w:t>
            </w:r>
          </w:p>
        </w:tc>
        <w:tc>
          <w:tcPr>
            <w:tcW w:w="0" w:type="auto"/>
          </w:tcPr>
          <w:p w14:paraId="2D0661B6" w14:textId="77777777" w:rsidR="00A77B3E" w:rsidRPr="00800D1B" w:rsidRDefault="00623E14" w:rsidP="00B76590">
            <w:pPr>
              <w:spacing w:before="100" w:after="100"/>
              <w:ind w:left="-72"/>
              <w:jc w:val="right"/>
              <w:rPr>
                <w:color w:val="000000"/>
                <w:sz w:val="20"/>
                <w:lang w:val="sv-SE"/>
              </w:rPr>
            </w:pPr>
            <w:r w:rsidRPr="00800D1B">
              <w:rPr>
                <w:color w:val="000000"/>
                <w:sz w:val="20"/>
                <w:lang w:val="sv-SE"/>
              </w:rPr>
              <w:t>6 612 742,00</w:t>
            </w:r>
          </w:p>
        </w:tc>
      </w:tr>
      <w:tr w:rsidR="003422DB" w:rsidRPr="00800D1B" w14:paraId="2D0661BE" w14:textId="77777777" w:rsidTr="00B76590">
        <w:tc>
          <w:tcPr>
            <w:tcW w:w="0" w:type="auto"/>
          </w:tcPr>
          <w:p w14:paraId="2D0661B8" w14:textId="77777777" w:rsidR="00A77B3E" w:rsidRPr="00800D1B" w:rsidRDefault="00623E14" w:rsidP="00B76590">
            <w:pPr>
              <w:spacing w:before="100" w:after="100"/>
              <w:ind w:left="-72"/>
              <w:rPr>
                <w:color w:val="000000"/>
                <w:sz w:val="20"/>
                <w:lang w:val="sv-SE"/>
              </w:rPr>
            </w:pPr>
            <w:r w:rsidRPr="00800D1B">
              <w:rPr>
                <w:color w:val="000000"/>
                <w:sz w:val="20"/>
                <w:lang w:val="sv-SE"/>
              </w:rPr>
              <w:t>4</w:t>
            </w:r>
          </w:p>
        </w:tc>
        <w:tc>
          <w:tcPr>
            <w:tcW w:w="0" w:type="auto"/>
          </w:tcPr>
          <w:p w14:paraId="2D0661B9" w14:textId="77777777" w:rsidR="00A77B3E" w:rsidRPr="00800D1B" w:rsidRDefault="00623E14" w:rsidP="00B76590">
            <w:pPr>
              <w:spacing w:before="100" w:after="100"/>
              <w:ind w:left="-72"/>
              <w:rPr>
                <w:color w:val="000000"/>
                <w:sz w:val="20"/>
                <w:lang w:val="sv-SE"/>
              </w:rPr>
            </w:pPr>
            <w:r w:rsidRPr="00800D1B">
              <w:rPr>
                <w:color w:val="000000"/>
                <w:sz w:val="20"/>
                <w:lang w:val="sv-SE"/>
              </w:rPr>
              <w:t>RSO2.3</w:t>
            </w:r>
          </w:p>
        </w:tc>
        <w:tc>
          <w:tcPr>
            <w:tcW w:w="0" w:type="auto"/>
          </w:tcPr>
          <w:p w14:paraId="2D0661BA" w14:textId="77777777" w:rsidR="00A77B3E" w:rsidRPr="00800D1B" w:rsidRDefault="00623E14" w:rsidP="00B76590">
            <w:pPr>
              <w:spacing w:before="100" w:after="100"/>
              <w:ind w:left="-72"/>
              <w:rPr>
                <w:color w:val="000000"/>
                <w:sz w:val="20"/>
                <w:lang w:val="sv-SE"/>
              </w:rPr>
            </w:pPr>
            <w:r w:rsidRPr="00800D1B">
              <w:rPr>
                <w:color w:val="000000"/>
                <w:sz w:val="20"/>
                <w:lang w:val="sv-SE"/>
              </w:rPr>
              <w:t>Totalt</w:t>
            </w:r>
          </w:p>
        </w:tc>
        <w:tc>
          <w:tcPr>
            <w:tcW w:w="0" w:type="auto"/>
          </w:tcPr>
          <w:p w14:paraId="2D0661BB" w14:textId="77777777" w:rsidR="00A77B3E" w:rsidRPr="00800D1B" w:rsidRDefault="00A77B3E" w:rsidP="00B76590">
            <w:pPr>
              <w:spacing w:before="100" w:after="100"/>
              <w:ind w:left="-72"/>
              <w:rPr>
                <w:color w:val="000000"/>
                <w:sz w:val="20"/>
                <w:lang w:val="sv-SE"/>
              </w:rPr>
            </w:pPr>
          </w:p>
        </w:tc>
        <w:tc>
          <w:tcPr>
            <w:tcW w:w="0" w:type="auto"/>
          </w:tcPr>
          <w:p w14:paraId="2D0661BC" w14:textId="77777777" w:rsidR="00A77B3E" w:rsidRPr="00800D1B" w:rsidRDefault="00A77B3E" w:rsidP="00B76590">
            <w:pPr>
              <w:spacing w:before="100" w:after="100"/>
              <w:ind w:left="-72"/>
              <w:rPr>
                <w:color w:val="000000"/>
                <w:sz w:val="20"/>
                <w:lang w:val="sv-SE"/>
              </w:rPr>
            </w:pPr>
          </w:p>
        </w:tc>
        <w:tc>
          <w:tcPr>
            <w:tcW w:w="0" w:type="auto"/>
          </w:tcPr>
          <w:p w14:paraId="2D0661BD" w14:textId="77777777" w:rsidR="00A77B3E" w:rsidRPr="00800D1B" w:rsidRDefault="00623E14" w:rsidP="00B76590">
            <w:pPr>
              <w:spacing w:before="100" w:after="100"/>
              <w:ind w:left="-72"/>
              <w:jc w:val="right"/>
              <w:rPr>
                <w:color w:val="000000"/>
                <w:sz w:val="20"/>
                <w:lang w:val="sv-SE"/>
              </w:rPr>
            </w:pPr>
            <w:r w:rsidRPr="00800D1B">
              <w:rPr>
                <w:color w:val="000000"/>
                <w:sz w:val="20"/>
                <w:lang w:val="sv-SE"/>
              </w:rPr>
              <w:t>6 612 742,00</w:t>
            </w:r>
          </w:p>
        </w:tc>
      </w:tr>
    </w:tbl>
    <w:p w14:paraId="2D0661C0" w14:textId="751ECD47" w:rsidR="00A77B3E" w:rsidRPr="00800D1B" w:rsidRDefault="00623E14" w:rsidP="00431BFA">
      <w:pPr>
        <w:spacing w:before="300" w:after="100"/>
        <w:rPr>
          <w:lang w:val="sv-SE"/>
        </w:rPr>
      </w:pPr>
      <w:bookmarkStart w:id="123" w:name="_Toc256000364"/>
      <w:r w:rsidRPr="00800D1B">
        <w:rPr>
          <w:lang w:val="sv-SE"/>
        </w:rPr>
        <w:t>Tabell 5: Dimension 2 – finansieringsform</w:t>
      </w:r>
      <w:bookmarkEnd w:id="123"/>
    </w:p>
    <w:tbl>
      <w:tblPr>
        <w:tblStyle w:val="Tabellrutnt"/>
        <w:tblW w:w="5000" w:type="pct"/>
        <w:tblLook w:val="04A0" w:firstRow="1" w:lastRow="0" w:firstColumn="1" w:lastColumn="0" w:noHBand="0" w:noVBand="1"/>
        <w:tblDescription w:val="En tabell med sex kolumner: Prioritering; Specifikt mål; Fond; Regionkategori; Kod; Belopp (euro). Tabellen visar information om finansieringsform."/>
      </w:tblPr>
      <w:tblGrid>
        <w:gridCol w:w="2243"/>
        <w:gridCol w:w="2528"/>
        <w:gridCol w:w="1387"/>
        <w:gridCol w:w="4245"/>
        <w:gridCol w:w="2155"/>
        <w:gridCol w:w="2614"/>
      </w:tblGrid>
      <w:tr w:rsidR="003422DB" w:rsidRPr="00800D1B" w14:paraId="2D0661C8" w14:textId="77777777" w:rsidTr="00B76590">
        <w:tc>
          <w:tcPr>
            <w:tcW w:w="0" w:type="auto"/>
          </w:tcPr>
          <w:p w14:paraId="2D0661C2" w14:textId="77777777" w:rsidR="00A77B3E" w:rsidRPr="00800D1B" w:rsidRDefault="00623E14" w:rsidP="00B76590">
            <w:pPr>
              <w:spacing w:before="100" w:after="100"/>
              <w:ind w:left="-72"/>
              <w:jc w:val="center"/>
              <w:rPr>
                <w:color w:val="000000"/>
                <w:sz w:val="20"/>
                <w:lang w:val="sv-SE"/>
              </w:rPr>
            </w:pPr>
            <w:r w:rsidRPr="00800D1B">
              <w:rPr>
                <w:color w:val="000000"/>
                <w:sz w:val="20"/>
                <w:lang w:val="sv-SE"/>
              </w:rPr>
              <w:t>Prioritering</w:t>
            </w:r>
          </w:p>
        </w:tc>
        <w:tc>
          <w:tcPr>
            <w:tcW w:w="0" w:type="auto"/>
          </w:tcPr>
          <w:p w14:paraId="2D0661C3" w14:textId="77777777" w:rsidR="00A77B3E" w:rsidRPr="00800D1B" w:rsidRDefault="00623E14" w:rsidP="00B76590">
            <w:pPr>
              <w:spacing w:before="100" w:after="100"/>
              <w:ind w:left="-72"/>
              <w:jc w:val="center"/>
              <w:rPr>
                <w:color w:val="000000"/>
                <w:sz w:val="20"/>
                <w:lang w:val="sv-SE"/>
              </w:rPr>
            </w:pPr>
            <w:r w:rsidRPr="00800D1B">
              <w:rPr>
                <w:color w:val="000000"/>
                <w:sz w:val="20"/>
                <w:lang w:val="sv-SE"/>
              </w:rPr>
              <w:t>Specifikt mål</w:t>
            </w:r>
          </w:p>
        </w:tc>
        <w:tc>
          <w:tcPr>
            <w:tcW w:w="0" w:type="auto"/>
          </w:tcPr>
          <w:p w14:paraId="2D0661C4" w14:textId="77777777" w:rsidR="00A77B3E" w:rsidRPr="00800D1B" w:rsidRDefault="00623E14" w:rsidP="00B76590">
            <w:pPr>
              <w:spacing w:before="100" w:after="100"/>
              <w:ind w:left="-72"/>
              <w:jc w:val="center"/>
              <w:rPr>
                <w:color w:val="000000"/>
                <w:sz w:val="20"/>
                <w:lang w:val="sv-SE"/>
              </w:rPr>
            </w:pPr>
            <w:r w:rsidRPr="00800D1B">
              <w:rPr>
                <w:color w:val="000000"/>
                <w:sz w:val="20"/>
                <w:lang w:val="sv-SE"/>
              </w:rPr>
              <w:t>Fond</w:t>
            </w:r>
          </w:p>
        </w:tc>
        <w:tc>
          <w:tcPr>
            <w:tcW w:w="0" w:type="auto"/>
          </w:tcPr>
          <w:p w14:paraId="2D0661C5" w14:textId="77777777" w:rsidR="00A77B3E" w:rsidRPr="00800D1B" w:rsidRDefault="00623E14" w:rsidP="00B76590">
            <w:pPr>
              <w:spacing w:before="100" w:after="100"/>
              <w:ind w:left="-72"/>
              <w:jc w:val="center"/>
              <w:rPr>
                <w:color w:val="000000"/>
                <w:sz w:val="20"/>
                <w:lang w:val="sv-SE"/>
              </w:rPr>
            </w:pPr>
            <w:r w:rsidRPr="00800D1B">
              <w:rPr>
                <w:color w:val="000000"/>
                <w:sz w:val="20"/>
                <w:lang w:val="sv-SE"/>
              </w:rPr>
              <w:t>Regionkategori</w:t>
            </w:r>
          </w:p>
        </w:tc>
        <w:tc>
          <w:tcPr>
            <w:tcW w:w="0" w:type="auto"/>
          </w:tcPr>
          <w:p w14:paraId="2D0661C6" w14:textId="77777777" w:rsidR="00A77B3E" w:rsidRPr="00800D1B" w:rsidRDefault="00623E14" w:rsidP="00B76590">
            <w:pPr>
              <w:spacing w:before="100" w:after="100"/>
              <w:ind w:left="-72"/>
              <w:jc w:val="center"/>
              <w:rPr>
                <w:color w:val="000000"/>
                <w:sz w:val="20"/>
                <w:lang w:val="sv-SE"/>
              </w:rPr>
            </w:pPr>
            <w:r w:rsidRPr="00800D1B">
              <w:rPr>
                <w:color w:val="000000"/>
                <w:sz w:val="20"/>
                <w:lang w:val="sv-SE"/>
              </w:rPr>
              <w:t>Kod</w:t>
            </w:r>
          </w:p>
        </w:tc>
        <w:tc>
          <w:tcPr>
            <w:tcW w:w="0" w:type="auto"/>
          </w:tcPr>
          <w:p w14:paraId="2D0661C7" w14:textId="77777777" w:rsidR="00A77B3E" w:rsidRPr="00800D1B" w:rsidRDefault="00623E14" w:rsidP="00B76590">
            <w:pPr>
              <w:spacing w:before="100" w:after="100"/>
              <w:ind w:left="-72"/>
              <w:jc w:val="center"/>
              <w:rPr>
                <w:color w:val="000000"/>
                <w:sz w:val="20"/>
                <w:lang w:val="sv-SE"/>
              </w:rPr>
            </w:pPr>
            <w:r w:rsidRPr="00800D1B">
              <w:rPr>
                <w:color w:val="000000"/>
                <w:sz w:val="20"/>
                <w:lang w:val="sv-SE"/>
              </w:rPr>
              <w:t>Belopp (euro)</w:t>
            </w:r>
          </w:p>
        </w:tc>
      </w:tr>
      <w:tr w:rsidR="003422DB" w:rsidRPr="00800D1B" w14:paraId="2D0661CF" w14:textId="77777777" w:rsidTr="00B76590">
        <w:tc>
          <w:tcPr>
            <w:tcW w:w="0" w:type="auto"/>
          </w:tcPr>
          <w:p w14:paraId="2D0661C9" w14:textId="77777777" w:rsidR="00A77B3E" w:rsidRPr="00800D1B" w:rsidRDefault="00623E14" w:rsidP="00B76590">
            <w:pPr>
              <w:spacing w:before="100" w:after="100"/>
              <w:ind w:left="-72"/>
              <w:rPr>
                <w:color w:val="000000"/>
                <w:sz w:val="20"/>
                <w:lang w:val="sv-SE"/>
              </w:rPr>
            </w:pPr>
            <w:r w:rsidRPr="00800D1B">
              <w:rPr>
                <w:color w:val="000000"/>
                <w:sz w:val="20"/>
                <w:lang w:val="sv-SE"/>
              </w:rPr>
              <w:t>4</w:t>
            </w:r>
          </w:p>
        </w:tc>
        <w:tc>
          <w:tcPr>
            <w:tcW w:w="0" w:type="auto"/>
          </w:tcPr>
          <w:p w14:paraId="2D0661CA" w14:textId="77777777" w:rsidR="00A77B3E" w:rsidRPr="00800D1B" w:rsidRDefault="00623E14" w:rsidP="00B76590">
            <w:pPr>
              <w:spacing w:before="100" w:after="100"/>
              <w:ind w:left="-72"/>
              <w:rPr>
                <w:color w:val="000000"/>
                <w:sz w:val="20"/>
                <w:lang w:val="sv-SE"/>
              </w:rPr>
            </w:pPr>
            <w:r w:rsidRPr="00800D1B">
              <w:rPr>
                <w:color w:val="000000"/>
                <w:sz w:val="20"/>
                <w:lang w:val="sv-SE"/>
              </w:rPr>
              <w:t>RSO2.3</w:t>
            </w:r>
          </w:p>
        </w:tc>
        <w:tc>
          <w:tcPr>
            <w:tcW w:w="0" w:type="auto"/>
          </w:tcPr>
          <w:p w14:paraId="2D0661CB" w14:textId="77777777" w:rsidR="00A77B3E" w:rsidRPr="00800D1B" w:rsidRDefault="00623E14" w:rsidP="00B76590">
            <w:pPr>
              <w:spacing w:before="100" w:after="100"/>
              <w:ind w:left="-72"/>
              <w:rPr>
                <w:color w:val="000000"/>
                <w:sz w:val="20"/>
                <w:lang w:val="sv-SE"/>
              </w:rPr>
            </w:pPr>
            <w:r w:rsidRPr="00800D1B">
              <w:rPr>
                <w:color w:val="000000"/>
                <w:sz w:val="20"/>
                <w:lang w:val="sv-SE"/>
              </w:rPr>
              <w:t>Eruf</w:t>
            </w:r>
          </w:p>
        </w:tc>
        <w:tc>
          <w:tcPr>
            <w:tcW w:w="0" w:type="auto"/>
          </w:tcPr>
          <w:p w14:paraId="2D0661CC" w14:textId="77777777" w:rsidR="00A77B3E" w:rsidRPr="00800D1B" w:rsidRDefault="00623E14" w:rsidP="00B76590">
            <w:pPr>
              <w:spacing w:before="100" w:after="100"/>
              <w:ind w:left="-72"/>
              <w:rPr>
                <w:color w:val="000000"/>
                <w:sz w:val="20"/>
                <w:lang w:val="sv-SE"/>
              </w:rPr>
            </w:pPr>
            <w:r w:rsidRPr="00800D1B">
              <w:rPr>
                <w:color w:val="000000"/>
                <w:sz w:val="20"/>
                <w:lang w:val="sv-SE"/>
              </w:rPr>
              <w:t>Mer utvecklade regioner</w:t>
            </w:r>
          </w:p>
        </w:tc>
        <w:tc>
          <w:tcPr>
            <w:tcW w:w="0" w:type="auto"/>
          </w:tcPr>
          <w:p w14:paraId="2D0661CD" w14:textId="77777777" w:rsidR="00A77B3E" w:rsidRPr="00800D1B" w:rsidRDefault="00623E14" w:rsidP="00B76590">
            <w:pPr>
              <w:spacing w:before="100" w:after="100"/>
              <w:ind w:left="-72"/>
              <w:rPr>
                <w:color w:val="000000"/>
                <w:sz w:val="20"/>
                <w:lang w:val="sv-SE"/>
              </w:rPr>
            </w:pPr>
            <w:r w:rsidRPr="00800D1B">
              <w:rPr>
                <w:color w:val="000000"/>
                <w:sz w:val="20"/>
                <w:lang w:val="sv-SE"/>
              </w:rPr>
              <w:t>01. Bevilja</w:t>
            </w:r>
          </w:p>
        </w:tc>
        <w:tc>
          <w:tcPr>
            <w:tcW w:w="0" w:type="auto"/>
          </w:tcPr>
          <w:p w14:paraId="2D0661CE" w14:textId="77777777" w:rsidR="00A77B3E" w:rsidRPr="00800D1B" w:rsidRDefault="00623E14" w:rsidP="00B76590">
            <w:pPr>
              <w:spacing w:before="100" w:after="100"/>
              <w:ind w:left="-72"/>
              <w:jc w:val="right"/>
              <w:rPr>
                <w:color w:val="000000"/>
                <w:sz w:val="20"/>
                <w:lang w:val="sv-SE"/>
              </w:rPr>
            </w:pPr>
            <w:r w:rsidRPr="00800D1B">
              <w:rPr>
                <w:color w:val="000000"/>
                <w:sz w:val="20"/>
                <w:lang w:val="sv-SE"/>
              </w:rPr>
              <w:t>6 612 742,00</w:t>
            </w:r>
          </w:p>
        </w:tc>
      </w:tr>
      <w:tr w:rsidR="003422DB" w:rsidRPr="00800D1B" w14:paraId="2D0661D6" w14:textId="77777777" w:rsidTr="00B76590">
        <w:tc>
          <w:tcPr>
            <w:tcW w:w="0" w:type="auto"/>
          </w:tcPr>
          <w:p w14:paraId="2D0661D0" w14:textId="77777777" w:rsidR="00A77B3E" w:rsidRPr="00800D1B" w:rsidRDefault="00623E14" w:rsidP="00B76590">
            <w:pPr>
              <w:spacing w:before="100" w:after="100"/>
              <w:ind w:left="-72"/>
              <w:rPr>
                <w:color w:val="000000"/>
                <w:sz w:val="20"/>
                <w:lang w:val="sv-SE"/>
              </w:rPr>
            </w:pPr>
            <w:r w:rsidRPr="00800D1B">
              <w:rPr>
                <w:color w:val="000000"/>
                <w:sz w:val="20"/>
                <w:lang w:val="sv-SE"/>
              </w:rPr>
              <w:t>4</w:t>
            </w:r>
          </w:p>
        </w:tc>
        <w:tc>
          <w:tcPr>
            <w:tcW w:w="0" w:type="auto"/>
          </w:tcPr>
          <w:p w14:paraId="2D0661D1" w14:textId="77777777" w:rsidR="00A77B3E" w:rsidRPr="00800D1B" w:rsidRDefault="00623E14" w:rsidP="00B76590">
            <w:pPr>
              <w:spacing w:before="100" w:after="100"/>
              <w:ind w:left="-72"/>
              <w:rPr>
                <w:color w:val="000000"/>
                <w:sz w:val="20"/>
                <w:lang w:val="sv-SE"/>
              </w:rPr>
            </w:pPr>
            <w:r w:rsidRPr="00800D1B">
              <w:rPr>
                <w:color w:val="000000"/>
                <w:sz w:val="20"/>
                <w:lang w:val="sv-SE"/>
              </w:rPr>
              <w:t>RSO2.3</w:t>
            </w:r>
          </w:p>
        </w:tc>
        <w:tc>
          <w:tcPr>
            <w:tcW w:w="0" w:type="auto"/>
          </w:tcPr>
          <w:p w14:paraId="2D0661D2" w14:textId="77777777" w:rsidR="00A77B3E" w:rsidRPr="00800D1B" w:rsidRDefault="00623E14" w:rsidP="00B76590">
            <w:pPr>
              <w:spacing w:before="100" w:after="100"/>
              <w:ind w:left="-72"/>
              <w:rPr>
                <w:color w:val="000000"/>
                <w:sz w:val="20"/>
                <w:lang w:val="sv-SE"/>
              </w:rPr>
            </w:pPr>
            <w:r w:rsidRPr="00800D1B">
              <w:rPr>
                <w:color w:val="000000"/>
                <w:sz w:val="20"/>
                <w:lang w:val="sv-SE"/>
              </w:rPr>
              <w:t>Totalt</w:t>
            </w:r>
          </w:p>
        </w:tc>
        <w:tc>
          <w:tcPr>
            <w:tcW w:w="0" w:type="auto"/>
          </w:tcPr>
          <w:p w14:paraId="2D0661D3" w14:textId="77777777" w:rsidR="00A77B3E" w:rsidRPr="00800D1B" w:rsidRDefault="00A77B3E" w:rsidP="00B76590">
            <w:pPr>
              <w:spacing w:before="100" w:after="100"/>
              <w:ind w:left="-72"/>
              <w:rPr>
                <w:color w:val="000000"/>
                <w:sz w:val="20"/>
                <w:lang w:val="sv-SE"/>
              </w:rPr>
            </w:pPr>
          </w:p>
        </w:tc>
        <w:tc>
          <w:tcPr>
            <w:tcW w:w="0" w:type="auto"/>
          </w:tcPr>
          <w:p w14:paraId="2D0661D4" w14:textId="77777777" w:rsidR="00A77B3E" w:rsidRPr="00800D1B" w:rsidRDefault="00A77B3E" w:rsidP="00B76590">
            <w:pPr>
              <w:spacing w:before="100" w:after="100"/>
              <w:ind w:left="-72"/>
              <w:rPr>
                <w:color w:val="000000"/>
                <w:sz w:val="20"/>
                <w:lang w:val="sv-SE"/>
              </w:rPr>
            </w:pPr>
          </w:p>
        </w:tc>
        <w:tc>
          <w:tcPr>
            <w:tcW w:w="0" w:type="auto"/>
          </w:tcPr>
          <w:p w14:paraId="2D0661D5" w14:textId="77777777" w:rsidR="00A77B3E" w:rsidRPr="00800D1B" w:rsidRDefault="00623E14" w:rsidP="00B76590">
            <w:pPr>
              <w:spacing w:before="100" w:after="100"/>
              <w:ind w:left="-72"/>
              <w:jc w:val="right"/>
              <w:rPr>
                <w:color w:val="000000"/>
                <w:sz w:val="20"/>
                <w:lang w:val="sv-SE"/>
              </w:rPr>
            </w:pPr>
            <w:r w:rsidRPr="00800D1B">
              <w:rPr>
                <w:color w:val="000000"/>
                <w:sz w:val="20"/>
                <w:lang w:val="sv-SE"/>
              </w:rPr>
              <w:t>6 612 742,00</w:t>
            </w:r>
          </w:p>
        </w:tc>
      </w:tr>
    </w:tbl>
    <w:p w14:paraId="2D0661D8" w14:textId="0D729112" w:rsidR="00A77B3E" w:rsidRPr="00800D1B" w:rsidRDefault="00623E14" w:rsidP="00431BFA">
      <w:pPr>
        <w:spacing w:before="300" w:after="100"/>
        <w:rPr>
          <w:lang w:val="sv-SE"/>
        </w:rPr>
      </w:pPr>
      <w:bookmarkStart w:id="124" w:name="_Toc256000365"/>
      <w:r w:rsidRPr="00800D1B">
        <w:rPr>
          <w:lang w:val="sv-SE"/>
        </w:rPr>
        <w:t>Tabell 6: Dimension 3 – territoriell genomförandemetod och territoriellt fokus</w:t>
      </w:r>
      <w:bookmarkEnd w:id="124"/>
    </w:p>
    <w:tbl>
      <w:tblPr>
        <w:tblStyle w:val="Tabellrutnt"/>
        <w:tblW w:w="5000" w:type="pct"/>
        <w:tblLook w:val="04A0" w:firstRow="1" w:lastRow="0" w:firstColumn="1" w:lastColumn="0" w:noHBand="0" w:noVBand="1"/>
        <w:tblDescription w:val="En tabell med sex kolumner: Prioritering; Specifikt mål; Fond; Regionkategori; Kod; Belopp (euro). Tabellen visar information om territoriell genomförandemetod och territoriellt fokus."/>
      </w:tblPr>
      <w:tblGrid>
        <w:gridCol w:w="1572"/>
        <w:gridCol w:w="1772"/>
        <w:gridCol w:w="972"/>
        <w:gridCol w:w="2975"/>
        <w:gridCol w:w="6049"/>
        <w:gridCol w:w="1832"/>
      </w:tblGrid>
      <w:tr w:rsidR="003422DB" w:rsidRPr="00800D1B" w14:paraId="2D0661E0" w14:textId="77777777" w:rsidTr="00B76590">
        <w:tc>
          <w:tcPr>
            <w:tcW w:w="0" w:type="auto"/>
          </w:tcPr>
          <w:p w14:paraId="2D0661DA" w14:textId="77777777" w:rsidR="00A77B3E" w:rsidRPr="00800D1B" w:rsidRDefault="00623E14" w:rsidP="00B76590">
            <w:pPr>
              <w:spacing w:before="100" w:after="100"/>
              <w:ind w:left="-72"/>
              <w:jc w:val="center"/>
              <w:rPr>
                <w:color w:val="000000"/>
                <w:sz w:val="20"/>
                <w:lang w:val="sv-SE"/>
              </w:rPr>
            </w:pPr>
            <w:r w:rsidRPr="00800D1B">
              <w:rPr>
                <w:color w:val="000000"/>
                <w:sz w:val="20"/>
                <w:lang w:val="sv-SE"/>
              </w:rPr>
              <w:t>Prioritering</w:t>
            </w:r>
          </w:p>
        </w:tc>
        <w:tc>
          <w:tcPr>
            <w:tcW w:w="0" w:type="auto"/>
          </w:tcPr>
          <w:p w14:paraId="2D0661DB" w14:textId="77777777" w:rsidR="00A77B3E" w:rsidRPr="00800D1B" w:rsidRDefault="00623E14" w:rsidP="00B76590">
            <w:pPr>
              <w:spacing w:before="100" w:after="100"/>
              <w:ind w:left="-72"/>
              <w:jc w:val="center"/>
              <w:rPr>
                <w:color w:val="000000"/>
                <w:sz w:val="20"/>
                <w:lang w:val="sv-SE"/>
              </w:rPr>
            </w:pPr>
            <w:r w:rsidRPr="00800D1B">
              <w:rPr>
                <w:color w:val="000000"/>
                <w:sz w:val="20"/>
                <w:lang w:val="sv-SE"/>
              </w:rPr>
              <w:t>Specifikt mål</w:t>
            </w:r>
          </w:p>
        </w:tc>
        <w:tc>
          <w:tcPr>
            <w:tcW w:w="0" w:type="auto"/>
          </w:tcPr>
          <w:p w14:paraId="2D0661DC" w14:textId="77777777" w:rsidR="00A77B3E" w:rsidRPr="00800D1B" w:rsidRDefault="00623E14" w:rsidP="00B76590">
            <w:pPr>
              <w:spacing w:before="100" w:after="100"/>
              <w:ind w:left="-72"/>
              <w:jc w:val="center"/>
              <w:rPr>
                <w:color w:val="000000"/>
                <w:sz w:val="20"/>
                <w:lang w:val="sv-SE"/>
              </w:rPr>
            </w:pPr>
            <w:r w:rsidRPr="00800D1B">
              <w:rPr>
                <w:color w:val="000000"/>
                <w:sz w:val="20"/>
                <w:lang w:val="sv-SE"/>
              </w:rPr>
              <w:t>Fond</w:t>
            </w:r>
          </w:p>
        </w:tc>
        <w:tc>
          <w:tcPr>
            <w:tcW w:w="0" w:type="auto"/>
          </w:tcPr>
          <w:p w14:paraId="2D0661DD" w14:textId="77777777" w:rsidR="00A77B3E" w:rsidRPr="00800D1B" w:rsidRDefault="00623E14" w:rsidP="00B76590">
            <w:pPr>
              <w:spacing w:before="100" w:after="100"/>
              <w:ind w:left="-72"/>
              <w:jc w:val="center"/>
              <w:rPr>
                <w:color w:val="000000"/>
                <w:sz w:val="20"/>
                <w:lang w:val="sv-SE"/>
              </w:rPr>
            </w:pPr>
            <w:r w:rsidRPr="00800D1B">
              <w:rPr>
                <w:color w:val="000000"/>
                <w:sz w:val="20"/>
                <w:lang w:val="sv-SE"/>
              </w:rPr>
              <w:t>Regionkategori</w:t>
            </w:r>
          </w:p>
        </w:tc>
        <w:tc>
          <w:tcPr>
            <w:tcW w:w="0" w:type="auto"/>
          </w:tcPr>
          <w:p w14:paraId="2D0661DE" w14:textId="77777777" w:rsidR="00A77B3E" w:rsidRPr="00800D1B" w:rsidRDefault="00623E14" w:rsidP="00B76590">
            <w:pPr>
              <w:spacing w:before="100" w:after="100"/>
              <w:ind w:left="-72"/>
              <w:jc w:val="center"/>
              <w:rPr>
                <w:color w:val="000000"/>
                <w:sz w:val="20"/>
                <w:lang w:val="sv-SE"/>
              </w:rPr>
            </w:pPr>
            <w:r w:rsidRPr="00800D1B">
              <w:rPr>
                <w:color w:val="000000"/>
                <w:sz w:val="20"/>
                <w:lang w:val="sv-SE"/>
              </w:rPr>
              <w:t>Kod</w:t>
            </w:r>
          </w:p>
        </w:tc>
        <w:tc>
          <w:tcPr>
            <w:tcW w:w="0" w:type="auto"/>
          </w:tcPr>
          <w:p w14:paraId="2D0661DF" w14:textId="77777777" w:rsidR="00A77B3E" w:rsidRPr="00800D1B" w:rsidRDefault="00623E14" w:rsidP="00B76590">
            <w:pPr>
              <w:spacing w:before="100" w:after="100"/>
              <w:ind w:left="-72"/>
              <w:jc w:val="center"/>
              <w:rPr>
                <w:color w:val="000000"/>
                <w:sz w:val="20"/>
                <w:lang w:val="sv-SE"/>
              </w:rPr>
            </w:pPr>
            <w:r w:rsidRPr="00800D1B">
              <w:rPr>
                <w:color w:val="000000"/>
                <w:sz w:val="20"/>
                <w:lang w:val="sv-SE"/>
              </w:rPr>
              <w:t>Belopp (euro)</w:t>
            </w:r>
          </w:p>
        </w:tc>
      </w:tr>
      <w:tr w:rsidR="003422DB" w:rsidRPr="00800D1B" w14:paraId="2D0661E7" w14:textId="77777777" w:rsidTr="00B76590">
        <w:tc>
          <w:tcPr>
            <w:tcW w:w="0" w:type="auto"/>
          </w:tcPr>
          <w:p w14:paraId="2D0661E1" w14:textId="77777777" w:rsidR="00A77B3E" w:rsidRPr="00800D1B" w:rsidRDefault="00623E14" w:rsidP="00B76590">
            <w:pPr>
              <w:spacing w:before="100" w:after="100"/>
              <w:ind w:left="-72"/>
              <w:rPr>
                <w:color w:val="000000"/>
                <w:sz w:val="20"/>
                <w:lang w:val="sv-SE"/>
              </w:rPr>
            </w:pPr>
            <w:r w:rsidRPr="00800D1B">
              <w:rPr>
                <w:color w:val="000000"/>
                <w:sz w:val="20"/>
                <w:lang w:val="sv-SE"/>
              </w:rPr>
              <w:t>4</w:t>
            </w:r>
          </w:p>
        </w:tc>
        <w:tc>
          <w:tcPr>
            <w:tcW w:w="0" w:type="auto"/>
          </w:tcPr>
          <w:p w14:paraId="2D0661E2" w14:textId="77777777" w:rsidR="00A77B3E" w:rsidRPr="00800D1B" w:rsidRDefault="00623E14" w:rsidP="00B76590">
            <w:pPr>
              <w:spacing w:before="100" w:after="100"/>
              <w:ind w:left="-72"/>
              <w:rPr>
                <w:color w:val="000000"/>
                <w:sz w:val="20"/>
                <w:lang w:val="sv-SE"/>
              </w:rPr>
            </w:pPr>
            <w:r w:rsidRPr="00800D1B">
              <w:rPr>
                <w:color w:val="000000"/>
                <w:sz w:val="20"/>
                <w:lang w:val="sv-SE"/>
              </w:rPr>
              <w:t>RSO2.3</w:t>
            </w:r>
          </w:p>
        </w:tc>
        <w:tc>
          <w:tcPr>
            <w:tcW w:w="0" w:type="auto"/>
          </w:tcPr>
          <w:p w14:paraId="2D0661E3" w14:textId="77777777" w:rsidR="00A77B3E" w:rsidRPr="00800D1B" w:rsidRDefault="00623E14" w:rsidP="00B76590">
            <w:pPr>
              <w:spacing w:before="100" w:after="100"/>
              <w:ind w:left="-72"/>
              <w:rPr>
                <w:color w:val="000000"/>
                <w:sz w:val="20"/>
                <w:lang w:val="sv-SE"/>
              </w:rPr>
            </w:pPr>
            <w:r w:rsidRPr="00800D1B">
              <w:rPr>
                <w:color w:val="000000"/>
                <w:sz w:val="20"/>
                <w:lang w:val="sv-SE"/>
              </w:rPr>
              <w:t>Eruf</w:t>
            </w:r>
          </w:p>
        </w:tc>
        <w:tc>
          <w:tcPr>
            <w:tcW w:w="0" w:type="auto"/>
          </w:tcPr>
          <w:p w14:paraId="2D0661E4" w14:textId="77777777" w:rsidR="00A77B3E" w:rsidRPr="00800D1B" w:rsidRDefault="00623E14" w:rsidP="00B76590">
            <w:pPr>
              <w:spacing w:before="100" w:after="100"/>
              <w:ind w:left="-72"/>
              <w:rPr>
                <w:color w:val="000000"/>
                <w:sz w:val="20"/>
                <w:lang w:val="sv-SE"/>
              </w:rPr>
            </w:pPr>
            <w:r w:rsidRPr="00800D1B">
              <w:rPr>
                <w:color w:val="000000"/>
                <w:sz w:val="20"/>
                <w:lang w:val="sv-SE"/>
              </w:rPr>
              <w:t>Mer utvecklade regioner</w:t>
            </w:r>
          </w:p>
        </w:tc>
        <w:tc>
          <w:tcPr>
            <w:tcW w:w="0" w:type="auto"/>
          </w:tcPr>
          <w:p w14:paraId="2D0661E5" w14:textId="77777777" w:rsidR="00A77B3E" w:rsidRPr="00800D1B" w:rsidRDefault="00623E14" w:rsidP="00B76590">
            <w:pPr>
              <w:spacing w:before="100" w:after="100"/>
              <w:ind w:left="-72"/>
              <w:rPr>
                <w:color w:val="000000"/>
                <w:sz w:val="20"/>
                <w:lang w:val="sv-SE"/>
              </w:rPr>
            </w:pPr>
            <w:r w:rsidRPr="00800D1B">
              <w:rPr>
                <w:color w:val="000000"/>
                <w:sz w:val="20"/>
                <w:lang w:val="sv-SE"/>
              </w:rPr>
              <w:t>33. Andra strategier – Ingen territoriell målinriktning</w:t>
            </w:r>
          </w:p>
        </w:tc>
        <w:tc>
          <w:tcPr>
            <w:tcW w:w="0" w:type="auto"/>
          </w:tcPr>
          <w:p w14:paraId="2D0661E6" w14:textId="77777777" w:rsidR="00A77B3E" w:rsidRPr="00800D1B" w:rsidRDefault="00623E14" w:rsidP="00B76590">
            <w:pPr>
              <w:spacing w:before="100" w:after="100"/>
              <w:ind w:left="-72"/>
              <w:jc w:val="right"/>
              <w:rPr>
                <w:color w:val="000000"/>
                <w:sz w:val="20"/>
                <w:lang w:val="sv-SE"/>
              </w:rPr>
            </w:pPr>
            <w:r w:rsidRPr="00800D1B">
              <w:rPr>
                <w:color w:val="000000"/>
                <w:sz w:val="20"/>
                <w:lang w:val="sv-SE"/>
              </w:rPr>
              <w:t>6 612 742,00</w:t>
            </w:r>
          </w:p>
        </w:tc>
      </w:tr>
      <w:tr w:rsidR="003422DB" w:rsidRPr="00800D1B" w14:paraId="2D0661EE" w14:textId="77777777" w:rsidTr="00B76590">
        <w:tc>
          <w:tcPr>
            <w:tcW w:w="0" w:type="auto"/>
          </w:tcPr>
          <w:p w14:paraId="2D0661E8" w14:textId="77777777" w:rsidR="00A77B3E" w:rsidRPr="00800D1B" w:rsidRDefault="00623E14" w:rsidP="00B76590">
            <w:pPr>
              <w:spacing w:before="100" w:after="100"/>
              <w:ind w:left="-72"/>
              <w:rPr>
                <w:color w:val="000000"/>
                <w:sz w:val="20"/>
                <w:lang w:val="sv-SE"/>
              </w:rPr>
            </w:pPr>
            <w:r w:rsidRPr="00800D1B">
              <w:rPr>
                <w:color w:val="000000"/>
                <w:sz w:val="20"/>
                <w:lang w:val="sv-SE"/>
              </w:rPr>
              <w:t>4</w:t>
            </w:r>
          </w:p>
        </w:tc>
        <w:tc>
          <w:tcPr>
            <w:tcW w:w="0" w:type="auto"/>
          </w:tcPr>
          <w:p w14:paraId="2D0661E9" w14:textId="77777777" w:rsidR="00A77B3E" w:rsidRPr="00800D1B" w:rsidRDefault="00623E14" w:rsidP="00B76590">
            <w:pPr>
              <w:spacing w:before="100" w:after="100"/>
              <w:ind w:left="-72"/>
              <w:rPr>
                <w:color w:val="000000"/>
                <w:sz w:val="20"/>
                <w:lang w:val="sv-SE"/>
              </w:rPr>
            </w:pPr>
            <w:r w:rsidRPr="00800D1B">
              <w:rPr>
                <w:color w:val="000000"/>
                <w:sz w:val="20"/>
                <w:lang w:val="sv-SE"/>
              </w:rPr>
              <w:t>RSO2.3</w:t>
            </w:r>
          </w:p>
        </w:tc>
        <w:tc>
          <w:tcPr>
            <w:tcW w:w="0" w:type="auto"/>
          </w:tcPr>
          <w:p w14:paraId="2D0661EA" w14:textId="77777777" w:rsidR="00A77B3E" w:rsidRPr="00800D1B" w:rsidRDefault="00623E14" w:rsidP="00B76590">
            <w:pPr>
              <w:spacing w:before="100" w:after="100"/>
              <w:ind w:left="-72"/>
              <w:rPr>
                <w:color w:val="000000"/>
                <w:sz w:val="20"/>
                <w:lang w:val="sv-SE"/>
              </w:rPr>
            </w:pPr>
            <w:r w:rsidRPr="00800D1B">
              <w:rPr>
                <w:color w:val="000000"/>
                <w:sz w:val="20"/>
                <w:lang w:val="sv-SE"/>
              </w:rPr>
              <w:t>Totalt</w:t>
            </w:r>
          </w:p>
        </w:tc>
        <w:tc>
          <w:tcPr>
            <w:tcW w:w="0" w:type="auto"/>
          </w:tcPr>
          <w:p w14:paraId="2D0661EB" w14:textId="77777777" w:rsidR="00A77B3E" w:rsidRPr="00800D1B" w:rsidRDefault="00A77B3E" w:rsidP="00B76590">
            <w:pPr>
              <w:spacing w:before="100" w:after="100"/>
              <w:ind w:left="-72"/>
              <w:rPr>
                <w:color w:val="000000"/>
                <w:sz w:val="20"/>
                <w:lang w:val="sv-SE"/>
              </w:rPr>
            </w:pPr>
          </w:p>
        </w:tc>
        <w:tc>
          <w:tcPr>
            <w:tcW w:w="0" w:type="auto"/>
          </w:tcPr>
          <w:p w14:paraId="2D0661EC" w14:textId="77777777" w:rsidR="00A77B3E" w:rsidRPr="00800D1B" w:rsidRDefault="00A77B3E" w:rsidP="00B76590">
            <w:pPr>
              <w:spacing w:before="100" w:after="100"/>
              <w:ind w:left="-72"/>
              <w:rPr>
                <w:color w:val="000000"/>
                <w:sz w:val="20"/>
                <w:lang w:val="sv-SE"/>
              </w:rPr>
            </w:pPr>
          </w:p>
        </w:tc>
        <w:tc>
          <w:tcPr>
            <w:tcW w:w="0" w:type="auto"/>
          </w:tcPr>
          <w:p w14:paraId="2D0661ED" w14:textId="77777777" w:rsidR="00A77B3E" w:rsidRPr="00800D1B" w:rsidRDefault="00623E14" w:rsidP="00B76590">
            <w:pPr>
              <w:spacing w:before="100" w:after="100"/>
              <w:ind w:left="-72"/>
              <w:jc w:val="right"/>
              <w:rPr>
                <w:color w:val="000000"/>
                <w:sz w:val="20"/>
                <w:lang w:val="sv-SE"/>
              </w:rPr>
            </w:pPr>
            <w:r w:rsidRPr="00800D1B">
              <w:rPr>
                <w:color w:val="000000"/>
                <w:sz w:val="20"/>
                <w:lang w:val="sv-SE"/>
              </w:rPr>
              <w:t>6 612 742,00</w:t>
            </w:r>
          </w:p>
        </w:tc>
      </w:tr>
    </w:tbl>
    <w:p w14:paraId="2D0661F0" w14:textId="6459D602" w:rsidR="00A77B3E" w:rsidRPr="00800D1B" w:rsidRDefault="00623E14" w:rsidP="00431BFA">
      <w:pPr>
        <w:spacing w:before="300" w:after="100"/>
        <w:rPr>
          <w:lang w:val="sv-SE"/>
        </w:rPr>
      </w:pPr>
      <w:bookmarkStart w:id="125" w:name="_Toc256000366"/>
      <w:r w:rsidRPr="00800D1B">
        <w:rPr>
          <w:lang w:val="sv-SE"/>
        </w:rPr>
        <w:t>Tabell 7: Dimension 6 – ESF+-sekundärteman</w:t>
      </w:r>
      <w:bookmarkEnd w:id="125"/>
    </w:p>
    <w:tbl>
      <w:tblPr>
        <w:tblStyle w:val="Tabellrutnt"/>
        <w:tblW w:w="5000" w:type="pct"/>
        <w:tblLook w:val="04A0" w:firstRow="1" w:lastRow="0" w:firstColumn="1" w:lastColumn="0" w:noHBand="0" w:noVBand="1"/>
        <w:tblDescription w:val="En tabell med sex kolumner: Prioritering; Specifikt mål; Fond; Regionkategori; Kod; Belopp (euro). Tabellen visar information om ESF+-sekundärteman."/>
      </w:tblPr>
      <w:tblGrid>
        <w:gridCol w:w="2696"/>
        <w:gridCol w:w="3040"/>
        <w:gridCol w:w="1516"/>
        <w:gridCol w:w="3415"/>
        <w:gridCol w:w="1361"/>
        <w:gridCol w:w="3144"/>
      </w:tblGrid>
      <w:tr w:rsidR="003422DB" w:rsidRPr="00800D1B" w14:paraId="2D0661F8" w14:textId="77777777" w:rsidTr="00B76590">
        <w:tc>
          <w:tcPr>
            <w:tcW w:w="0" w:type="auto"/>
          </w:tcPr>
          <w:p w14:paraId="2D0661F2" w14:textId="77777777" w:rsidR="00A77B3E" w:rsidRPr="00800D1B" w:rsidRDefault="00623E14" w:rsidP="0049057D">
            <w:pPr>
              <w:spacing w:before="100" w:after="100"/>
              <w:ind w:left="-72"/>
              <w:jc w:val="center"/>
              <w:rPr>
                <w:color w:val="000000"/>
                <w:sz w:val="20"/>
                <w:lang w:val="sv-SE"/>
              </w:rPr>
            </w:pPr>
            <w:r w:rsidRPr="00800D1B">
              <w:rPr>
                <w:color w:val="000000"/>
                <w:sz w:val="20"/>
                <w:lang w:val="sv-SE"/>
              </w:rPr>
              <w:t>Prioritering</w:t>
            </w:r>
          </w:p>
        </w:tc>
        <w:tc>
          <w:tcPr>
            <w:tcW w:w="0" w:type="auto"/>
          </w:tcPr>
          <w:p w14:paraId="2D0661F3" w14:textId="77777777" w:rsidR="00A77B3E" w:rsidRPr="00800D1B" w:rsidRDefault="00623E14" w:rsidP="0049057D">
            <w:pPr>
              <w:spacing w:before="100" w:after="100"/>
              <w:ind w:left="-72"/>
              <w:jc w:val="center"/>
              <w:rPr>
                <w:color w:val="000000"/>
                <w:sz w:val="20"/>
                <w:lang w:val="sv-SE"/>
              </w:rPr>
            </w:pPr>
            <w:r w:rsidRPr="00800D1B">
              <w:rPr>
                <w:color w:val="000000"/>
                <w:sz w:val="20"/>
                <w:lang w:val="sv-SE"/>
              </w:rPr>
              <w:t>Specifikt mål</w:t>
            </w:r>
          </w:p>
        </w:tc>
        <w:tc>
          <w:tcPr>
            <w:tcW w:w="0" w:type="auto"/>
          </w:tcPr>
          <w:p w14:paraId="2D0661F4" w14:textId="77777777" w:rsidR="00A77B3E" w:rsidRPr="00800D1B" w:rsidRDefault="00623E14" w:rsidP="0049057D">
            <w:pPr>
              <w:spacing w:before="100" w:after="100"/>
              <w:ind w:left="-72"/>
              <w:jc w:val="center"/>
              <w:rPr>
                <w:color w:val="000000"/>
                <w:sz w:val="20"/>
                <w:lang w:val="sv-SE"/>
              </w:rPr>
            </w:pPr>
            <w:r w:rsidRPr="00800D1B">
              <w:rPr>
                <w:color w:val="000000"/>
                <w:sz w:val="20"/>
                <w:lang w:val="sv-SE"/>
              </w:rPr>
              <w:t>Fond</w:t>
            </w:r>
          </w:p>
        </w:tc>
        <w:tc>
          <w:tcPr>
            <w:tcW w:w="0" w:type="auto"/>
          </w:tcPr>
          <w:p w14:paraId="2D0661F5" w14:textId="77777777" w:rsidR="00A77B3E" w:rsidRPr="00800D1B" w:rsidRDefault="00623E14" w:rsidP="0049057D">
            <w:pPr>
              <w:spacing w:before="100" w:after="100"/>
              <w:ind w:left="-72"/>
              <w:jc w:val="center"/>
              <w:rPr>
                <w:color w:val="000000"/>
                <w:sz w:val="20"/>
                <w:lang w:val="sv-SE"/>
              </w:rPr>
            </w:pPr>
            <w:r w:rsidRPr="00800D1B">
              <w:rPr>
                <w:color w:val="000000"/>
                <w:sz w:val="20"/>
                <w:lang w:val="sv-SE"/>
              </w:rPr>
              <w:t>Regionkategori</w:t>
            </w:r>
          </w:p>
        </w:tc>
        <w:tc>
          <w:tcPr>
            <w:tcW w:w="0" w:type="auto"/>
          </w:tcPr>
          <w:p w14:paraId="2D0661F6" w14:textId="77777777" w:rsidR="00A77B3E" w:rsidRPr="00800D1B" w:rsidRDefault="00623E14" w:rsidP="0049057D">
            <w:pPr>
              <w:spacing w:before="100" w:after="100"/>
              <w:ind w:left="-72"/>
              <w:jc w:val="center"/>
              <w:rPr>
                <w:color w:val="000000"/>
                <w:sz w:val="20"/>
                <w:lang w:val="sv-SE"/>
              </w:rPr>
            </w:pPr>
            <w:r w:rsidRPr="00800D1B">
              <w:rPr>
                <w:color w:val="000000"/>
                <w:sz w:val="20"/>
                <w:lang w:val="sv-SE"/>
              </w:rPr>
              <w:t>Kod</w:t>
            </w:r>
          </w:p>
        </w:tc>
        <w:tc>
          <w:tcPr>
            <w:tcW w:w="0" w:type="auto"/>
          </w:tcPr>
          <w:p w14:paraId="2D0661F7" w14:textId="77777777" w:rsidR="00A77B3E" w:rsidRPr="00800D1B" w:rsidRDefault="00623E14" w:rsidP="0049057D">
            <w:pPr>
              <w:spacing w:before="100" w:after="100"/>
              <w:ind w:left="-72"/>
              <w:jc w:val="center"/>
              <w:rPr>
                <w:color w:val="000000"/>
                <w:sz w:val="20"/>
                <w:lang w:val="sv-SE"/>
              </w:rPr>
            </w:pPr>
            <w:r w:rsidRPr="00800D1B">
              <w:rPr>
                <w:color w:val="000000"/>
                <w:sz w:val="20"/>
                <w:lang w:val="sv-SE"/>
              </w:rPr>
              <w:t>Belopp (euro)</w:t>
            </w:r>
          </w:p>
        </w:tc>
      </w:tr>
    </w:tbl>
    <w:p w14:paraId="2D0661FA" w14:textId="61E56C72" w:rsidR="00A77B3E" w:rsidRPr="00800D1B" w:rsidRDefault="00623E14" w:rsidP="00431BFA">
      <w:pPr>
        <w:spacing w:before="300" w:after="100"/>
        <w:rPr>
          <w:lang w:val="sv-SE"/>
        </w:rPr>
      </w:pPr>
      <w:bookmarkStart w:id="126" w:name="_Toc256000367"/>
      <w:r w:rsidRPr="00800D1B">
        <w:rPr>
          <w:lang w:val="sv-SE"/>
        </w:rPr>
        <w:t>Tabell 8: Dimension 7 – ESF+, Eruf, Sammanhållningsfonden och FRO, jämställdhetsdimensionen</w:t>
      </w:r>
      <w:bookmarkEnd w:id="126"/>
    </w:p>
    <w:tbl>
      <w:tblPr>
        <w:tblStyle w:val="Tabellrutnt"/>
        <w:tblW w:w="5000" w:type="pct"/>
        <w:tblLook w:val="04A0" w:firstRow="1" w:lastRow="0" w:firstColumn="1" w:lastColumn="0" w:noHBand="0" w:noVBand="1"/>
        <w:tblDescription w:val="En tabell med sex kolumner: Prioritering; Specifikt mål; Fond; Regionkategori; Kod; Belopp (euro). Tabellen visar information om ESF+, Eruf, Sammanhållningsfonden och FRO, jämställdhetsdimensionen."/>
      </w:tblPr>
      <w:tblGrid>
        <w:gridCol w:w="1909"/>
        <w:gridCol w:w="2152"/>
        <w:gridCol w:w="1181"/>
        <w:gridCol w:w="3615"/>
        <w:gridCol w:w="4089"/>
        <w:gridCol w:w="2226"/>
      </w:tblGrid>
      <w:tr w:rsidR="003422DB" w:rsidRPr="00800D1B" w14:paraId="2D066202" w14:textId="77777777" w:rsidTr="0049057D">
        <w:tc>
          <w:tcPr>
            <w:tcW w:w="0" w:type="auto"/>
          </w:tcPr>
          <w:p w14:paraId="2D0661FC" w14:textId="77777777" w:rsidR="00A77B3E" w:rsidRPr="00800D1B" w:rsidRDefault="00623E14" w:rsidP="0049057D">
            <w:pPr>
              <w:spacing w:before="100" w:after="100"/>
              <w:ind w:left="-72"/>
              <w:jc w:val="center"/>
              <w:rPr>
                <w:color w:val="000000"/>
                <w:sz w:val="20"/>
                <w:lang w:val="sv-SE"/>
              </w:rPr>
            </w:pPr>
            <w:r w:rsidRPr="00800D1B">
              <w:rPr>
                <w:color w:val="000000"/>
                <w:sz w:val="20"/>
                <w:lang w:val="sv-SE"/>
              </w:rPr>
              <w:t>Prioritering</w:t>
            </w:r>
          </w:p>
        </w:tc>
        <w:tc>
          <w:tcPr>
            <w:tcW w:w="0" w:type="auto"/>
          </w:tcPr>
          <w:p w14:paraId="2D0661FD" w14:textId="77777777" w:rsidR="00A77B3E" w:rsidRPr="00800D1B" w:rsidRDefault="00623E14" w:rsidP="0049057D">
            <w:pPr>
              <w:spacing w:before="100" w:after="100"/>
              <w:ind w:left="-72"/>
              <w:jc w:val="center"/>
              <w:rPr>
                <w:color w:val="000000"/>
                <w:sz w:val="20"/>
                <w:lang w:val="sv-SE"/>
              </w:rPr>
            </w:pPr>
            <w:r w:rsidRPr="00800D1B">
              <w:rPr>
                <w:color w:val="000000"/>
                <w:sz w:val="20"/>
                <w:lang w:val="sv-SE"/>
              </w:rPr>
              <w:t>Specifikt mål</w:t>
            </w:r>
          </w:p>
        </w:tc>
        <w:tc>
          <w:tcPr>
            <w:tcW w:w="0" w:type="auto"/>
          </w:tcPr>
          <w:p w14:paraId="2D0661FE" w14:textId="77777777" w:rsidR="00A77B3E" w:rsidRPr="00800D1B" w:rsidRDefault="00623E14" w:rsidP="0049057D">
            <w:pPr>
              <w:spacing w:before="100" w:after="100"/>
              <w:ind w:left="-72"/>
              <w:jc w:val="center"/>
              <w:rPr>
                <w:color w:val="000000"/>
                <w:sz w:val="20"/>
                <w:lang w:val="sv-SE"/>
              </w:rPr>
            </w:pPr>
            <w:r w:rsidRPr="00800D1B">
              <w:rPr>
                <w:color w:val="000000"/>
                <w:sz w:val="20"/>
                <w:lang w:val="sv-SE"/>
              </w:rPr>
              <w:t>Fond</w:t>
            </w:r>
          </w:p>
        </w:tc>
        <w:tc>
          <w:tcPr>
            <w:tcW w:w="0" w:type="auto"/>
          </w:tcPr>
          <w:p w14:paraId="2D0661FF" w14:textId="77777777" w:rsidR="00A77B3E" w:rsidRPr="00800D1B" w:rsidRDefault="00623E14" w:rsidP="0049057D">
            <w:pPr>
              <w:spacing w:before="100" w:after="100"/>
              <w:ind w:left="-72"/>
              <w:jc w:val="center"/>
              <w:rPr>
                <w:color w:val="000000"/>
                <w:sz w:val="20"/>
                <w:lang w:val="sv-SE"/>
              </w:rPr>
            </w:pPr>
            <w:r w:rsidRPr="00800D1B">
              <w:rPr>
                <w:color w:val="000000"/>
                <w:sz w:val="20"/>
                <w:lang w:val="sv-SE"/>
              </w:rPr>
              <w:t>Regionkategori</w:t>
            </w:r>
          </w:p>
        </w:tc>
        <w:tc>
          <w:tcPr>
            <w:tcW w:w="0" w:type="auto"/>
          </w:tcPr>
          <w:p w14:paraId="2D066200" w14:textId="77777777" w:rsidR="00A77B3E" w:rsidRPr="00800D1B" w:rsidRDefault="00623E14" w:rsidP="0049057D">
            <w:pPr>
              <w:spacing w:before="100" w:after="100"/>
              <w:ind w:left="-72"/>
              <w:jc w:val="center"/>
              <w:rPr>
                <w:color w:val="000000"/>
                <w:sz w:val="20"/>
                <w:lang w:val="sv-SE"/>
              </w:rPr>
            </w:pPr>
            <w:r w:rsidRPr="00800D1B">
              <w:rPr>
                <w:color w:val="000000"/>
                <w:sz w:val="20"/>
                <w:lang w:val="sv-SE"/>
              </w:rPr>
              <w:t>Kod</w:t>
            </w:r>
          </w:p>
        </w:tc>
        <w:tc>
          <w:tcPr>
            <w:tcW w:w="0" w:type="auto"/>
          </w:tcPr>
          <w:p w14:paraId="2D066201" w14:textId="77777777" w:rsidR="00A77B3E" w:rsidRPr="00800D1B" w:rsidRDefault="00623E14" w:rsidP="0049057D">
            <w:pPr>
              <w:spacing w:before="100" w:after="100"/>
              <w:ind w:left="-72"/>
              <w:jc w:val="center"/>
              <w:rPr>
                <w:color w:val="000000"/>
                <w:sz w:val="20"/>
                <w:lang w:val="sv-SE"/>
              </w:rPr>
            </w:pPr>
            <w:r w:rsidRPr="00800D1B">
              <w:rPr>
                <w:color w:val="000000"/>
                <w:sz w:val="20"/>
                <w:lang w:val="sv-SE"/>
              </w:rPr>
              <w:t>Belopp (euro)</w:t>
            </w:r>
          </w:p>
        </w:tc>
      </w:tr>
      <w:tr w:rsidR="003422DB" w:rsidRPr="00800D1B" w14:paraId="2D066209" w14:textId="77777777" w:rsidTr="0049057D">
        <w:tc>
          <w:tcPr>
            <w:tcW w:w="0" w:type="auto"/>
          </w:tcPr>
          <w:p w14:paraId="2D066203" w14:textId="77777777" w:rsidR="00A77B3E" w:rsidRPr="00800D1B" w:rsidRDefault="00623E14" w:rsidP="0049057D">
            <w:pPr>
              <w:spacing w:before="100" w:after="100"/>
              <w:ind w:left="-72"/>
              <w:rPr>
                <w:color w:val="000000"/>
                <w:sz w:val="20"/>
                <w:lang w:val="sv-SE"/>
              </w:rPr>
            </w:pPr>
            <w:r w:rsidRPr="00800D1B">
              <w:rPr>
                <w:color w:val="000000"/>
                <w:sz w:val="20"/>
                <w:lang w:val="sv-SE"/>
              </w:rPr>
              <w:t>4</w:t>
            </w:r>
          </w:p>
        </w:tc>
        <w:tc>
          <w:tcPr>
            <w:tcW w:w="0" w:type="auto"/>
          </w:tcPr>
          <w:p w14:paraId="2D066204" w14:textId="77777777" w:rsidR="00A77B3E" w:rsidRPr="00800D1B" w:rsidRDefault="00623E14" w:rsidP="0049057D">
            <w:pPr>
              <w:spacing w:before="100" w:after="100"/>
              <w:ind w:left="-72"/>
              <w:rPr>
                <w:color w:val="000000"/>
                <w:sz w:val="20"/>
                <w:lang w:val="sv-SE"/>
              </w:rPr>
            </w:pPr>
            <w:r w:rsidRPr="00800D1B">
              <w:rPr>
                <w:color w:val="000000"/>
                <w:sz w:val="20"/>
                <w:lang w:val="sv-SE"/>
              </w:rPr>
              <w:t>RSO2.3</w:t>
            </w:r>
          </w:p>
        </w:tc>
        <w:tc>
          <w:tcPr>
            <w:tcW w:w="0" w:type="auto"/>
          </w:tcPr>
          <w:p w14:paraId="2D066205" w14:textId="77777777" w:rsidR="00A77B3E" w:rsidRPr="00800D1B" w:rsidRDefault="00623E14" w:rsidP="0049057D">
            <w:pPr>
              <w:spacing w:before="100" w:after="100"/>
              <w:ind w:left="-72"/>
              <w:rPr>
                <w:color w:val="000000"/>
                <w:sz w:val="20"/>
                <w:lang w:val="sv-SE"/>
              </w:rPr>
            </w:pPr>
            <w:r w:rsidRPr="00800D1B">
              <w:rPr>
                <w:color w:val="000000"/>
                <w:sz w:val="20"/>
                <w:lang w:val="sv-SE"/>
              </w:rPr>
              <w:t>Eruf</w:t>
            </w:r>
          </w:p>
        </w:tc>
        <w:tc>
          <w:tcPr>
            <w:tcW w:w="0" w:type="auto"/>
          </w:tcPr>
          <w:p w14:paraId="2D066206" w14:textId="77777777" w:rsidR="00A77B3E" w:rsidRPr="00800D1B" w:rsidRDefault="00623E14" w:rsidP="0049057D">
            <w:pPr>
              <w:spacing w:before="100" w:after="100"/>
              <w:ind w:left="-72"/>
              <w:rPr>
                <w:color w:val="000000"/>
                <w:sz w:val="20"/>
                <w:lang w:val="sv-SE"/>
              </w:rPr>
            </w:pPr>
            <w:r w:rsidRPr="00800D1B">
              <w:rPr>
                <w:color w:val="000000"/>
                <w:sz w:val="20"/>
                <w:lang w:val="sv-SE"/>
              </w:rPr>
              <w:t>Mer utvecklade regioner</w:t>
            </w:r>
          </w:p>
        </w:tc>
        <w:tc>
          <w:tcPr>
            <w:tcW w:w="0" w:type="auto"/>
          </w:tcPr>
          <w:p w14:paraId="2D066207" w14:textId="77777777" w:rsidR="00A77B3E" w:rsidRPr="00800D1B" w:rsidRDefault="00623E14" w:rsidP="0049057D">
            <w:pPr>
              <w:spacing w:before="100" w:after="100"/>
              <w:ind w:left="-72"/>
              <w:rPr>
                <w:color w:val="000000"/>
                <w:sz w:val="20"/>
                <w:lang w:val="sv-SE"/>
              </w:rPr>
            </w:pPr>
            <w:r w:rsidRPr="00800D1B">
              <w:rPr>
                <w:color w:val="000000"/>
                <w:sz w:val="20"/>
                <w:lang w:val="sv-SE"/>
              </w:rPr>
              <w:t>02. Jämställdhetsintegrering</w:t>
            </w:r>
          </w:p>
        </w:tc>
        <w:tc>
          <w:tcPr>
            <w:tcW w:w="0" w:type="auto"/>
          </w:tcPr>
          <w:p w14:paraId="2D066208" w14:textId="77777777" w:rsidR="00A77B3E" w:rsidRPr="00800D1B" w:rsidRDefault="00623E14" w:rsidP="0049057D">
            <w:pPr>
              <w:spacing w:before="100" w:after="100"/>
              <w:ind w:left="-72"/>
              <w:jc w:val="right"/>
              <w:rPr>
                <w:color w:val="000000"/>
                <w:sz w:val="20"/>
                <w:lang w:val="sv-SE"/>
              </w:rPr>
            </w:pPr>
            <w:r w:rsidRPr="00800D1B">
              <w:rPr>
                <w:color w:val="000000"/>
                <w:sz w:val="20"/>
                <w:lang w:val="sv-SE"/>
              </w:rPr>
              <w:t>2 645 097,00</w:t>
            </w:r>
          </w:p>
        </w:tc>
      </w:tr>
      <w:tr w:rsidR="003422DB" w:rsidRPr="00800D1B" w14:paraId="2D066210" w14:textId="77777777" w:rsidTr="0049057D">
        <w:tc>
          <w:tcPr>
            <w:tcW w:w="0" w:type="auto"/>
          </w:tcPr>
          <w:p w14:paraId="2D06620A" w14:textId="77777777" w:rsidR="00A77B3E" w:rsidRPr="00800D1B" w:rsidRDefault="00623E14" w:rsidP="0049057D">
            <w:pPr>
              <w:spacing w:before="100" w:after="100"/>
              <w:ind w:left="-72"/>
              <w:rPr>
                <w:color w:val="000000"/>
                <w:sz w:val="20"/>
                <w:lang w:val="sv-SE"/>
              </w:rPr>
            </w:pPr>
            <w:r w:rsidRPr="00800D1B">
              <w:rPr>
                <w:color w:val="000000"/>
                <w:sz w:val="20"/>
                <w:lang w:val="sv-SE"/>
              </w:rPr>
              <w:t>4</w:t>
            </w:r>
          </w:p>
        </w:tc>
        <w:tc>
          <w:tcPr>
            <w:tcW w:w="0" w:type="auto"/>
          </w:tcPr>
          <w:p w14:paraId="2D06620B" w14:textId="77777777" w:rsidR="00A77B3E" w:rsidRPr="00800D1B" w:rsidRDefault="00623E14" w:rsidP="0049057D">
            <w:pPr>
              <w:spacing w:before="100" w:after="100"/>
              <w:ind w:left="-72"/>
              <w:rPr>
                <w:color w:val="000000"/>
                <w:sz w:val="20"/>
                <w:lang w:val="sv-SE"/>
              </w:rPr>
            </w:pPr>
            <w:r w:rsidRPr="00800D1B">
              <w:rPr>
                <w:color w:val="000000"/>
                <w:sz w:val="20"/>
                <w:lang w:val="sv-SE"/>
              </w:rPr>
              <w:t>RSO2.3</w:t>
            </w:r>
          </w:p>
        </w:tc>
        <w:tc>
          <w:tcPr>
            <w:tcW w:w="0" w:type="auto"/>
          </w:tcPr>
          <w:p w14:paraId="2D06620C" w14:textId="77777777" w:rsidR="00A77B3E" w:rsidRPr="00800D1B" w:rsidRDefault="00623E14" w:rsidP="0049057D">
            <w:pPr>
              <w:spacing w:before="100" w:after="100"/>
              <w:ind w:left="-72"/>
              <w:rPr>
                <w:color w:val="000000"/>
                <w:sz w:val="20"/>
                <w:lang w:val="sv-SE"/>
              </w:rPr>
            </w:pPr>
            <w:r w:rsidRPr="00800D1B">
              <w:rPr>
                <w:color w:val="000000"/>
                <w:sz w:val="20"/>
                <w:lang w:val="sv-SE"/>
              </w:rPr>
              <w:t>Eruf</w:t>
            </w:r>
          </w:p>
        </w:tc>
        <w:tc>
          <w:tcPr>
            <w:tcW w:w="0" w:type="auto"/>
          </w:tcPr>
          <w:p w14:paraId="2D06620D" w14:textId="77777777" w:rsidR="00A77B3E" w:rsidRPr="00800D1B" w:rsidRDefault="00623E14" w:rsidP="0049057D">
            <w:pPr>
              <w:spacing w:before="100" w:after="100"/>
              <w:ind w:left="-72"/>
              <w:rPr>
                <w:color w:val="000000"/>
                <w:sz w:val="20"/>
                <w:lang w:val="sv-SE"/>
              </w:rPr>
            </w:pPr>
            <w:r w:rsidRPr="00800D1B">
              <w:rPr>
                <w:color w:val="000000"/>
                <w:sz w:val="20"/>
                <w:lang w:val="sv-SE"/>
              </w:rPr>
              <w:t>Mer utvecklade regioner</w:t>
            </w:r>
          </w:p>
        </w:tc>
        <w:tc>
          <w:tcPr>
            <w:tcW w:w="0" w:type="auto"/>
          </w:tcPr>
          <w:p w14:paraId="2D06620E" w14:textId="77777777" w:rsidR="00A77B3E" w:rsidRPr="00800D1B" w:rsidRDefault="00623E14" w:rsidP="0049057D">
            <w:pPr>
              <w:spacing w:before="100" w:after="100"/>
              <w:ind w:left="-72"/>
              <w:rPr>
                <w:color w:val="000000"/>
                <w:sz w:val="20"/>
                <w:lang w:val="sv-SE"/>
              </w:rPr>
            </w:pPr>
            <w:r w:rsidRPr="00800D1B">
              <w:rPr>
                <w:color w:val="000000"/>
                <w:sz w:val="20"/>
                <w:lang w:val="sv-SE"/>
              </w:rPr>
              <w:t>03. Könsneutralitet</w:t>
            </w:r>
          </w:p>
        </w:tc>
        <w:tc>
          <w:tcPr>
            <w:tcW w:w="0" w:type="auto"/>
          </w:tcPr>
          <w:p w14:paraId="2D06620F" w14:textId="77777777" w:rsidR="00A77B3E" w:rsidRPr="00800D1B" w:rsidRDefault="00623E14" w:rsidP="0049057D">
            <w:pPr>
              <w:spacing w:before="100" w:after="100"/>
              <w:ind w:left="-72"/>
              <w:jc w:val="right"/>
              <w:rPr>
                <w:color w:val="000000"/>
                <w:sz w:val="20"/>
                <w:lang w:val="sv-SE"/>
              </w:rPr>
            </w:pPr>
            <w:r w:rsidRPr="00800D1B">
              <w:rPr>
                <w:color w:val="000000"/>
                <w:sz w:val="20"/>
                <w:lang w:val="sv-SE"/>
              </w:rPr>
              <w:t>3 967 645,00</w:t>
            </w:r>
          </w:p>
        </w:tc>
      </w:tr>
      <w:tr w:rsidR="003422DB" w:rsidRPr="00800D1B" w14:paraId="2D066217" w14:textId="77777777" w:rsidTr="0049057D">
        <w:tc>
          <w:tcPr>
            <w:tcW w:w="0" w:type="auto"/>
          </w:tcPr>
          <w:p w14:paraId="2D066211" w14:textId="77777777" w:rsidR="00A77B3E" w:rsidRPr="00800D1B" w:rsidRDefault="00623E14" w:rsidP="0049057D">
            <w:pPr>
              <w:spacing w:before="100" w:after="100"/>
              <w:ind w:left="-72"/>
              <w:rPr>
                <w:color w:val="000000"/>
                <w:sz w:val="20"/>
                <w:lang w:val="sv-SE"/>
              </w:rPr>
            </w:pPr>
            <w:r w:rsidRPr="00800D1B">
              <w:rPr>
                <w:color w:val="000000"/>
                <w:sz w:val="20"/>
                <w:lang w:val="sv-SE"/>
              </w:rPr>
              <w:t>4</w:t>
            </w:r>
          </w:p>
        </w:tc>
        <w:tc>
          <w:tcPr>
            <w:tcW w:w="0" w:type="auto"/>
          </w:tcPr>
          <w:p w14:paraId="2D066212" w14:textId="77777777" w:rsidR="00A77B3E" w:rsidRPr="00800D1B" w:rsidRDefault="00623E14" w:rsidP="0049057D">
            <w:pPr>
              <w:spacing w:before="100" w:after="100"/>
              <w:ind w:left="-72"/>
              <w:rPr>
                <w:color w:val="000000"/>
                <w:sz w:val="20"/>
                <w:lang w:val="sv-SE"/>
              </w:rPr>
            </w:pPr>
            <w:r w:rsidRPr="00800D1B">
              <w:rPr>
                <w:color w:val="000000"/>
                <w:sz w:val="20"/>
                <w:lang w:val="sv-SE"/>
              </w:rPr>
              <w:t>RSO2.3</w:t>
            </w:r>
          </w:p>
        </w:tc>
        <w:tc>
          <w:tcPr>
            <w:tcW w:w="0" w:type="auto"/>
          </w:tcPr>
          <w:p w14:paraId="2D066213" w14:textId="77777777" w:rsidR="00A77B3E" w:rsidRPr="00800D1B" w:rsidRDefault="00623E14" w:rsidP="0049057D">
            <w:pPr>
              <w:spacing w:before="100" w:after="100"/>
              <w:ind w:left="-72"/>
              <w:rPr>
                <w:color w:val="000000"/>
                <w:sz w:val="20"/>
                <w:lang w:val="sv-SE"/>
              </w:rPr>
            </w:pPr>
            <w:r w:rsidRPr="00800D1B">
              <w:rPr>
                <w:color w:val="000000"/>
                <w:sz w:val="20"/>
                <w:lang w:val="sv-SE"/>
              </w:rPr>
              <w:t>Totalt</w:t>
            </w:r>
          </w:p>
        </w:tc>
        <w:tc>
          <w:tcPr>
            <w:tcW w:w="0" w:type="auto"/>
          </w:tcPr>
          <w:p w14:paraId="2D066214" w14:textId="77777777" w:rsidR="00A77B3E" w:rsidRPr="00800D1B" w:rsidRDefault="00A77B3E" w:rsidP="0049057D">
            <w:pPr>
              <w:spacing w:before="100" w:after="100"/>
              <w:ind w:left="-72"/>
              <w:rPr>
                <w:color w:val="000000"/>
                <w:sz w:val="20"/>
                <w:lang w:val="sv-SE"/>
              </w:rPr>
            </w:pPr>
          </w:p>
        </w:tc>
        <w:tc>
          <w:tcPr>
            <w:tcW w:w="0" w:type="auto"/>
          </w:tcPr>
          <w:p w14:paraId="2D066215" w14:textId="77777777" w:rsidR="00A77B3E" w:rsidRPr="00800D1B" w:rsidRDefault="00A77B3E" w:rsidP="0049057D">
            <w:pPr>
              <w:spacing w:before="100" w:after="100"/>
              <w:ind w:left="-72"/>
              <w:rPr>
                <w:color w:val="000000"/>
                <w:sz w:val="20"/>
                <w:lang w:val="sv-SE"/>
              </w:rPr>
            </w:pPr>
          </w:p>
        </w:tc>
        <w:tc>
          <w:tcPr>
            <w:tcW w:w="0" w:type="auto"/>
          </w:tcPr>
          <w:p w14:paraId="2D066216" w14:textId="77777777" w:rsidR="00A77B3E" w:rsidRPr="00800D1B" w:rsidRDefault="00623E14" w:rsidP="0049057D">
            <w:pPr>
              <w:spacing w:before="100" w:after="100"/>
              <w:ind w:left="-72"/>
              <w:jc w:val="right"/>
              <w:rPr>
                <w:color w:val="000000"/>
                <w:sz w:val="20"/>
                <w:lang w:val="sv-SE"/>
              </w:rPr>
            </w:pPr>
            <w:r w:rsidRPr="00800D1B">
              <w:rPr>
                <w:color w:val="000000"/>
                <w:sz w:val="20"/>
                <w:lang w:val="sv-SE"/>
              </w:rPr>
              <w:t>6 612 742,00</w:t>
            </w:r>
          </w:p>
        </w:tc>
      </w:tr>
    </w:tbl>
    <w:p w14:paraId="2D066218" w14:textId="0267E4AF" w:rsidR="00A77B3E" w:rsidRPr="00800D1B" w:rsidRDefault="00623E14">
      <w:pPr>
        <w:spacing w:before="100"/>
        <w:rPr>
          <w:color w:val="000000"/>
          <w:sz w:val="20"/>
          <w:lang w:val="sv-SE"/>
        </w:rPr>
      </w:pPr>
      <w:r w:rsidRPr="00800D1B">
        <w:rPr>
          <w:color w:val="000000"/>
          <w:sz w:val="20"/>
          <w:lang w:val="sv-SE"/>
        </w:rPr>
        <w:t>* För ESF+ bidrar i princip 40 % av ESF+-medlen till uppföljning av jämställdheten. 100 % är tillämpligt när medlemsstaten väljer att använda artikel 6 i ESF+</w:t>
      </w:r>
    </w:p>
    <w:p w14:paraId="5492BE46" w14:textId="77777777" w:rsidR="0049057D" w:rsidRPr="00800D1B" w:rsidRDefault="0049057D">
      <w:pPr>
        <w:spacing w:before="100"/>
        <w:rPr>
          <w:color w:val="000000"/>
          <w:sz w:val="20"/>
          <w:lang w:val="sv-SE"/>
        </w:rPr>
        <w:sectPr w:rsidR="0049057D" w:rsidRPr="00800D1B" w:rsidSect="0065165D">
          <w:pgSz w:w="16838" w:h="11906" w:orient="landscape" w:code="9"/>
          <w:pgMar w:top="720" w:right="720" w:bottom="864" w:left="936" w:header="288" w:footer="72" w:gutter="0"/>
          <w:cols w:space="720"/>
          <w:noEndnote/>
          <w:docGrid w:linePitch="360"/>
        </w:sectPr>
      </w:pPr>
    </w:p>
    <w:p w14:paraId="2D06621A" w14:textId="4805035A" w:rsidR="00A77B3E" w:rsidRPr="00800D1B" w:rsidRDefault="00623E14">
      <w:pPr>
        <w:pStyle w:val="Rubrik5"/>
        <w:numPr>
          <w:ilvl w:val="3"/>
          <w:numId w:val="92"/>
        </w:numPr>
        <w:spacing w:before="200"/>
        <w:ind w:left="0" w:firstLine="0"/>
      </w:pPr>
      <w:bookmarkStart w:id="127" w:name="_Toc256000368"/>
      <w:r w:rsidRPr="00800D1B">
        <w:t>Specifikt mål: RSO2.4. Främja klimatanpassning, förebyggande av katastrofrisker och motståndskraft, med beaktande av ekosystembaserade tillvägagångssätt (Eruf)</w:t>
      </w:r>
      <w:bookmarkEnd w:id="127"/>
    </w:p>
    <w:p w14:paraId="2D06621B" w14:textId="005BFDDD" w:rsidR="00A77B3E" w:rsidRPr="00800D1B" w:rsidRDefault="00623E14" w:rsidP="0049057D">
      <w:pPr>
        <w:pStyle w:val="Rubrik6"/>
        <w:numPr>
          <w:ilvl w:val="4"/>
          <w:numId w:val="30"/>
        </w:numPr>
        <w:spacing w:before="100"/>
        <w:ind w:left="360"/>
      </w:pPr>
      <w:bookmarkStart w:id="128" w:name="_Toc256000369"/>
      <w:r w:rsidRPr="00800D1B">
        <w:t>Interventioner inom ramen för fonderna</w:t>
      </w:r>
      <w:bookmarkEnd w:id="128"/>
    </w:p>
    <w:p w14:paraId="2D06621C" w14:textId="77777777" w:rsidR="00A77B3E" w:rsidRPr="00800D1B" w:rsidRDefault="00A77B3E">
      <w:pPr>
        <w:spacing w:before="100"/>
        <w:rPr>
          <w:color w:val="000000"/>
          <w:sz w:val="0"/>
          <w:lang w:val="sv-SE"/>
        </w:rPr>
      </w:pPr>
    </w:p>
    <w:p w14:paraId="2D06621D" w14:textId="77777777" w:rsidR="00A77B3E" w:rsidRPr="00800D1B" w:rsidRDefault="00623E14">
      <w:pPr>
        <w:spacing w:before="100"/>
        <w:rPr>
          <w:color w:val="000000"/>
          <w:sz w:val="0"/>
          <w:lang w:val="sv-SE"/>
        </w:rPr>
      </w:pPr>
      <w:r w:rsidRPr="00800D1B">
        <w:rPr>
          <w:color w:val="000000"/>
          <w:lang w:val="sv-SE"/>
        </w:rPr>
        <w:t>Referens: artikel 22.3 d i, iii, iv, v, vi och vii i förordningen om gemensamma bestämmelser</w:t>
      </w:r>
    </w:p>
    <w:p w14:paraId="2D06621E" w14:textId="27226238" w:rsidR="00A77B3E" w:rsidRPr="00800D1B" w:rsidRDefault="00623E14" w:rsidP="00A71A06">
      <w:pPr>
        <w:spacing w:before="100"/>
        <w:rPr>
          <w:lang w:val="sv-SE"/>
        </w:rPr>
      </w:pPr>
      <w:bookmarkStart w:id="129" w:name="_Toc256000370"/>
      <w:r w:rsidRPr="00800D1B">
        <w:rPr>
          <w:lang w:val="sv-SE"/>
        </w:rPr>
        <w:t>Relaterade typer av åtgärder – artikel 22.3 d i i förordningen om gemensamma bestämmelser och artikel 6 i ESF+-förordningen</w:t>
      </w:r>
      <w:bookmarkEnd w:id="129"/>
    </w:p>
    <w:p w14:paraId="7463744B" w14:textId="41C84D28" w:rsidR="0099454A" w:rsidRPr="00800D1B" w:rsidRDefault="0099454A" w:rsidP="005A0217">
      <w:pPr>
        <w:spacing w:before="360"/>
        <w:ind w:left="29"/>
        <w:rPr>
          <w:color w:val="000000"/>
          <w:lang w:val="sv-SE"/>
        </w:rPr>
      </w:pPr>
      <w:r w:rsidRPr="00800D1B">
        <w:rPr>
          <w:lang w:val="sv-SE"/>
        </w:rPr>
        <mc:AlternateContent>
          <mc:Choice Requires="wps">
            <w:drawing>
              <wp:anchor distT="0" distB="0" distL="114300" distR="114300" simplePos="0" relativeHeight="251674624" behindDoc="0" locked="0" layoutInCell="1" allowOverlap="1" wp14:anchorId="446A137C" wp14:editId="07809100">
                <wp:simplePos x="0" y="0"/>
                <wp:positionH relativeFrom="column">
                  <wp:posOffset>-22860</wp:posOffset>
                </wp:positionH>
                <wp:positionV relativeFrom="paragraph">
                  <wp:posOffset>126365</wp:posOffset>
                </wp:positionV>
                <wp:extent cx="9662160" cy="5038725"/>
                <wp:effectExtent l="0" t="0" r="15240" b="28575"/>
                <wp:wrapNone/>
                <wp:docPr id="17" name="Rectangle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662160" cy="50387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B9EDE4B" id="Rectangle 17" o:spid="_x0000_s1026" alt="&quot;&quot;" style="position:absolute;margin-left:-1.8pt;margin-top:9.95pt;width:760.8pt;height:396.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" filled="f" strokecolor="black [3213]" strokeweight=".5pt"/>
            </w:pict>
          </mc:Fallback>
        </mc:AlternateContent>
      </w:r>
      <w:r w:rsidRPr="00800D1B">
        <w:rPr>
          <w:color w:val="000000"/>
          <w:lang w:val="sv-SE"/>
        </w:rPr>
        <w:t>De senaste årens ökning av skogsbränder och översvämningar är tydliga exempel på effekter av klimatförändringarna. För att hantera detta i framtiden och för att skapa möjligheter att utveckla hållbara samhällen i hela regionen behöver kunskaper om vilka klimateffekter och anpassningsåtgärder som är lämpliga för olika näringar öka.</w:t>
      </w:r>
    </w:p>
    <w:p w14:paraId="2671553D" w14:textId="77777777" w:rsidR="0099454A" w:rsidRPr="00800D1B" w:rsidRDefault="0099454A" w:rsidP="005A0217">
      <w:pPr>
        <w:spacing w:before="100"/>
        <w:ind w:left="29"/>
        <w:rPr>
          <w:color w:val="000000"/>
          <w:lang w:val="sv-SE"/>
        </w:rPr>
      </w:pPr>
      <w:r w:rsidRPr="00800D1B">
        <w:rPr>
          <w:color w:val="000000"/>
          <w:lang w:val="sv-SE"/>
        </w:rPr>
        <w:t>Detta kan ske genom att kartlägga risker och upprätta strategier för riskminimering av miljöfarlig verksamhet och förorenade områden. Syftet bör vara att minimera risker för ekosystem, biologisk mångfald och dricksvatten. Ett effektivt genomförande förutsätter att aktörer får en större kunskap om hur klimatet kommer att påverkas och vilka anpassningsåtgärder som behövs i ett flergenerationsperspektiv. Här behöver underlag tas fram och analyser genomföras. </w:t>
      </w:r>
    </w:p>
    <w:p w14:paraId="64DFBF87" w14:textId="77777777" w:rsidR="0099454A" w:rsidRPr="00800D1B" w:rsidRDefault="0099454A" w:rsidP="005A0217">
      <w:pPr>
        <w:spacing w:before="100"/>
        <w:ind w:left="29"/>
        <w:rPr>
          <w:color w:val="000000"/>
          <w:lang w:val="sv-SE"/>
        </w:rPr>
      </w:pPr>
      <w:r w:rsidRPr="00800D1B">
        <w:rPr>
          <w:color w:val="000000"/>
          <w:lang w:val="sv-SE"/>
        </w:rPr>
        <w:t>Samhället i stort, såväl som olika verksamheter, behöver rustas för att klara de utmaningar som ett föränderligt klimat innebär. Anpassning till de nya förhållandena gör att sårbarheten för klimatrelaterade händelser minskas, men skapar också förutsättningar för att ta vara på de positiva effekter som förändringen innebär. Detta har lett till att statliga myndigheter tagit fram olika verktyg som kan bidra till att minska riskerna. Metoder för klimat- och sårbarhetsanalyser för organisationer och verksamheter anpassade för ÖN saknas dock. För att kunna nyttja dessa optimalt krävs dels att medvetenheten om verktygen och klimatförändringarnas effekter ökar, dels att kommuner, regioner, samebyar och andra aktörer samverkar och har strategier, kartläggningar och analyser att stödja sina beslut på. Här kan olika nätverk och samverkansgrupper såväl som digitala system och tjänster bidra.</w:t>
      </w:r>
    </w:p>
    <w:p w14:paraId="76C38AFC" w14:textId="77777777" w:rsidR="0099454A" w:rsidRPr="00800D1B" w:rsidRDefault="0099454A" w:rsidP="005A0217">
      <w:pPr>
        <w:spacing w:before="100"/>
        <w:ind w:left="29"/>
        <w:rPr>
          <w:color w:val="000000"/>
          <w:lang w:val="sv-SE"/>
        </w:rPr>
      </w:pPr>
      <w:r w:rsidRPr="00800D1B">
        <w:rPr>
          <w:color w:val="000000"/>
          <w:lang w:val="sv-SE"/>
        </w:rPr>
        <w:t>De förväntade framtida klimatförändringarna kommer med stor sannolikhet att ha effekter på naturmiljö, arter, ekosystem och biologisk mångfald i ÖN. Det innebär att naturens förmåga att leverera ekosystemtjänster kommer att påverkas. ÖN, liksom andra områden i Sverige, har sett ökande problem med skogs- och gräsbränder på grund av det förändrade klimatet. Problemen förväntas öka, både i antal och i utbredning, i takt med att klimatet blir varmare. Åtgärder för anpassning till ett förändrat klimat bör integreras med åtgärder för utveckling och begränsning av skador. Kunskapen om klimateffekter på skogsbruket i norra Sverige behöver öka, likväl som kunskapen om vilka anpassningsåtgärder som är lämpliga.</w:t>
      </w:r>
    </w:p>
    <w:p w14:paraId="46B7E9CC" w14:textId="77777777" w:rsidR="0099454A" w:rsidRPr="00800D1B" w:rsidRDefault="0099454A" w:rsidP="005A0217">
      <w:pPr>
        <w:spacing w:before="100"/>
        <w:ind w:left="29"/>
        <w:rPr>
          <w:color w:val="000000"/>
          <w:lang w:val="sv-SE"/>
        </w:rPr>
      </w:pPr>
      <w:r w:rsidRPr="00800D1B">
        <w:rPr>
          <w:color w:val="000000"/>
          <w:lang w:val="sv-SE"/>
        </w:rPr>
        <w:t>Delar av ÖNs våtmarker är starkt påverkade av historiska dräneringar för naturresursutnyttjande, t.ex. mer produktivt skogsbruk. Älvar och vattendrag har nyttjats för flottning vilket har påverkat och förändrat deras flöden. Återställande av vattendrag, myrar och våtmarker är viktiga insatser för att anpassa regionen till de klimatförändringar som sker. Återställande av våtmarker förväntas också skapa gynnsamma förutsättningar för den biologiska mångfalden. Genom att rusta våtmarker kan klimatrelaterade utsläpp och skogsbränder minska. Återställande minskar också risken för att torka påverkar grundvattennivån så att dricksvattenresurser riskerar att bli förorenade eller uttömda.</w:t>
      </w:r>
    </w:p>
    <w:p w14:paraId="18910184" w14:textId="77777777" w:rsidR="0099454A" w:rsidRPr="00800D1B" w:rsidRDefault="0099454A" w:rsidP="005A0217">
      <w:pPr>
        <w:spacing w:before="100"/>
        <w:ind w:left="29"/>
        <w:rPr>
          <w:color w:val="000000"/>
          <w:lang w:val="sv-SE"/>
        </w:rPr>
      </w:pPr>
      <w:r w:rsidRPr="00800D1B">
        <w:rPr>
          <w:color w:val="000000"/>
          <w:lang w:val="sv-SE"/>
        </w:rPr>
        <w:t>Det samiska samhället med dess kultur och näringar där rennäringen är en bärande del, påverkas redan idag av klimatförändringarna. De samiska näringarna och dess förutsättningar för klimatanpassning måste förstås i ett sammanhang och med hänsyn till de sammanlagda effekterna från olika påverkansfaktorer. För att öka förståelsen för den totala påverkan på det samiska samhället och därefter kunna formulera tydliga insatser för klimatanpassning behöver risk- och sårbarhetsanalyser tas fram. Här kan nya metoder och verktyg vara viktiga verktyg.</w:t>
      </w:r>
    </w:p>
    <w:p w14:paraId="0DF3E698" w14:textId="7355127A" w:rsidR="0099454A" w:rsidRPr="00800D1B" w:rsidRDefault="005A0217" w:rsidP="005A0217">
      <w:pPr>
        <w:spacing w:before="100"/>
        <w:ind w:left="58"/>
        <w:rPr>
          <w:color w:val="000000"/>
          <w:lang w:val="sv-SE"/>
        </w:rPr>
      </w:pPr>
      <w:r w:rsidRPr="00800D1B">
        <w:rPr>
          <w:color w:val="000000"/>
          <w:lang w:val="sv-SE"/>
        </w:rPr>
        <mc:AlternateContent>
          <mc:Choice Requires="wps">
            <w:drawing>
              <wp:anchor distT="0" distB="0" distL="114300" distR="114300" simplePos="0" relativeHeight="251675648" behindDoc="0" locked="0" layoutInCell="1" allowOverlap="1" wp14:anchorId="21B2C051" wp14:editId="791F3D7F">
                <wp:simplePos x="0" y="0"/>
                <wp:positionH relativeFrom="column">
                  <wp:posOffset>-7620</wp:posOffset>
                </wp:positionH>
                <wp:positionV relativeFrom="paragraph">
                  <wp:posOffset>-53340</wp:posOffset>
                </wp:positionV>
                <wp:extent cx="9662160" cy="6385560"/>
                <wp:effectExtent l="0" t="0" r="15240" b="15240"/>
                <wp:wrapNone/>
                <wp:docPr id="18" name="Rectangle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662160" cy="63855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EBDC20" id="Rectangle 18" o:spid="_x0000_s1026" alt="&quot;&quot;" style="position:absolute;margin-left:-.6pt;margin-top:-4.2pt;width:760.8pt;height:502.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" filled="f" strokecolor="black [3213]" strokeweight=".5pt"/>
            </w:pict>
          </mc:Fallback>
        </mc:AlternateContent>
      </w:r>
      <w:r w:rsidR="0099454A" w:rsidRPr="00800D1B">
        <w:rPr>
          <w:color w:val="000000"/>
          <w:lang w:val="sv-SE"/>
        </w:rPr>
        <w:t>Förståelsen för processer och begrepp behöver förbättras för att kunna genomföra datainsamling och analys till grund för anpassningsstrategier rörande samnyttjande av ekosystemtjänster. En initial och stor uppgift är att utarbeta metoder för insamling, bearbetning och analys av statistik rörande nyttjande av ekosystemtjänster.</w:t>
      </w:r>
    </w:p>
    <w:p w14:paraId="60E20D30" w14:textId="77777777" w:rsidR="0099454A" w:rsidRPr="00800D1B" w:rsidRDefault="0099454A" w:rsidP="005A0217">
      <w:pPr>
        <w:spacing w:before="100"/>
        <w:ind w:left="58"/>
        <w:rPr>
          <w:color w:val="000000"/>
          <w:lang w:val="sv-SE"/>
        </w:rPr>
      </w:pPr>
      <w:r w:rsidRPr="00800D1B">
        <w:rPr>
          <w:color w:val="000000"/>
          <w:lang w:val="sv-SE"/>
        </w:rPr>
        <w:t>Att inkludera klimat- och klimatanpassningsfrågor i risk och sårbarhetsanalyser för olika verksamheter är ett sätt att skapa en bild av de åtgärder som kan komma att behöva genomföras för att hantera och förebygga risker som är knutna till klimatförändringarna. I detta behöver alla enskilda delar av samhälls- och infrastrukturutveckling omfattas för att kunna utforma vägledningar som når hela kedjan av aktörer i dessa processer. Analyserna kan också vara verktyg för att öka medvetenheten om de risker som finns och därmed bidra till förbättrad samhällsberedskap.</w:t>
      </w:r>
    </w:p>
    <w:p w14:paraId="5B20DE93" w14:textId="77777777" w:rsidR="0099454A" w:rsidRPr="00800D1B" w:rsidRDefault="0099454A" w:rsidP="005A0217">
      <w:pPr>
        <w:spacing w:before="100"/>
        <w:ind w:left="72"/>
        <w:rPr>
          <w:color w:val="000000"/>
          <w:lang w:val="sv-SE"/>
        </w:rPr>
      </w:pPr>
      <w:r w:rsidRPr="00800D1B">
        <w:rPr>
          <w:color w:val="000000"/>
          <w:lang w:val="sv-SE"/>
        </w:rPr>
        <w:t>När det gäller klimatrelaterade risker kring miljöfarlig verksamhet och förorenade områden, bör det framtida anpassningsarbetet inriktas på att klarlägga risker avseende pågående och nedlagda verksamheter, föroreningsrisker vid översvämningar och erosion samt att upprätta strategier och åtgärdsförslag för att minimera risker för människa, miljö och natur.</w:t>
      </w:r>
    </w:p>
    <w:p w14:paraId="17079C13" w14:textId="77777777" w:rsidR="0099454A" w:rsidRPr="00800D1B" w:rsidRDefault="0099454A" w:rsidP="005A0217">
      <w:pPr>
        <w:spacing w:before="100"/>
        <w:ind w:left="72"/>
        <w:rPr>
          <w:color w:val="000000"/>
          <w:lang w:val="sv-SE"/>
        </w:rPr>
      </w:pPr>
      <w:r w:rsidRPr="00800D1B">
        <w:rPr>
          <w:color w:val="000000"/>
          <w:lang w:val="sv-SE"/>
        </w:rPr>
        <w:t>Även dricksvattenförsörjningen i regionen kan komma att påverkas av klimatförändringar. Det finns en risk för att vattentäkter påverkas negativt genom ändrade fysikaliska, kemiska och biologiska förhållanden på grund av ökad tillförsel av humusämnen, partiklar, närsalter och föroreningar från dagvatten. En säker dricksvattenförsörjning kräver en långsiktig planering för att säkerställa skyddet av vattenresurser i ett flergenerationsperspektiv.</w:t>
      </w:r>
    </w:p>
    <w:p w14:paraId="19FB433F" w14:textId="77777777" w:rsidR="0099454A" w:rsidRPr="00800D1B" w:rsidRDefault="0099454A" w:rsidP="005A0217">
      <w:pPr>
        <w:spacing w:before="100"/>
        <w:ind w:left="72"/>
        <w:rPr>
          <w:color w:val="000000"/>
          <w:lang w:val="sv-SE"/>
        </w:rPr>
      </w:pPr>
      <w:r w:rsidRPr="00800D1B">
        <w:rPr>
          <w:color w:val="000000"/>
          <w:lang w:val="sv-SE"/>
        </w:rPr>
        <w:t>Det stora fokuset på hållbar omställning som programmet efterfrågar medför också att företagens ekonomiska egenintressen är sekundära i interventionerna. Bidrag kan därför behövas för att motivera företagen till att delta i omställningsprocesserna i de fall där det inte finns ett tillräckligt starkt ekonomiskt incitament för företaget att själv investera. Det specifika målet fokuserar på att ge icke-finansiellt stöd till små och medelstora företag och kommer inte att generera direkta inkomster eller leda till kostnadsbesparingar för små och medelstora företag.</w:t>
      </w:r>
    </w:p>
    <w:p w14:paraId="574F8028" w14:textId="77777777" w:rsidR="0099454A" w:rsidRPr="00800D1B" w:rsidRDefault="0099454A" w:rsidP="005A0217">
      <w:pPr>
        <w:spacing w:before="100"/>
        <w:ind w:left="72"/>
        <w:rPr>
          <w:color w:val="000000"/>
          <w:lang w:val="sv-SE"/>
        </w:rPr>
      </w:pPr>
      <w:r w:rsidRPr="00800D1B">
        <w:rPr>
          <w:color w:val="000000"/>
          <w:lang w:val="sv-SE"/>
        </w:rPr>
        <w:t xml:space="preserve">Exempel på konkreta åtgärder: </w:t>
      </w:r>
    </w:p>
    <w:p w14:paraId="1FF4682F" w14:textId="77777777" w:rsidR="0099454A" w:rsidRPr="00800D1B" w:rsidRDefault="0099454A">
      <w:pPr>
        <w:pStyle w:val="Liststycke"/>
        <w:numPr>
          <w:ilvl w:val="0"/>
          <w:numId w:val="31"/>
        </w:numPr>
        <w:spacing w:before="60"/>
        <w:ind w:left="201" w:hanging="158"/>
        <w:contextualSpacing w:val="0"/>
        <w:rPr>
          <w:color w:val="000000"/>
          <w:lang w:val="sv-SE"/>
        </w:rPr>
      </w:pPr>
      <w:r w:rsidRPr="00800D1B">
        <w:rPr>
          <w:color w:val="000000"/>
          <w:lang w:val="sv-SE"/>
        </w:rPr>
        <w:t>Förstudier</w:t>
      </w:r>
    </w:p>
    <w:p w14:paraId="7E4D8AE4" w14:textId="77777777" w:rsidR="0099454A" w:rsidRPr="00800D1B" w:rsidRDefault="0099454A">
      <w:pPr>
        <w:pStyle w:val="Liststycke"/>
        <w:numPr>
          <w:ilvl w:val="0"/>
          <w:numId w:val="31"/>
        </w:numPr>
        <w:spacing w:before="60"/>
        <w:ind w:left="201" w:hanging="158"/>
        <w:contextualSpacing w:val="0"/>
        <w:rPr>
          <w:color w:val="000000"/>
          <w:lang w:val="sv-SE"/>
        </w:rPr>
      </w:pPr>
      <w:r w:rsidRPr="00800D1B">
        <w:rPr>
          <w:color w:val="000000"/>
          <w:lang w:val="sv-SE"/>
        </w:rPr>
        <w:t>Utveckla kunskapen om klimateffekter på skogsbruket i norra Sverige likväl som kunskapen om vilka anpassningsåtgärder som är lämpliga. </w:t>
      </w:r>
    </w:p>
    <w:p w14:paraId="7FD65964" w14:textId="77777777" w:rsidR="0099454A" w:rsidRPr="00800D1B" w:rsidRDefault="0099454A">
      <w:pPr>
        <w:pStyle w:val="Liststycke"/>
        <w:numPr>
          <w:ilvl w:val="0"/>
          <w:numId w:val="31"/>
        </w:numPr>
        <w:spacing w:before="60"/>
        <w:ind w:left="201" w:hanging="158"/>
        <w:contextualSpacing w:val="0"/>
        <w:rPr>
          <w:color w:val="000000"/>
          <w:lang w:val="sv-SE"/>
        </w:rPr>
      </w:pPr>
      <w:r w:rsidRPr="00800D1B">
        <w:rPr>
          <w:color w:val="000000"/>
          <w:lang w:val="sv-SE"/>
        </w:rPr>
        <w:t>Utarbeta klimat-och sårbarhetsanalyser samt handlingsplaner. </w:t>
      </w:r>
    </w:p>
    <w:p w14:paraId="5D30483D" w14:textId="77777777" w:rsidR="0099454A" w:rsidRPr="00800D1B" w:rsidRDefault="0099454A">
      <w:pPr>
        <w:pStyle w:val="Liststycke"/>
        <w:numPr>
          <w:ilvl w:val="0"/>
          <w:numId w:val="31"/>
        </w:numPr>
        <w:spacing w:before="60"/>
        <w:ind w:left="201" w:hanging="158"/>
        <w:contextualSpacing w:val="0"/>
        <w:rPr>
          <w:color w:val="000000"/>
          <w:lang w:val="sv-SE"/>
        </w:rPr>
      </w:pPr>
      <w:r w:rsidRPr="00800D1B">
        <w:rPr>
          <w:color w:val="000000"/>
          <w:lang w:val="sv-SE"/>
        </w:rPr>
        <w:t>Utarbeta metoder för insamling, bearbetning och analys av statistik rörande nyttjande av ekosystemtjänster. </w:t>
      </w:r>
    </w:p>
    <w:p w14:paraId="20503031" w14:textId="77777777" w:rsidR="0099454A" w:rsidRPr="00800D1B" w:rsidRDefault="0099454A">
      <w:pPr>
        <w:pStyle w:val="Liststycke"/>
        <w:numPr>
          <w:ilvl w:val="0"/>
          <w:numId w:val="31"/>
        </w:numPr>
        <w:spacing w:before="60"/>
        <w:ind w:left="201" w:hanging="158"/>
        <w:contextualSpacing w:val="0"/>
        <w:rPr>
          <w:color w:val="000000"/>
          <w:lang w:val="sv-SE"/>
        </w:rPr>
      </w:pPr>
      <w:r w:rsidRPr="00800D1B">
        <w:rPr>
          <w:color w:val="000000"/>
          <w:lang w:val="sv-SE"/>
        </w:rPr>
        <w:t>Utforma klimatanpassningsvägledningar för hela kedjan av aktörer. </w:t>
      </w:r>
    </w:p>
    <w:p w14:paraId="3F558E15" w14:textId="77777777" w:rsidR="0099454A" w:rsidRPr="00800D1B" w:rsidRDefault="0099454A">
      <w:pPr>
        <w:pStyle w:val="Liststycke"/>
        <w:numPr>
          <w:ilvl w:val="0"/>
          <w:numId w:val="31"/>
        </w:numPr>
        <w:spacing w:before="60"/>
        <w:ind w:left="201" w:hanging="158"/>
        <w:contextualSpacing w:val="0"/>
        <w:rPr>
          <w:color w:val="000000"/>
          <w:lang w:val="sv-SE"/>
        </w:rPr>
      </w:pPr>
      <w:r w:rsidRPr="00800D1B">
        <w:rPr>
          <w:color w:val="000000"/>
          <w:lang w:val="sv-SE"/>
        </w:rPr>
        <w:t>Klarlägg risker avseende klimateffekter och upprätta klimatanpassningsstrategier för riskminimering av miljöfarlig verksamhet och förorenade områden. </w:t>
      </w:r>
    </w:p>
    <w:p w14:paraId="5038A401" w14:textId="77777777" w:rsidR="0099454A" w:rsidRPr="00800D1B" w:rsidRDefault="0099454A">
      <w:pPr>
        <w:pStyle w:val="Liststycke"/>
        <w:numPr>
          <w:ilvl w:val="0"/>
          <w:numId w:val="31"/>
        </w:numPr>
        <w:spacing w:before="60"/>
        <w:ind w:left="201" w:hanging="158"/>
        <w:contextualSpacing w:val="0"/>
        <w:rPr>
          <w:color w:val="000000"/>
          <w:lang w:val="sv-SE"/>
        </w:rPr>
      </w:pPr>
      <w:r w:rsidRPr="00800D1B">
        <w:rPr>
          <w:color w:val="000000"/>
          <w:lang w:val="sv-SE"/>
        </w:rPr>
        <w:t>Utbilda och stödja kommuner i långsiktig planering av dricksvattenförsörjning för att säkerställa skyddet av vattenresurser i ett flergenerationsperspektiv. </w:t>
      </w:r>
    </w:p>
    <w:p w14:paraId="27F8952E" w14:textId="77777777" w:rsidR="0099454A" w:rsidRPr="00800D1B" w:rsidRDefault="0099454A">
      <w:pPr>
        <w:pStyle w:val="Liststycke"/>
        <w:numPr>
          <w:ilvl w:val="0"/>
          <w:numId w:val="31"/>
        </w:numPr>
        <w:spacing w:before="60"/>
        <w:ind w:left="201" w:hanging="158"/>
        <w:contextualSpacing w:val="0"/>
        <w:rPr>
          <w:color w:val="000000"/>
          <w:lang w:val="sv-SE"/>
        </w:rPr>
      </w:pPr>
      <w:r w:rsidRPr="00800D1B">
        <w:rPr>
          <w:color w:val="000000"/>
          <w:lang w:val="sv-SE"/>
        </w:rPr>
        <w:t>Utveckla metoder för klimat- och sårbarhetsanalyser. </w:t>
      </w:r>
    </w:p>
    <w:p w14:paraId="067FBEE3" w14:textId="77777777" w:rsidR="0099454A" w:rsidRPr="00800D1B" w:rsidRDefault="0099454A">
      <w:pPr>
        <w:pStyle w:val="Liststycke"/>
        <w:numPr>
          <w:ilvl w:val="0"/>
          <w:numId w:val="31"/>
        </w:numPr>
        <w:spacing w:before="60"/>
        <w:ind w:left="201" w:hanging="158"/>
        <w:contextualSpacing w:val="0"/>
        <w:rPr>
          <w:color w:val="000000"/>
          <w:lang w:val="sv-SE"/>
        </w:rPr>
      </w:pPr>
      <w:r w:rsidRPr="00800D1B">
        <w:rPr>
          <w:color w:val="000000"/>
          <w:lang w:val="sv-SE"/>
        </w:rPr>
        <w:t>Genomföra insatser för återställande av vattendrag och våtmarker </w:t>
      </w:r>
    </w:p>
    <w:p w14:paraId="6DCAAE47" w14:textId="77777777" w:rsidR="0099454A" w:rsidRPr="00800D1B" w:rsidRDefault="0099454A" w:rsidP="005A0217">
      <w:pPr>
        <w:spacing w:before="100"/>
        <w:ind w:left="72"/>
        <w:rPr>
          <w:color w:val="000000"/>
          <w:lang w:val="sv-SE"/>
        </w:rPr>
      </w:pPr>
      <w:r w:rsidRPr="00800D1B">
        <w:rPr>
          <w:color w:val="000000"/>
          <w:u w:val="single"/>
          <w:lang w:val="sv-SE"/>
        </w:rPr>
        <w:t>Förenlighet med principen om att inte orsaka betydande skada (art. 9.4 i förordningen om gemensamma bestämmelser</w:t>
      </w:r>
      <w:r w:rsidRPr="00800D1B">
        <w:rPr>
          <w:color w:val="000000"/>
          <w:lang w:val="sv-SE"/>
        </w:rPr>
        <w:t>)</w:t>
      </w:r>
    </w:p>
    <w:p w14:paraId="6A476AAA" w14:textId="77777777" w:rsidR="008D35C9" w:rsidRPr="00800D1B" w:rsidRDefault="0099454A" w:rsidP="005A0217">
      <w:pPr>
        <w:spacing w:before="100" w:after="300"/>
        <w:ind w:left="72"/>
        <w:rPr>
          <w:color w:val="000000"/>
          <w:lang w:val="sv-SE"/>
        </w:rPr>
        <w:sectPr w:rsidR="008D35C9" w:rsidRPr="00800D1B" w:rsidSect="0065165D">
          <w:pgSz w:w="16838" w:h="11906" w:orient="landscape" w:code="9"/>
          <w:pgMar w:top="720" w:right="720" w:bottom="864" w:left="936" w:header="288" w:footer="72" w:gutter="0"/>
          <w:cols w:space="720"/>
          <w:noEndnote/>
          <w:docGrid w:linePitch="360"/>
        </w:sectPr>
      </w:pPr>
      <w:r w:rsidRPr="00800D1B">
        <w:rPr>
          <w:color w:val="000000"/>
          <w:lang w:val="sv-SE"/>
        </w:rPr>
        <w:t>Insatserna har bedömts vara förenliga med principen om att inte orsaka betydande skada eftersom de har bedömts i enlighet med kommissionens tekniska vägledning om tillämpningen av principen om att inte orsaka betydande skada inom ramen för förordningen om faciliteten för återhämtning och resiliens.</w:t>
      </w:r>
    </w:p>
    <w:p w14:paraId="2D06623B" w14:textId="21F86DD5" w:rsidR="00A77B3E" w:rsidRPr="00800D1B" w:rsidRDefault="00623E14" w:rsidP="00A71A06">
      <w:pPr>
        <w:spacing w:before="900"/>
        <w:rPr>
          <w:lang w:val="sv-SE"/>
        </w:rPr>
      </w:pPr>
      <w:bookmarkStart w:id="130" w:name="_Toc256000371"/>
      <w:r w:rsidRPr="00800D1B">
        <w:rPr>
          <w:lang w:val="sv-SE"/>
        </w:rPr>
        <w:t>Huvudsakliga målgrupper – artikel 22.3 d iii i förordningen om gemensamma bestämmelser</w:t>
      </w:r>
      <w:bookmarkEnd w:id="130"/>
    </w:p>
    <w:p w14:paraId="482FCBA7" w14:textId="77777777" w:rsidR="005A0217" w:rsidRPr="00800D1B" w:rsidRDefault="005A0217" w:rsidP="005A0217">
      <w:pPr>
        <w:pBdr>
          <w:top w:val="single" w:sz="4" w:space="10" w:color="auto"/>
          <w:left w:val="single" w:sz="4" w:space="4" w:color="auto"/>
          <w:bottom w:val="single" w:sz="4" w:space="22" w:color="auto"/>
          <w:right w:val="single" w:sz="4" w:space="4" w:color="auto"/>
        </w:pBdr>
        <w:spacing w:before="100" w:after="300"/>
        <w:ind w:left="101" w:right="115"/>
        <w:rPr>
          <w:color w:val="000000"/>
          <w:lang w:val="sv-SE"/>
        </w:rPr>
      </w:pPr>
      <w:r w:rsidRPr="00800D1B">
        <w:rPr>
          <w:color w:val="000000"/>
          <w:lang w:val="sv-SE"/>
        </w:rPr>
        <w:t>De huvudsakliga målgrupperna är offentliga aktörer, universitet och högskolor, forskningsinstitut och övriga forsknings- och utbildningsaktörer, små och medelstora företag, ekonomiska föreningar och civilsamhället. Särskilt fokus bör läggas på att säkerställa att insatserna bidrar till att inkludera underrepresenterade grupper samt att nå en bredd av organisationer och företag. Vid utformandet av insatser är det viktigt att använda ett jämställdhets- och mångfaldsperspektiv.</w:t>
      </w:r>
    </w:p>
    <w:p w14:paraId="2D066242" w14:textId="331D303F" w:rsidR="00A77B3E" w:rsidRPr="00800D1B" w:rsidRDefault="00623E14" w:rsidP="00A71A06">
      <w:pPr>
        <w:spacing w:before="440"/>
        <w:rPr>
          <w:lang w:val="sv-SE"/>
        </w:rPr>
      </w:pPr>
      <w:bookmarkStart w:id="131" w:name="_Toc256000372"/>
      <w:r w:rsidRPr="00800D1B">
        <w:rPr>
          <w:lang w:val="sv-SE"/>
        </w:rPr>
        <w:t>Åtgärder för säkerställande av jämställdhet, inkludering och icke-diskriminering – artikel 22.3 d iv i förordningen om gemensamma bestämmelser och artikel 6 i ESF+-förordningen</w:t>
      </w:r>
      <w:bookmarkEnd w:id="131"/>
    </w:p>
    <w:p w14:paraId="5FD12047" w14:textId="77777777" w:rsidR="00740E1E" w:rsidRPr="00800D1B" w:rsidRDefault="00740E1E" w:rsidP="00740E1E">
      <w:pPr>
        <w:pBdr>
          <w:top w:val="single" w:sz="4" w:space="10" w:color="auto"/>
          <w:left w:val="single" w:sz="4" w:space="4" w:color="auto"/>
          <w:bottom w:val="single" w:sz="4" w:space="22" w:color="auto"/>
          <w:right w:val="single" w:sz="4" w:space="4" w:color="auto"/>
        </w:pBdr>
        <w:spacing w:before="120"/>
        <w:ind w:left="101" w:right="115"/>
        <w:rPr>
          <w:color w:val="000000"/>
          <w:lang w:val="sv-SE"/>
        </w:rPr>
      </w:pPr>
      <w:r w:rsidRPr="00800D1B">
        <w:rPr>
          <w:color w:val="000000"/>
          <w:lang w:val="sv-SE"/>
        </w:rPr>
        <w:t>Jämställdhet, icke- diskriminering och tillgänglighet ska genomsyra insatserna i programmet, det vill säga, jämställdhetsintegrering är ett krav. Ingen får diskrimineras på grund av kön, könsöverskridande identitet eller uttryck, etnisk tillhörighet, religion eller annan trosuppfattning, funktionsnedsättning, sexuell läggning eller ålder. Projekten ska innehålla särskilda insatser för jämställdhet även om huvudsyftet är ett annat. Det ska tydligt beskrivas förväntade resultat kopplat till jämställdhet. Vid ansökningsförfarandet genomförs en jämställdhetsanalys som synkroniseras med övriga hållbarhetsaspekter att ta hänsyn till. Analysen ska visa hur framtagandet av insatser påverkar jämställdheten och det ska finnas minst ett mål som adresserar detsamma. Detta betyder att samtliga insatser i detta särskilda mål minst möter kraven för kod 02 i tabell 8.</w:t>
      </w:r>
    </w:p>
    <w:p w14:paraId="74D02965" w14:textId="77777777" w:rsidR="00740E1E" w:rsidRPr="00800D1B" w:rsidRDefault="00740E1E" w:rsidP="00740E1E">
      <w:pPr>
        <w:pBdr>
          <w:top w:val="single" w:sz="4" w:space="10" w:color="auto"/>
          <w:left w:val="single" w:sz="4" w:space="4" w:color="auto"/>
          <w:bottom w:val="single" w:sz="4" w:space="22" w:color="auto"/>
          <w:right w:val="single" w:sz="4" w:space="4" w:color="auto"/>
        </w:pBdr>
        <w:spacing w:before="100"/>
        <w:ind w:left="101" w:right="115"/>
        <w:rPr>
          <w:color w:val="000000"/>
          <w:lang w:val="sv-SE"/>
        </w:rPr>
      </w:pPr>
      <w:r w:rsidRPr="00800D1B">
        <w:rPr>
          <w:color w:val="000000"/>
          <w:lang w:val="sv-SE"/>
        </w:rPr>
        <w:t>Förutom att alla insatser inom detta särskilda mål ska möta kod 02 ser vi även att flera projekt ska innehålla särskilda insatser för jämställdhet. Särskilda insatser innebär att projektets huvudsakliga mål är att förbättra jämställdhet mellan kvinnor och män. Analysen ska därmed visa hur utmaningar och problem inom jämställdhetsområdet ligger till grund varför projektet behövs och målen tar tydligt fasta på en förflyttning mot ökad jämställdhet. Projekten bidrar därmed direkt till det globala målet 5.</w:t>
      </w:r>
    </w:p>
    <w:p w14:paraId="70D10438" w14:textId="77777777" w:rsidR="00740E1E" w:rsidRPr="00800D1B" w:rsidRDefault="00740E1E" w:rsidP="00740E1E">
      <w:pPr>
        <w:pBdr>
          <w:top w:val="single" w:sz="4" w:space="10" w:color="auto"/>
          <w:left w:val="single" w:sz="4" w:space="4" w:color="auto"/>
          <w:bottom w:val="single" w:sz="4" w:space="22" w:color="auto"/>
          <w:right w:val="single" w:sz="4" w:space="4" w:color="auto"/>
        </w:pBdr>
        <w:spacing w:before="100" w:after="300"/>
        <w:ind w:left="101" w:right="115"/>
        <w:rPr>
          <w:color w:val="000000"/>
          <w:lang w:val="sv-SE"/>
        </w:rPr>
      </w:pPr>
      <w:r w:rsidRPr="00800D1B">
        <w:rPr>
          <w:color w:val="000000"/>
          <w:lang w:val="sv-SE"/>
        </w:rPr>
        <w:t>Samtliga projekt ska vid rapportering påvisa hur resultatet bidragit till att framsteg gjorts gentemot en ökad jämställdhet.</w:t>
      </w:r>
    </w:p>
    <w:p w14:paraId="2D06624B" w14:textId="7806AB84" w:rsidR="00A77B3E" w:rsidRPr="00800D1B" w:rsidRDefault="00623E14" w:rsidP="00A71A06">
      <w:pPr>
        <w:spacing w:before="440"/>
        <w:rPr>
          <w:lang w:val="sv-SE"/>
        </w:rPr>
      </w:pPr>
      <w:bookmarkStart w:id="132" w:name="_Toc256000373"/>
      <w:r w:rsidRPr="00800D1B">
        <w:rPr>
          <w:lang w:val="sv-SE"/>
        </w:rPr>
        <w:t>Angivande av de specifika målterritorierna, inbegripet planerad användning av territoriella verktyg – artikel 22.3 d v i förordningen om gemensamma bestämmelser</w:t>
      </w:r>
      <w:bookmarkEnd w:id="132"/>
    </w:p>
    <w:p w14:paraId="32EEE50F" w14:textId="7154A398" w:rsidR="000D6EE3" w:rsidRPr="00800D1B" w:rsidRDefault="000D6EE3" w:rsidP="001C4055">
      <w:pPr>
        <w:pBdr>
          <w:top w:val="single" w:sz="4" w:space="10" w:color="auto"/>
          <w:left w:val="single" w:sz="4" w:space="4" w:color="auto"/>
          <w:bottom w:val="single" w:sz="4" w:space="20" w:color="auto"/>
          <w:right w:val="single" w:sz="4" w:space="4" w:color="auto"/>
          <w:between w:val="single" w:sz="4" w:space="10" w:color="auto"/>
          <w:bar w:val="single" w:sz="4" w:color="auto"/>
        </w:pBdr>
        <w:spacing w:before="100"/>
        <w:ind w:left="86"/>
        <w:rPr>
          <w:lang w:val="sv-SE"/>
        </w:rPr>
      </w:pPr>
      <w:r w:rsidRPr="00800D1B">
        <w:rPr>
          <w:lang w:val="sv-SE"/>
        </w:rPr>
        <w:t>Nej</w:t>
      </w:r>
    </w:p>
    <w:p w14:paraId="2D066252" w14:textId="682C1972" w:rsidR="00A77B3E" w:rsidRPr="00800D1B" w:rsidRDefault="00623E14" w:rsidP="00A71A06">
      <w:pPr>
        <w:spacing w:before="480"/>
        <w:rPr>
          <w:lang w:val="sv-SE"/>
        </w:rPr>
      </w:pPr>
      <w:bookmarkStart w:id="133" w:name="_Toc256000374"/>
      <w:r w:rsidRPr="00800D1B">
        <w:rPr>
          <w:lang w:val="sv-SE"/>
        </w:rPr>
        <w:t>Interregionala, gränsregionala och transnationella åtgärder – artikel 22.3 d vi i förordningen om gemensamma bestämmelser</w:t>
      </w:r>
      <w:bookmarkEnd w:id="133"/>
    </w:p>
    <w:p w14:paraId="7F16DCFB" w14:textId="77777777" w:rsidR="00740E1E" w:rsidRPr="00800D1B" w:rsidRDefault="00740E1E" w:rsidP="00740E1E">
      <w:pPr>
        <w:pBdr>
          <w:top w:val="single" w:sz="4" w:space="10" w:color="auto"/>
          <w:left w:val="single" w:sz="4" w:space="4" w:color="auto"/>
          <w:bottom w:val="single" w:sz="4" w:space="22" w:color="auto"/>
          <w:right w:val="single" w:sz="4" w:space="4" w:color="auto"/>
        </w:pBdr>
        <w:spacing w:before="100"/>
        <w:ind w:left="101" w:right="115"/>
        <w:rPr>
          <w:color w:val="000000"/>
          <w:lang w:val="sv-SE"/>
        </w:rPr>
      </w:pPr>
      <w:r w:rsidRPr="00800D1B">
        <w:rPr>
          <w:color w:val="000000"/>
          <w:lang w:val="sv-SE"/>
        </w:rPr>
        <w:t>En intervention får helt eller delvis genomföras i annat land, även utanför EU, under förutsättning att insatsen bidrar till det specifika målet. Samarbete med aktörer i ett eller flera andra länder kan vara integrerat i ett projekt för att stärka arbetet mot projektmålet. För att stärka arbetet mot projektmålet kan samarbete med aktörer i ett eller flera andra länder också läggas till ett redan pågående projekt i form av ett påbyggnadsprojekt.</w:t>
      </w:r>
    </w:p>
    <w:p w14:paraId="2B287D19" w14:textId="77777777" w:rsidR="00740E1E" w:rsidRPr="00800D1B" w:rsidRDefault="00740E1E" w:rsidP="00740E1E">
      <w:pPr>
        <w:pBdr>
          <w:top w:val="single" w:sz="4" w:space="10" w:color="auto"/>
          <w:left w:val="single" w:sz="4" w:space="4" w:color="auto"/>
          <w:bottom w:val="single" w:sz="4" w:space="22" w:color="auto"/>
          <w:right w:val="single" w:sz="4" w:space="4" w:color="auto"/>
        </w:pBdr>
        <w:spacing w:before="100"/>
        <w:ind w:left="101" w:right="115"/>
        <w:rPr>
          <w:color w:val="000000"/>
          <w:lang w:val="sv-SE"/>
        </w:rPr>
      </w:pPr>
      <w:r w:rsidRPr="00800D1B">
        <w:rPr>
          <w:color w:val="000000"/>
          <w:lang w:val="sv-SE"/>
        </w:rPr>
        <w:t>Åtgärder som särskilt kan komma i fråga är utbyte av kunskap och goda exempel samt samverkan mellan strategiskt viktiga aktörer, nätverk och plattformar. </w:t>
      </w:r>
    </w:p>
    <w:p w14:paraId="4B5401EC" w14:textId="77777777" w:rsidR="00740E1E" w:rsidRPr="00800D1B" w:rsidRDefault="00740E1E" w:rsidP="00740E1E">
      <w:pPr>
        <w:pBdr>
          <w:top w:val="single" w:sz="4" w:space="10" w:color="auto"/>
          <w:left w:val="single" w:sz="4" w:space="4" w:color="auto"/>
          <w:bottom w:val="single" w:sz="4" w:space="22" w:color="auto"/>
          <w:right w:val="single" w:sz="4" w:space="4" w:color="auto"/>
        </w:pBdr>
        <w:spacing w:before="100"/>
        <w:ind w:left="101" w:right="115"/>
        <w:rPr>
          <w:color w:val="000000"/>
          <w:lang w:val="sv-SE"/>
        </w:rPr>
      </w:pPr>
      <w:r w:rsidRPr="00800D1B">
        <w:rPr>
          <w:color w:val="000000"/>
          <w:lang w:val="sv-SE"/>
        </w:rPr>
        <w:t>För att stärka arbetet med klimatanpassningsstrategier i regionen kan samarbete kan röra nätverksbyggande och kunskapsuppbyggnad via nätverk och kluster. Exempelvis kan det handla om kompetenshöjande utbyten om hur aktörer kan använda nya tekniker och metoder och processer.</w:t>
      </w:r>
    </w:p>
    <w:p w14:paraId="70DA8C67" w14:textId="77777777" w:rsidR="00740E1E" w:rsidRPr="00800D1B" w:rsidRDefault="00740E1E" w:rsidP="00740E1E">
      <w:pPr>
        <w:pBdr>
          <w:top w:val="single" w:sz="4" w:space="10" w:color="auto"/>
          <w:left w:val="single" w:sz="4" w:space="4" w:color="auto"/>
          <w:bottom w:val="single" w:sz="4" w:space="22" w:color="auto"/>
          <w:right w:val="single" w:sz="4" w:space="4" w:color="auto"/>
        </w:pBdr>
        <w:spacing w:before="100"/>
        <w:ind w:left="101" w:right="115"/>
        <w:rPr>
          <w:color w:val="000000"/>
          <w:lang w:val="sv-SE"/>
        </w:rPr>
      </w:pPr>
      <w:r w:rsidRPr="00800D1B">
        <w:rPr>
          <w:color w:val="000000"/>
          <w:lang w:val="sv-SE"/>
        </w:rPr>
        <w:t>Inom det specifika målet kan så väl makroregionalt integrerade projekt som projekt som faller inom definitionen för den transationella komponenten genomföras. Fokus bör ligga på projekt som förstärks av gränsöverskridande och/eller tvärsektoriella insatser och där de interregionala och transnationella komponenterna förstärker projektens bidrag till att nå de globala hållbarhetsmålen. Utbyte av kunskap, expertis, teknik och finansiella resurser är viktiga komponenter för att målen ska nås. </w:t>
      </w:r>
    </w:p>
    <w:p w14:paraId="0B494B2D" w14:textId="77777777" w:rsidR="00740E1E" w:rsidRPr="00800D1B" w:rsidRDefault="00740E1E" w:rsidP="00740E1E">
      <w:pPr>
        <w:pBdr>
          <w:top w:val="single" w:sz="4" w:space="10" w:color="auto"/>
          <w:left w:val="single" w:sz="4" w:space="4" w:color="auto"/>
          <w:bottom w:val="single" w:sz="4" w:space="22" w:color="auto"/>
          <w:right w:val="single" w:sz="4" w:space="4" w:color="auto"/>
        </w:pBdr>
        <w:spacing w:before="100"/>
        <w:ind w:left="101" w:right="115"/>
        <w:rPr>
          <w:color w:val="000000"/>
          <w:lang w:val="sv-SE"/>
        </w:rPr>
      </w:pPr>
      <w:r w:rsidRPr="00800D1B">
        <w:rPr>
          <w:color w:val="000000"/>
          <w:lang w:val="sv-SE"/>
        </w:rPr>
        <w:t>De insatser som kommer att stödjas ska ha ett mervärde för programområdet. Samverkansåtgärderna i programmet bör ha inriktning på att hitta och/eller genomföra gemensamma lösningar på identifierade gränsöverskridande problem.</w:t>
      </w:r>
    </w:p>
    <w:p w14:paraId="15D5A54A" w14:textId="77777777" w:rsidR="00740E1E" w:rsidRPr="00800D1B" w:rsidRDefault="00740E1E" w:rsidP="00740E1E">
      <w:pPr>
        <w:pBdr>
          <w:top w:val="single" w:sz="4" w:space="10" w:color="auto"/>
          <w:left w:val="single" w:sz="4" w:space="4" w:color="auto"/>
          <w:bottom w:val="single" w:sz="4" w:space="22" w:color="auto"/>
          <w:right w:val="single" w:sz="4" w:space="4" w:color="auto"/>
        </w:pBdr>
        <w:spacing w:before="100" w:after="360"/>
        <w:ind w:left="101" w:right="115"/>
        <w:rPr>
          <w:color w:val="000000"/>
          <w:lang w:val="sv-SE"/>
        </w:rPr>
      </w:pPr>
      <w:r w:rsidRPr="00800D1B">
        <w:rPr>
          <w:color w:val="000000"/>
          <w:lang w:val="sv-SE"/>
        </w:rPr>
        <w:t>Programmet kommer att verka för att bidra till genomförandet av EU’s klimatanpassningsstrategi och eftersträva samverkan med Östersjöprogrammets policyområden Bioeconomy, Nutri och Secure. Tänkbara samverkansparter är i första hand organisationer verksamma i Interreg Aurora-området.</w:t>
      </w:r>
    </w:p>
    <w:p w14:paraId="2D06625E" w14:textId="7C600B3C" w:rsidR="00A77B3E" w:rsidRPr="00800D1B" w:rsidRDefault="00623E14" w:rsidP="00A71A06">
      <w:pPr>
        <w:spacing w:before="480"/>
        <w:rPr>
          <w:lang w:val="sv-SE"/>
        </w:rPr>
      </w:pPr>
      <w:bookmarkStart w:id="134" w:name="_Toc256000375"/>
      <w:r w:rsidRPr="00800D1B">
        <w:rPr>
          <w:lang w:val="sv-SE"/>
        </w:rPr>
        <w:t>Planerad användning av finansieringsinstrument – artikel 22.3 d vii i förordningen om gemensamma bestämmelser</w:t>
      </w:r>
      <w:bookmarkEnd w:id="134"/>
    </w:p>
    <w:p w14:paraId="0B9BF50F" w14:textId="058E6100" w:rsidR="000D6EE3" w:rsidRPr="00800D1B" w:rsidRDefault="000D6EE3" w:rsidP="001C4055">
      <w:pPr>
        <w:pBdr>
          <w:top w:val="single" w:sz="4" w:space="10" w:color="auto"/>
          <w:left w:val="single" w:sz="4" w:space="4" w:color="auto"/>
          <w:bottom w:val="single" w:sz="4" w:space="20" w:color="auto"/>
          <w:right w:val="single" w:sz="4" w:space="4" w:color="auto"/>
          <w:between w:val="single" w:sz="4" w:space="10" w:color="auto"/>
          <w:bar w:val="single" w:sz="4" w:color="auto"/>
        </w:pBdr>
        <w:spacing w:before="100"/>
        <w:ind w:left="86"/>
        <w:rPr>
          <w:lang w:val="sv-SE"/>
        </w:rPr>
      </w:pPr>
      <w:r w:rsidRPr="00800D1B">
        <w:rPr>
          <w:lang w:val="sv-SE"/>
        </w:rPr>
        <w:t>Nej</w:t>
      </w:r>
    </w:p>
    <w:p w14:paraId="2D06625F" w14:textId="77777777" w:rsidR="00A77B3E" w:rsidRPr="00800D1B" w:rsidRDefault="00A77B3E">
      <w:pPr>
        <w:spacing w:before="100"/>
        <w:rPr>
          <w:color w:val="000000"/>
          <w:sz w:val="0"/>
          <w:lang w:val="sv-SE"/>
        </w:rPr>
      </w:pPr>
    </w:p>
    <w:p w14:paraId="2D066265" w14:textId="17B1EEC2" w:rsidR="00A77B3E" w:rsidRPr="00800D1B" w:rsidRDefault="00623E14" w:rsidP="002F4614">
      <w:pPr>
        <w:pStyle w:val="Rubrik6"/>
        <w:numPr>
          <w:ilvl w:val="4"/>
          <w:numId w:val="32"/>
        </w:numPr>
        <w:spacing w:before="360"/>
        <w:ind w:left="360"/>
      </w:pPr>
      <w:bookmarkStart w:id="135" w:name="_Toc256000376"/>
      <w:r w:rsidRPr="00800D1B">
        <w:t>Indikatorer</w:t>
      </w:r>
      <w:bookmarkEnd w:id="135"/>
    </w:p>
    <w:p w14:paraId="2D066266" w14:textId="77777777" w:rsidR="00A77B3E" w:rsidRPr="00800D1B" w:rsidRDefault="00A77B3E">
      <w:pPr>
        <w:spacing w:before="100"/>
        <w:rPr>
          <w:color w:val="000000"/>
          <w:sz w:val="0"/>
          <w:lang w:val="sv-SE"/>
        </w:rPr>
      </w:pPr>
    </w:p>
    <w:p w14:paraId="2D066267" w14:textId="77777777" w:rsidR="00A77B3E" w:rsidRPr="00800D1B" w:rsidRDefault="00623E14">
      <w:pPr>
        <w:spacing w:before="100"/>
        <w:rPr>
          <w:color w:val="000000"/>
          <w:sz w:val="0"/>
          <w:lang w:val="sv-SE"/>
        </w:rPr>
      </w:pPr>
      <w:r w:rsidRPr="00800D1B">
        <w:rPr>
          <w:color w:val="000000"/>
          <w:lang w:val="sv-SE"/>
        </w:rPr>
        <w:t>Referens: Artikel 22.3 d ii i förordningen om gemensamma bestämmelser och artikel 8 i Eruf-förordningen och förordningen om Sammanhållningsfonden</w:t>
      </w:r>
    </w:p>
    <w:p w14:paraId="2D066268" w14:textId="7261B9EA" w:rsidR="00A77B3E" w:rsidRPr="00800D1B" w:rsidRDefault="00623E14" w:rsidP="003D08B5">
      <w:pPr>
        <w:spacing w:before="100" w:after="100"/>
        <w:rPr>
          <w:lang w:val="sv-SE"/>
        </w:rPr>
      </w:pPr>
      <w:bookmarkStart w:id="136" w:name="_Toc256000377"/>
      <w:r w:rsidRPr="00800D1B">
        <w:rPr>
          <w:lang w:val="sv-SE"/>
        </w:rPr>
        <w:t>Tabell 2: Utfallsindikatorer</w:t>
      </w:r>
      <w:bookmarkEnd w:id="136"/>
    </w:p>
    <w:tbl>
      <w:tblPr>
        <w:tblStyle w:val="Tabellrutnt"/>
        <w:tblW w:w="5000" w:type="pct"/>
        <w:tblLook w:val="04A0" w:firstRow="1" w:lastRow="0" w:firstColumn="1" w:lastColumn="0" w:noHBand="0" w:noVBand="1"/>
        <w:tblDescription w:val="En tabell med nio kolumner: Prioritering; Specifikt mål; Fond; Regionkategori; ID; Indikator; Mätenhet; Delmål (2024); Mål (2029). Tabellen visar information om Utfallsindikatorer."/>
      </w:tblPr>
      <w:tblGrid>
        <w:gridCol w:w="1146"/>
        <w:gridCol w:w="1220"/>
        <w:gridCol w:w="634"/>
        <w:gridCol w:w="2030"/>
        <w:gridCol w:w="867"/>
        <w:gridCol w:w="5548"/>
        <w:gridCol w:w="1411"/>
        <w:gridCol w:w="1268"/>
        <w:gridCol w:w="1048"/>
      </w:tblGrid>
      <w:tr w:rsidR="003422DB" w:rsidRPr="00800D1B" w14:paraId="2D066273" w14:textId="77777777" w:rsidTr="0049057D">
        <w:tc>
          <w:tcPr>
            <w:tcW w:w="0" w:type="auto"/>
          </w:tcPr>
          <w:p w14:paraId="2D06626A" w14:textId="77777777" w:rsidR="00A77B3E" w:rsidRPr="00800D1B" w:rsidRDefault="00623E14" w:rsidP="0049057D">
            <w:pPr>
              <w:spacing w:before="100" w:after="100"/>
              <w:ind w:left="-72"/>
              <w:jc w:val="center"/>
              <w:rPr>
                <w:color w:val="000000"/>
                <w:sz w:val="20"/>
                <w:lang w:val="sv-SE"/>
              </w:rPr>
            </w:pPr>
            <w:r w:rsidRPr="00800D1B">
              <w:rPr>
                <w:color w:val="000000"/>
                <w:sz w:val="20"/>
                <w:lang w:val="sv-SE"/>
              </w:rPr>
              <w:t>Prioritering</w:t>
            </w:r>
          </w:p>
        </w:tc>
        <w:tc>
          <w:tcPr>
            <w:tcW w:w="0" w:type="auto"/>
          </w:tcPr>
          <w:p w14:paraId="2D06626B" w14:textId="77777777" w:rsidR="00A77B3E" w:rsidRPr="00800D1B" w:rsidRDefault="00623E14" w:rsidP="0049057D">
            <w:pPr>
              <w:spacing w:before="100" w:after="100"/>
              <w:ind w:left="-72"/>
              <w:jc w:val="center"/>
              <w:rPr>
                <w:color w:val="000000"/>
                <w:sz w:val="20"/>
                <w:lang w:val="sv-SE"/>
              </w:rPr>
            </w:pPr>
            <w:r w:rsidRPr="00800D1B">
              <w:rPr>
                <w:color w:val="000000"/>
                <w:sz w:val="20"/>
                <w:lang w:val="sv-SE"/>
              </w:rPr>
              <w:t>Specifikt mål</w:t>
            </w:r>
          </w:p>
        </w:tc>
        <w:tc>
          <w:tcPr>
            <w:tcW w:w="0" w:type="auto"/>
          </w:tcPr>
          <w:p w14:paraId="2D06626C" w14:textId="77777777" w:rsidR="00A77B3E" w:rsidRPr="00800D1B" w:rsidRDefault="00623E14" w:rsidP="0049057D">
            <w:pPr>
              <w:spacing w:before="100" w:after="100"/>
              <w:ind w:left="-72"/>
              <w:jc w:val="center"/>
              <w:rPr>
                <w:color w:val="000000"/>
                <w:sz w:val="20"/>
                <w:lang w:val="sv-SE"/>
              </w:rPr>
            </w:pPr>
            <w:r w:rsidRPr="00800D1B">
              <w:rPr>
                <w:color w:val="000000"/>
                <w:sz w:val="20"/>
                <w:lang w:val="sv-SE"/>
              </w:rPr>
              <w:t>Fond</w:t>
            </w:r>
          </w:p>
        </w:tc>
        <w:tc>
          <w:tcPr>
            <w:tcW w:w="0" w:type="auto"/>
          </w:tcPr>
          <w:p w14:paraId="2D06626D" w14:textId="77777777" w:rsidR="00A77B3E" w:rsidRPr="00800D1B" w:rsidRDefault="00623E14" w:rsidP="0049057D">
            <w:pPr>
              <w:spacing w:before="100" w:after="100"/>
              <w:ind w:left="-72"/>
              <w:jc w:val="center"/>
              <w:rPr>
                <w:color w:val="000000"/>
                <w:sz w:val="20"/>
                <w:lang w:val="sv-SE"/>
              </w:rPr>
            </w:pPr>
            <w:r w:rsidRPr="00800D1B">
              <w:rPr>
                <w:color w:val="000000"/>
                <w:sz w:val="20"/>
                <w:lang w:val="sv-SE"/>
              </w:rPr>
              <w:t>Regionkategori</w:t>
            </w:r>
          </w:p>
        </w:tc>
        <w:tc>
          <w:tcPr>
            <w:tcW w:w="0" w:type="auto"/>
          </w:tcPr>
          <w:p w14:paraId="2D06626E" w14:textId="77777777" w:rsidR="00A77B3E" w:rsidRPr="00800D1B" w:rsidRDefault="00623E14" w:rsidP="0049057D">
            <w:pPr>
              <w:spacing w:before="100" w:after="100"/>
              <w:ind w:left="-72"/>
              <w:jc w:val="center"/>
              <w:rPr>
                <w:color w:val="000000"/>
                <w:sz w:val="20"/>
                <w:lang w:val="sv-SE"/>
              </w:rPr>
            </w:pPr>
            <w:r w:rsidRPr="00800D1B">
              <w:rPr>
                <w:color w:val="000000"/>
                <w:sz w:val="20"/>
                <w:lang w:val="sv-SE"/>
              </w:rPr>
              <w:t>ID</w:t>
            </w:r>
          </w:p>
        </w:tc>
        <w:tc>
          <w:tcPr>
            <w:tcW w:w="0" w:type="auto"/>
          </w:tcPr>
          <w:p w14:paraId="2D06626F" w14:textId="77777777" w:rsidR="00A77B3E" w:rsidRPr="00800D1B" w:rsidRDefault="00623E14" w:rsidP="0049057D">
            <w:pPr>
              <w:spacing w:before="100" w:after="100"/>
              <w:ind w:left="-72"/>
              <w:jc w:val="center"/>
              <w:rPr>
                <w:color w:val="000000"/>
                <w:sz w:val="20"/>
                <w:lang w:val="sv-SE"/>
              </w:rPr>
            </w:pPr>
            <w:r w:rsidRPr="00800D1B">
              <w:rPr>
                <w:color w:val="000000"/>
                <w:sz w:val="20"/>
                <w:lang w:val="sv-SE"/>
              </w:rPr>
              <w:t>Indikator</w:t>
            </w:r>
          </w:p>
        </w:tc>
        <w:tc>
          <w:tcPr>
            <w:tcW w:w="0" w:type="auto"/>
          </w:tcPr>
          <w:p w14:paraId="2D066270" w14:textId="77777777" w:rsidR="00A77B3E" w:rsidRPr="00800D1B" w:rsidRDefault="00623E14" w:rsidP="0049057D">
            <w:pPr>
              <w:spacing w:before="100" w:after="100"/>
              <w:ind w:left="-72"/>
              <w:jc w:val="center"/>
              <w:rPr>
                <w:color w:val="000000"/>
                <w:sz w:val="20"/>
                <w:lang w:val="sv-SE"/>
              </w:rPr>
            </w:pPr>
            <w:r w:rsidRPr="00800D1B">
              <w:rPr>
                <w:color w:val="000000"/>
                <w:sz w:val="20"/>
                <w:lang w:val="sv-SE"/>
              </w:rPr>
              <w:t>Mätenhet</w:t>
            </w:r>
          </w:p>
        </w:tc>
        <w:tc>
          <w:tcPr>
            <w:tcW w:w="0" w:type="auto"/>
          </w:tcPr>
          <w:p w14:paraId="2D066271" w14:textId="77777777" w:rsidR="00A77B3E" w:rsidRPr="00800D1B" w:rsidRDefault="00623E14" w:rsidP="0049057D">
            <w:pPr>
              <w:spacing w:before="100" w:after="100"/>
              <w:ind w:left="-72"/>
              <w:jc w:val="center"/>
              <w:rPr>
                <w:color w:val="000000"/>
                <w:sz w:val="20"/>
                <w:lang w:val="sv-SE"/>
              </w:rPr>
            </w:pPr>
            <w:r w:rsidRPr="00800D1B">
              <w:rPr>
                <w:color w:val="000000"/>
                <w:sz w:val="20"/>
                <w:lang w:val="sv-SE"/>
              </w:rPr>
              <w:t>Delmål (2024)</w:t>
            </w:r>
          </w:p>
        </w:tc>
        <w:tc>
          <w:tcPr>
            <w:tcW w:w="0" w:type="auto"/>
          </w:tcPr>
          <w:p w14:paraId="2D066272" w14:textId="77777777" w:rsidR="00A77B3E" w:rsidRPr="00800D1B" w:rsidRDefault="00623E14" w:rsidP="0049057D">
            <w:pPr>
              <w:spacing w:before="100" w:after="100"/>
              <w:ind w:left="-72"/>
              <w:jc w:val="center"/>
              <w:rPr>
                <w:color w:val="000000"/>
                <w:sz w:val="20"/>
                <w:lang w:val="sv-SE"/>
              </w:rPr>
            </w:pPr>
            <w:r w:rsidRPr="00800D1B">
              <w:rPr>
                <w:color w:val="000000"/>
                <w:sz w:val="20"/>
                <w:lang w:val="sv-SE"/>
              </w:rPr>
              <w:t>Mål (2029)</w:t>
            </w:r>
          </w:p>
        </w:tc>
      </w:tr>
      <w:tr w:rsidR="003422DB" w:rsidRPr="00800D1B" w14:paraId="2D06627D" w14:textId="77777777" w:rsidTr="0049057D">
        <w:tc>
          <w:tcPr>
            <w:tcW w:w="0" w:type="auto"/>
          </w:tcPr>
          <w:p w14:paraId="2D066274" w14:textId="77777777" w:rsidR="00A77B3E" w:rsidRPr="00800D1B" w:rsidRDefault="00623E14" w:rsidP="0049057D">
            <w:pPr>
              <w:spacing w:before="100" w:after="100"/>
              <w:ind w:left="-72"/>
              <w:rPr>
                <w:color w:val="000000"/>
                <w:sz w:val="20"/>
                <w:lang w:val="sv-SE"/>
              </w:rPr>
            </w:pPr>
            <w:r w:rsidRPr="00800D1B">
              <w:rPr>
                <w:color w:val="000000"/>
                <w:sz w:val="20"/>
                <w:lang w:val="sv-SE"/>
              </w:rPr>
              <w:t>4</w:t>
            </w:r>
          </w:p>
        </w:tc>
        <w:tc>
          <w:tcPr>
            <w:tcW w:w="0" w:type="auto"/>
          </w:tcPr>
          <w:p w14:paraId="2D066275" w14:textId="77777777" w:rsidR="00A77B3E" w:rsidRPr="00800D1B" w:rsidRDefault="00623E14" w:rsidP="0049057D">
            <w:pPr>
              <w:spacing w:before="100" w:after="100"/>
              <w:ind w:left="-72"/>
              <w:rPr>
                <w:color w:val="000000"/>
                <w:sz w:val="20"/>
                <w:lang w:val="sv-SE"/>
              </w:rPr>
            </w:pPr>
            <w:r w:rsidRPr="00800D1B">
              <w:rPr>
                <w:color w:val="000000"/>
                <w:sz w:val="20"/>
                <w:lang w:val="sv-SE"/>
              </w:rPr>
              <w:t>RSO2.4</w:t>
            </w:r>
          </w:p>
        </w:tc>
        <w:tc>
          <w:tcPr>
            <w:tcW w:w="0" w:type="auto"/>
          </w:tcPr>
          <w:p w14:paraId="2D066276" w14:textId="77777777" w:rsidR="00A77B3E" w:rsidRPr="00800D1B" w:rsidRDefault="00623E14" w:rsidP="0049057D">
            <w:pPr>
              <w:spacing w:before="100" w:after="100"/>
              <w:ind w:left="-72"/>
              <w:rPr>
                <w:color w:val="000000"/>
                <w:sz w:val="20"/>
                <w:lang w:val="sv-SE"/>
              </w:rPr>
            </w:pPr>
            <w:r w:rsidRPr="00800D1B">
              <w:rPr>
                <w:color w:val="000000"/>
                <w:sz w:val="20"/>
                <w:lang w:val="sv-SE"/>
              </w:rPr>
              <w:t>Eruf</w:t>
            </w:r>
          </w:p>
        </w:tc>
        <w:tc>
          <w:tcPr>
            <w:tcW w:w="0" w:type="auto"/>
          </w:tcPr>
          <w:p w14:paraId="2D066277" w14:textId="77777777" w:rsidR="00A77B3E" w:rsidRPr="00800D1B" w:rsidRDefault="00623E14" w:rsidP="008D35C9">
            <w:pPr>
              <w:spacing w:before="100" w:after="60"/>
              <w:ind w:left="-72"/>
              <w:rPr>
                <w:color w:val="000000"/>
                <w:sz w:val="20"/>
                <w:lang w:val="sv-SE"/>
              </w:rPr>
            </w:pPr>
            <w:r w:rsidRPr="00800D1B">
              <w:rPr>
                <w:color w:val="000000"/>
                <w:sz w:val="20"/>
                <w:lang w:val="sv-SE"/>
              </w:rPr>
              <w:t>Mer utvecklade regioner</w:t>
            </w:r>
          </w:p>
        </w:tc>
        <w:tc>
          <w:tcPr>
            <w:tcW w:w="0" w:type="auto"/>
          </w:tcPr>
          <w:p w14:paraId="2D066278" w14:textId="77777777" w:rsidR="00A77B3E" w:rsidRPr="00800D1B" w:rsidRDefault="00623E14" w:rsidP="0049057D">
            <w:pPr>
              <w:spacing w:before="100" w:after="100"/>
              <w:ind w:left="-72"/>
              <w:rPr>
                <w:color w:val="000000"/>
                <w:sz w:val="20"/>
                <w:lang w:val="sv-SE"/>
              </w:rPr>
            </w:pPr>
            <w:r w:rsidRPr="00800D1B">
              <w:rPr>
                <w:color w:val="000000"/>
                <w:sz w:val="20"/>
                <w:lang w:val="sv-SE"/>
              </w:rPr>
              <w:t>RCO27</w:t>
            </w:r>
          </w:p>
        </w:tc>
        <w:tc>
          <w:tcPr>
            <w:tcW w:w="0" w:type="auto"/>
          </w:tcPr>
          <w:p w14:paraId="2D066279" w14:textId="77777777" w:rsidR="00A77B3E" w:rsidRPr="00800D1B" w:rsidRDefault="00623E14" w:rsidP="008D35C9">
            <w:pPr>
              <w:spacing w:before="100" w:after="60"/>
              <w:ind w:left="-72"/>
              <w:rPr>
                <w:color w:val="000000"/>
                <w:sz w:val="20"/>
                <w:lang w:val="sv-SE"/>
              </w:rPr>
            </w:pPr>
            <w:r w:rsidRPr="00800D1B">
              <w:rPr>
                <w:color w:val="000000"/>
                <w:sz w:val="20"/>
                <w:lang w:val="sv-SE"/>
              </w:rPr>
              <w:t>Nationella och subnationella strategier för anpassning till klimatförändringarna</w:t>
            </w:r>
          </w:p>
        </w:tc>
        <w:tc>
          <w:tcPr>
            <w:tcW w:w="0" w:type="auto"/>
          </w:tcPr>
          <w:p w14:paraId="2D06627A" w14:textId="77777777" w:rsidR="00A77B3E" w:rsidRPr="00800D1B" w:rsidRDefault="00623E14" w:rsidP="0049057D">
            <w:pPr>
              <w:spacing w:before="100" w:after="100"/>
              <w:ind w:left="-72"/>
              <w:rPr>
                <w:color w:val="000000"/>
                <w:sz w:val="20"/>
                <w:lang w:val="sv-SE"/>
              </w:rPr>
            </w:pPr>
            <w:r w:rsidRPr="00800D1B">
              <w:rPr>
                <w:color w:val="000000"/>
                <w:sz w:val="20"/>
                <w:lang w:val="sv-SE"/>
              </w:rPr>
              <w:t>strategier</w:t>
            </w:r>
          </w:p>
        </w:tc>
        <w:tc>
          <w:tcPr>
            <w:tcW w:w="0" w:type="auto"/>
          </w:tcPr>
          <w:p w14:paraId="2D06627B" w14:textId="77777777" w:rsidR="00A77B3E" w:rsidRPr="00800D1B" w:rsidRDefault="00623E14" w:rsidP="0049057D">
            <w:pPr>
              <w:spacing w:before="100" w:after="100"/>
              <w:ind w:left="-72"/>
              <w:jc w:val="right"/>
              <w:rPr>
                <w:color w:val="000000"/>
                <w:sz w:val="20"/>
                <w:lang w:val="sv-SE"/>
              </w:rPr>
            </w:pPr>
            <w:r w:rsidRPr="00800D1B">
              <w:rPr>
                <w:color w:val="000000"/>
                <w:sz w:val="20"/>
                <w:lang w:val="sv-SE"/>
              </w:rPr>
              <w:t>1,00</w:t>
            </w:r>
          </w:p>
        </w:tc>
        <w:tc>
          <w:tcPr>
            <w:tcW w:w="0" w:type="auto"/>
          </w:tcPr>
          <w:p w14:paraId="2D06627C" w14:textId="77777777" w:rsidR="00A77B3E" w:rsidRPr="00800D1B" w:rsidRDefault="00623E14" w:rsidP="0049057D">
            <w:pPr>
              <w:spacing w:before="100" w:after="100"/>
              <w:ind w:left="-72"/>
              <w:jc w:val="right"/>
              <w:rPr>
                <w:color w:val="000000"/>
                <w:sz w:val="20"/>
                <w:lang w:val="sv-SE"/>
              </w:rPr>
            </w:pPr>
            <w:r w:rsidRPr="00800D1B">
              <w:rPr>
                <w:color w:val="000000"/>
                <w:sz w:val="20"/>
                <w:lang w:val="sv-SE"/>
              </w:rPr>
              <w:t>16,00</w:t>
            </w:r>
          </w:p>
        </w:tc>
      </w:tr>
      <w:tr w:rsidR="003422DB" w:rsidRPr="00800D1B" w14:paraId="2D066287" w14:textId="77777777" w:rsidTr="0049057D">
        <w:tc>
          <w:tcPr>
            <w:tcW w:w="0" w:type="auto"/>
          </w:tcPr>
          <w:p w14:paraId="2D06627E" w14:textId="77777777" w:rsidR="00A77B3E" w:rsidRPr="00800D1B" w:rsidRDefault="00623E14" w:rsidP="0049057D">
            <w:pPr>
              <w:spacing w:before="100" w:after="100"/>
              <w:ind w:left="-72"/>
              <w:rPr>
                <w:color w:val="000000"/>
                <w:sz w:val="20"/>
                <w:lang w:val="sv-SE"/>
              </w:rPr>
            </w:pPr>
            <w:r w:rsidRPr="00800D1B">
              <w:rPr>
                <w:color w:val="000000"/>
                <w:sz w:val="20"/>
                <w:lang w:val="sv-SE"/>
              </w:rPr>
              <w:t>4</w:t>
            </w:r>
          </w:p>
        </w:tc>
        <w:tc>
          <w:tcPr>
            <w:tcW w:w="0" w:type="auto"/>
          </w:tcPr>
          <w:p w14:paraId="2D06627F" w14:textId="77777777" w:rsidR="00A77B3E" w:rsidRPr="00800D1B" w:rsidRDefault="00623E14" w:rsidP="0049057D">
            <w:pPr>
              <w:spacing w:before="100" w:after="100"/>
              <w:ind w:left="-72"/>
              <w:rPr>
                <w:color w:val="000000"/>
                <w:sz w:val="20"/>
                <w:lang w:val="sv-SE"/>
              </w:rPr>
            </w:pPr>
            <w:r w:rsidRPr="00800D1B">
              <w:rPr>
                <w:color w:val="000000"/>
                <w:sz w:val="20"/>
                <w:lang w:val="sv-SE"/>
              </w:rPr>
              <w:t>RSO2.4</w:t>
            </w:r>
          </w:p>
        </w:tc>
        <w:tc>
          <w:tcPr>
            <w:tcW w:w="0" w:type="auto"/>
          </w:tcPr>
          <w:p w14:paraId="2D066280" w14:textId="77777777" w:rsidR="00A77B3E" w:rsidRPr="00800D1B" w:rsidRDefault="00623E14" w:rsidP="0049057D">
            <w:pPr>
              <w:spacing w:before="100" w:after="100"/>
              <w:ind w:left="-72"/>
              <w:rPr>
                <w:color w:val="000000"/>
                <w:sz w:val="20"/>
                <w:lang w:val="sv-SE"/>
              </w:rPr>
            </w:pPr>
            <w:r w:rsidRPr="00800D1B">
              <w:rPr>
                <w:color w:val="000000"/>
                <w:sz w:val="20"/>
                <w:lang w:val="sv-SE"/>
              </w:rPr>
              <w:t>Eruf</w:t>
            </w:r>
          </w:p>
        </w:tc>
        <w:tc>
          <w:tcPr>
            <w:tcW w:w="0" w:type="auto"/>
          </w:tcPr>
          <w:p w14:paraId="2D066281" w14:textId="77777777" w:rsidR="00A77B3E" w:rsidRPr="00800D1B" w:rsidRDefault="00623E14" w:rsidP="008D35C9">
            <w:pPr>
              <w:spacing w:before="100" w:after="60"/>
              <w:ind w:left="-72"/>
              <w:rPr>
                <w:color w:val="000000"/>
                <w:sz w:val="20"/>
                <w:lang w:val="sv-SE"/>
              </w:rPr>
            </w:pPr>
            <w:r w:rsidRPr="00800D1B">
              <w:rPr>
                <w:color w:val="000000"/>
                <w:sz w:val="20"/>
                <w:lang w:val="sv-SE"/>
              </w:rPr>
              <w:t>Mer utvecklade regioner</w:t>
            </w:r>
          </w:p>
        </w:tc>
        <w:tc>
          <w:tcPr>
            <w:tcW w:w="0" w:type="auto"/>
          </w:tcPr>
          <w:p w14:paraId="2D066282" w14:textId="77777777" w:rsidR="00A77B3E" w:rsidRPr="00800D1B" w:rsidRDefault="00623E14" w:rsidP="0049057D">
            <w:pPr>
              <w:spacing w:before="100" w:after="100"/>
              <w:ind w:left="-72"/>
              <w:rPr>
                <w:color w:val="000000"/>
                <w:sz w:val="20"/>
                <w:lang w:val="sv-SE"/>
              </w:rPr>
            </w:pPr>
            <w:r w:rsidRPr="00800D1B">
              <w:rPr>
                <w:color w:val="000000"/>
                <w:sz w:val="20"/>
                <w:lang w:val="sv-SE"/>
              </w:rPr>
              <w:t>SWO01</w:t>
            </w:r>
          </w:p>
        </w:tc>
        <w:tc>
          <w:tcPr>
            <w:tcW w:w="0" w:type="auto"/>
          </w:tcPr>
          <w:p w14:paraId="2D066283" w14:textId="77777777" w:rsidR="00A77B3E" w:rsidRPr="00800D1B" w:rsidRDefault="00623E14" w:rsidP="008D35C9">
            <w:pPr>
              <w:spacing w:before="100" w:after="60"/>
              <w:ind w:left="-72"/>
              <w:rPr>
                <w:color w:val="000000"/>
                <w:sz w:val="20"/>
                <w:lang w:val="sv-SE"/>
              </w:rPr>
            </w:pPr>
            <w:r w:rsidRPr="00800D1B">
              <w:rPr>
                <w:color w:val="000000"/>
                <w:sz w:val="20"/>
                <w:lang w:val="sv-SE"/>
              </w:rPr>
              <w:t>Antal organisationer som får stöd</w:t>
            </w:r>
          </w:p>
        </w:tc>
        <w:tc>
          <w:tcPr>
            <w:tcW w:w="0" w:type="auto"/>
          </w:tcPr>
          <w:p w14:paraId="2D066284" w14:textId="77777777" w:rsidR="00A77B3E" w:rsidRPr="00800D1B" w:rsidRDefault="00623E14" w:rsidP="0049057D">
            <w:pPr>
              <w:spacing w:before="100" w:after="100"/>
              <w:ind w:left="-72"/>
              <w:rPr>
                <w:color w:val="000000"/>
                <w:sz w:val="20"/>
                <w:lang w:val="sv-SE"/>
              </w:rPr>
            </w:pPr>
            <w:r w:rsidRPr="00800D1B">
              <w:rPr>
                <w:color w:val="000000"/>
                <w:sz w:val="20"/>
                <w:lang w:val="sv-SE"/>
              </w:rPr>
              <w:t>Organisationer</w:t>
            </w:r>
          </w:p>
        </w:tc>
        <w:tc>
          <w:tcPr>
            <w:tcW w:w="0" w:type="auto"/>
          </w:tcPr>
          <w:p w14:paraId="2D066285" w14:textId="77777777" w:rsidR="00A77B3E" w:rsidRPr="00800D1B" w:rsidRDefault="00623E14" w:rsidP="0049057D">
            <w:pPr>
              <w:spacing w:before="100" w:after="100"/>
              <w:ind w:left="-72"/>
              <w:jc w:val="right"/>
              <w:rPr>
                <w:color w:val="000000"/>
                <w:sz w:val="20"/>
                <w:lang w:val="sv-SE"/>
              </w:rPr>
            </w:pPr>
            <w:r w:rsidRPr="00800D1B">
              <w:rPr>
                <w:color w:val="000000"/>
                <w:sz w:val="20"/>
                <w:lang w:val="sv-SE"/>
              </w:rPr>
              <w:t>2,00</w:t>
            </w:r>
          </w:p>
        </w:tc>
        <w:tc>
          <w:tcPr>
            <w:tcW w:w="0" w:type="auto"/>
          </w:tcPr>
          <w:p w14:paraId="2D066286" w14:textId="77777777" w:rsidR="00A77B3E" w:rsidRPr="00800D1B" w:rsidRDefault="00623E14" w:rsidP="0049057D">
            <w:pPr>
              <w:spacing w:before="100" w:after="100"/>
              <w:ind w:left="-72"/>
              <w:jc w:val="right"/>
              <w:rPr>
                <w:color w:val="000000"/>
                <w:sz w:val="20"/>
                <w:lang w:val="sv-SE"/>
              </w:rPr>
            </w:pPr>
            <w:r w:rsidRPr="00800D1B">
              <w:rPr>
                <w:color w:val="000000"/>
                <w:sz w:val="20"/>
                <w:lang w:val="sv-SE"/>
              </w:rPr>
              <w:t>36,00</w:t>
            </w:r>
          </w:p>
        </w:tc>
      </w:tr>
    </w:tbl>
    <w:p w14:paraId="2D066289" w14:textId="77777777" w:rsidR="00A77B3E" w:rsidRPr="00800D1B" w:rsidRDefault="00623E14" w:rsidP="002F4614">
      <w:pPr>
        <w:spacing w:before="360"/>
        <w:rPr>
          <w:color w:val="000000"/>
          <w:sz w:val="0"/>
          <w:lang w:val="sv-SE"/>
        </w:rPr>
      </w:pPr>
      <w:r w:rsidRPr="00800D1B">
        <w:rPr>
          <w:color w:val="000000"/>
          <w:lang w:val="sv-SE"/>
        </w:rPr>
        <w:t>Referens: Artikel 22.3 d ii i förordningen om gemensamma bestämmelser</w:t>
      </w:r>
    </w:p>
    <w:p w14:paraId="2D06628A" w14:textId="32AFEEE9" w:rsidR="00A77B3E" w:rsidRPr="00800D1B" w:rsidRDefault="00623E14" w:rsidP="003D08B5">
      <w:pPr>
        <w:spacing w:before="100" w:after="100"/>
        <w:rPr>
          <w:lang w:val="sv-SE"/>
        </w:rPr>
      </w:pPr>
      <w:bookmarkStart w:id="137" w:name="_Toc256000378"/>
      <w:r w:rsidRPr="00800D1B">
        <w:rPr>
          <w:lang w:val="sv-SE"/>
        </w:rPr>
        <w:t>Tabell 3: Resultatindikatorer</w:t>
      </w:r>
      <w:bookmarkEnd w:id="137"/>
    </w:p>
    <w:tbl>
      <w:tblPr>
        <w:tblStyle w:val="Tabellrutnt"/>
        <w:tblW w:w="5000" w:type="pct"/>
        <w:tblLook w:val="04A0" w:firstRow="1" w:lastRow="0" w:firstColumn="1" w:lastColumn="0" w:noHBand="0" w:noVBand="1"/>
        <w:tblDescription w:val="En tabell med tolv kolumner: Prioritering; Specifikt mål; Fond; Regionkategori; ID; Indikator; Mätenhet; Utgångsvärde eller referensvärde; Referensår; Mål (2029); Datakälla; Kommentarer. Tabellen visar information om Resultatindikatorer."/>
      </w:tblPr>
      <w:tblGrid>
        <w:gridCol w:w="1083"/>
        <w:gridCol w:w="937"/>
        <w:gridCol w:w="572"/>
        <w:gridCol w:w="1507"/>
        <w:gridCol w:w="793"/>
        <w:gridCol w:w="3141"/>
        <w:gridCol w:w="1348"/>
        <w:gridCol w:w="1509"/>
        <w:gridCol w:w="1026"/>
        <w:gridCol w:w="1060"/>
        <w:gridCol w:w="926"/>
        <w:gridCol w:w="1270"/>
      </w:tblGrid>
      <w:tr w:rsidR="003422DB" w:rsidRPr="00800D1B" w14:paraId="2D066298" w14:textId="77777777" w:rsidTr="0049057D">
        <w:tc>
          <w:tcPr>
            <w:tcW w:w="0" w:type="auto"/>
          </w:tcPr>
          <w:p w14:paraId="2D06628C" w14:textId="77777777" w:rsidR="00A77B3E" w:rsidRPr="00800D1B" w:rsidRDefault="00623E14" w:rsidP="0049057D">
            <w:pPr>
              <w:spacing w:before="100" w:after="100"/>
              <w:ind w:left="-72"/>
              <w:jc w:val="center"/>
              <w:rPr>
                <w:color w:val="000000"/>
                <w:sz w:val="20"/>
                <w:lang w:val="sv-SE"/>
              </w:rPr>
            </w:pPr>
            <w:r w:rsidRPr="00800D1B">
              <w:rPr>
                <w:color w:val="000000"/>
                <w:sz w:val="20"/>
                <w:lang w:val="sv-SE"/>
              </w:rPr>
              <w:t>Prioritering</w:t>
            </w:r>
          </w:p>
        </w:tc>
        <w:tc>
          <w:tcPr>
            <w:tcW w:w="0" w:type="auto"/>
          </w:tcPr>
          <w:p w14:paraId="2D06628D" w14:textId="77777777" w:rsidR="00A77B3E" w:rsidRPr="00800D1B" w:rsidRDefault="00623E14" w:rsidP="0049057D">
            <w:pPr>
              <w:spacing w:before="100" w:after="100"/>
              <w:ind w:left="-72"/>
              <w:jc w:val="center"/>
              <w:rPr>
                <w:color w:val="000000"/>
                <w:sz w:val="20"/>
                <w:lang w:val="sv-SE"/>
              </w:rPr>
            </w:pPr>
            <w:r w:rsidRPr="00800D1B">
              <w:rPr>
                <w:color w:val="000000"/>
                <w:sz w:val="20"/>
                <w:lang w:val="sv-SE"/>
              </w:rPr>
              <w:t>Specifikt mål</w:t>
            </w:r>
          </w:p>
        </w:tc>
        <w:tc>
          <w:tcPr>
            <w:tcW w:w="0" w:type="auto"/>
          </w:tcPr>
          <w:p w14:paraId="2D06628E" w14:textId="77777777" w:rsidR="00A77B3E" w:rsidRPr="00800D1B" w:rsidRDefault="00623E14" w:rsidP="0049057D">
            <w:pPr>
              <w:spacing w:before="100" w:after="100"/>
              <w:ind w:left="-72"/>
              <w:jc w:val="center"/>
              <w:rPr>
                <w:color w:val="000000"/>
                <w:sz w:val="20"/>
                <w:lang w:val="sv-SE"/>
              </w:rPr>
            </w:pPr>
            <w:r w:rsidRPr="00800D1B">
              <w:rPr>
                <w:color w:val="000000"/>
                <w:sz w:val="20"/>
                <w:lang w:val="sv-SE"/>
              </w:rPr>
              <w:t>Fond</w:t>
            </w:r>
          </w:p>
        </w:tc>
        <w:tc>
          <w:tcPr>
            <w:tcW w:w="0" w:type="auto"/>
          </w:tcPr>
          <w:p w14:paraId="2D06628F" w14:textId="77777777" w:rsidR="00A77B3E" w:rsidRPr="00800D1B" w:rsidRDefault="00623E14" w:rsidP="0049057D">
            <w:pPr>
              <w:spacing w:before="100" w:after="100"/>
              <w:ind w:left="-72"/>
              <w:jc w:val="center"/>
              <w:rPr>
                <w:color w:val="000000"/>
                <w:sz w:val="20"/>
                <w:lang w:val="sv-SE"/>
              </w:rPr>
            </w:pPr>
            <w:r w:rsidRPr="00800D1B">
              <w:rPr>
                <w:color w:val="000000"/>
                <w:sz w:val="20"/>
                <w:lang w:val="sv-SE"/>
              </w:rPr>
              <w:t>Regionkategori</w:t>
            </w:r>
          </w:p>
        </w:tc>
        <w:tc>
          <w:tcPr>
            <w:tcW w:w="0" w:type="auto"/>
          </w:tcPr>
          <w:p w14:paraId="2D066290" w14:textId="77777777" w:rsidR="00A77B3E" w:rsidRPr="00800D1B" w:rsidRDefault="00623E14" w:rsidP="0049057D">
            <w:pPr>
              <w:spacing w:before="100" w:after="100"/>
              <w:ind w:left="-72"/>
              <w:jc w:val="center"/>
              <w:rPr>
                <w:color w:val="000000"/>
                <w:sz w:val="20"/>
                <w:lang w:val="sv-SE"/>
              </w:rPr>
            </w:pPr>
            <w:r w:rsidRPr="00800D1B">
              <w:rPr>
                <w:color w:val="000000"/>
                <w:sz w:val="20"/>
                <w:lang w:val="sv-SE"/>
              </w:rPr>
              <w:t>ID</w:t>
            </w:r>
          </w:p>
        </w:tc>
        <w:tc>
          <w:tcPr>
            <w:tcW w:w="0" w:type="auto"/>
          </w:tcPr>
          <w:p w14:paraId="2D066291" w14:textId="77777777" w:rsidR="00A77B3E" w:rsidRPr="00800D1B" w:rsidRDefault="00623E14" w:rsidP="0049057D">
            <w:pPr>
              <w:spacing w:before="100" w:after="100"/>
              <w:ind w:left="-72"/>
              <w:jc w:val="center"/>
              <w:rPr>
                <w:color w:val="000000"/>
                <w:sz w:val="20"/>
                <w:lang w:val="sv-SE"/>
              </w:rPr>
            </w:pPr>
            <w:r w:rsidRPr="00800D1B">
              <w:rPr>
                <w:color w:val="000000"/>
                <w:sz w:val="20"/>
                <w:lang w:val="sv-SE"/>
              </w:rPr>
              <w:t>Indikator</w:t>
            </w:r>
          </w:p>
        </w:tc>
        <w:tc>
          <w:tcPr>
            <w:tcW w:w="0" w:type="auto"/>
          </w:tcPr>
          <w:p w14:paraId="2D066292" w14:textId="77777777" w:rsidR="00A77B3E" w:rsidRPr="00800D1B" w:rsidRDefault="00623E14" w:rsidP="0049057D">
            <w:pPr>
              <w:spacing w:before="100" w:after="100"/>
              <w:ind w:left="-72"/>
              <w:jc w:val="center"/>
              <w:rPr>
                <w:color w:val="000000"/>
                <w:sz w:val="20"/>
                <w:lang w:val="sv-SE"/>
              </w:rPr>
            </w:pPr>
            <w:r w:rsidRPr="00800D1B">
              <w:rPr>
                <w:color w:val="000000"/>
                <w:sz w:val="20"/>
                <w:lang w:val="sv-SE"/>
              </w:rPr>
              <w:t>Mätenhet</w:t>
            </w:r>
          </w:p>
        </w:tc>
        <w:tc>
          <w:tcPr>
            <w:tcW w:w="0" w:type="auto"/>
          </w:tcPr>
          <w:p w14:paraId="2D066293" w14:textId="77777777" w:rsidR="00A77B3E" w:rsidRPr="00800D1B" w:rsidRDefault="00623E14" w:rsidP="0049057D">
            <w:pPr>
              <w:spacing w:before="100" w:after="100"/>
              <w:ind w:left="-72"/>
              <w:jc w:val="center"/>
              <w:rPr>
                <w:color w:val="000000"/>
                <w:sz w:val="20"/>
                <w:lang w:val="sv-SE"/>
              </w:rPr>
            </w:pPr>
            <w:r w:rsidRPr="00800D1B">
              <w:rPr>
                <w:color w:val="000000"/>
                <w:sz w:val="20"/>
                <w:lang w:val="sv-SE"/>
              </w:rPr>
              <w:t>Utgångsvärde eller referensvärde</w:t>
            </w:r>
          </w:p>
        </w:tc>
        <w:tc>
          <w:tcPr>
            <w:tcW w:w="0" w:type="auto"/>
          </w:tcPr>
          <w:p w14:paraId="2D066294" w14:textId="77777777" w:rsidR="00A77B3E" w:rsidRPr="00800D1B" w:rsidRDefault="00623E14" w:rsidP="0049057D">
            <w:pPr>
              <w:spacing w:before="100" w:after="100"/>
              <w:ind w:left="-72"/>
              <w:jc w:val="center"/>
              <w:rPr>
                <w:color w:val="000000"/>
                <w:sz w:val="20"/>
                <w:lang w:val="sv-SE"/>
              </w:rPr>
            </w:pPr>
            <w:r w:rsidRPr="00800D1B">
              <w:rPr>
                <w:color w:val="000000"/>
                <w:sz w:val="20"/>
                <w:lang w:val="sv-SE"/>
              </w:rPr>
              <w:t>Referensår</w:t>
            </w:r>
          </w:p>
        </w:tc>
        <w:tc>
          <w:tcPr>
            <w:tcW w:w="0" w:type="auto"/>
          </w:tcPr>
          <w:p w14:paraId="2D066295" w14:textId="77777777" w:rsidR="00A77B3E" w:rsidRPr="00800D1B" w:rsidRDefault="00623E14" w:rsidP="0049057D">
            <w:pPr>
              <w:spacing w:before="100" w:after="100"/>
              <w:ind w:left="-72"/>
              <w:jc w:val="center"/>
              <w:rPr>
                <w:color w:val="000000"/>
                <w:sz w:val="20"/>
                <w:lang w:val="sv-SE"/>
              </w:rPr>
            </w:pPr>
            <w:r w:rsidRPr="00800D1B">
              <w:rPr>
                <w:color w:val="000000"/>
                <w:sz w:val="20"/>
                <w:lang w:val="sv-SE"/>
              </w:rPr>
              <w:t>Mål (2029)</w:t>
            </w:r>
          </w:p>
        </w:tc>
        <w:tc>
          <w:tcPr>
            <w:tcW w:w="0" w:type="auto"/>
          </w:tcPr>
          <w:p w14:paraId="2D066296" w14:textId="77777777" w:rsidR="00A77B3E" w:rsidRPr="00800D1B" w:rsidRDefault="00623E14" w:rsidP="0049057D">
            <w:pPr>
              <w:spacing w:before="100" w:after="100"/>
              <w:ind w:left="-72"/>
              <w:jc w:val="center"/>
              <w:rPr>
                <w:color w:val="000000"/>
                <w:sz w:val="20"/>
                <w:lang w:val="sv-SE"/>
              </w:rPr>
            </w:pPr>
            <w:r w:rsidRPr="00800D1B">
              <w:rPr>
                <w:color w:val="000000"/>
                <w:sz w:val="20"/>
                <w:lang w:val="sv-SE"/>
              </w:rPr>
              <w:t>Datakälla</w:t>
            </w:r>
          </w:p>
        </w:tc>
        <w:tc>
          <w:tcPr>
            <w:tcW w:w="0" w:type="auto"/>
          </w:tcPr>
          <w:p w14:paraId="2D066297" w14:textId="77777777" w:rsidR="00A77B3E" w:rsidRPr="00800D1B" w:rsidRDefault="00623E14" w:rsidP="0049057D">
            <w:pPr>
              <w:spacing w:before="100" w:after="100"/>
              <w:ind w:left="-72"/>
              <w:jc w:val="center"/>
              <w:rPr>
                <w:color w:val="000000"/>
                <w:sz w:val="20"/>
                <w:lang w:val="sv-SE"/>
              </w:rPr>
            </w:pPr>
            <w:r w:rsidRPr="00800D1B">
              <w:rPr>
                <w:color w:val="000000"/>
                <w:sz w:val="20"/>
                <w:lang w:val="sv-SE"/>
              </w:rPr>
              <w:t>Kommentarer</w:t>
            </w:r>
          </w:p>
        </w:tc>
      </w:tr>
      <w:tr w:rsidR="003422DB" w:rsidRPr="00800D1B" w14:paraId="2D0662A5" w14:textId="77777777" w:rsidTr="0049057D">
        <w:tc>
          <w:tcPr>
            <w:tcW w:w="0" w:type="auto"/>
          </w:tcPr>
          <w:p w14:paraId="2D066299" w14:textId="77777777" w:rsidR="00A77B3E" w:rsidRPr="00800D1B" w:rsidRDefault="00623E14" w:rsidP="0049057D">
            <w:pPr>
              <w:spacing w:before="100" w:after="100"/>
              <w:ind w:left="-72"/>
              <w:rPr>
                <w:color w:val="000000"/>
                <w:sz w:val="20"/>
                <w:lang w:val="sv-SE"/>
              </w:rPr>
            </w:pPr>
            <w:r w:rsidRPr="00800D1B">
              <w:rPr>
                <w:color w:val="000000"/>
                <w:sz w:val="20"/>
                <w:lang w:val="sv-SE"/>
              </w:rPr>
              <w:t>4</w:t>
            </w:r>
          </w:p>
        </w:tc>
        <w:tc>
          <w:tcPr>
            <w:tcW w:w="0" w:type="auto"/>
          </w:tcPr>
          <w:p w14:paraId="2D06629A" w14:textId="77777777" w:rsidR="00A77B3E" w:rsidRPr="00800D1B" w:rsidRDefault="00623E14" w:rsidP="0049057D">
            <w:pPr>
              <w:spacing w:before="100" w:after="100"/>
              <w:ind w:left="-72"/>
              <w:rPr>
                <w:color w:val="000000"/>
                <w:sz w:val="20"/>
                <w:lang w:val="sv-SE"/>
              </w:rPr>
            </w:pPr>
            <w:r w:rsidRPr="00800D1B">
              <w:rPr>
                <w:color w:val="000000"/>
                <w:sz w:val="20"/>
                <w:lang w:val="sv-SE"/>
              </w:rPr>
              <w:t>RSO2.4</w:t>
            </w:r>
          </w:p>
        </w:tc>
        <w:tc>
          <w:tcPr>
            <w:tcW w:w="0" w:type="auto"/>
          </w:tcPr>
          <w:p w14:paraId="2D06629B" w14:textId="77777777" w:rsidR="00A77B3E" w:rsidRPr="00800D1B" w:rsidRDefault="00623E14" w:rsidP="0049057D">
            <w:pPr>
              <w:spacing w:before="100" w:after="100"/>
              <w:ind w:left="-72"/>
              <w:rPr>
                <w:color w:val="000000"/>
                <w:sz w:val="20"/>
                <w:lang w:val="sv-SE"/>
              </w:rPr>
            </w:pPr>
            <w:r w:rsidRPr="00800D1B">
              <w:rPr>
                <w:color w:val="000000"/>
                <w:sz w:val="20"/>
                <w:lang w:val="sv-SE"/>
              </w:rPr>
              <w:t>Eruf</w:t>
            </w:r>
          </w:p>
        </w:tc>
        <w:tc>
          <w:tcPr>
            <w:tcW w:w="0" w:type="auto"/>
          </w:tcPr>
          <w:p w14:paraId="2D06629C" w14:textId="77777777" w:rsidR="00A77B3E" w:rsidRPr="00800D1B" w:rsidRDefault="00623E14" w:rsidP="0049057D">
            <w:pPr>
              <w:spacing w:before="100" w:after="100"/>
              <w:ind w:left="-72"/>
              <w:rPr>
                <w:color w:val="000000"/>
                <w:sz w:val="20"/>
                <w:lang w:val="sv-SE"/>
              </w:rPr>
            </w:pPr>
            <w:r w:rsidRPr="00800D1B">
              <w:rPr>
                <w:color w:val="000000"/>
                <w:sz w:val="20"/>
                <w:lang w:val="sv-SE"/>
              </w:rPr>
              <w:t>Mer utvecklade regioner</w:t>
            </w:r>
          </w:p>
        </w:tc>
        <w:tc>
          <w:tcPr>
            <w:tcW w:w="0" w:type="auto"/>
          </w:tcPr>
          <w:p w14:paraId="2D06629D" w14:textId="77777777" w:rsidR="00A77B3E" w:rsidRPr="00800D1B" w:rsidRDefault="00623E14" w:rsidP="0049057D">
            <w:pPr>
              <w:spacing w:before="100" w:after="100"/>
              <w:ind w:left="-72"/>
              <w:rPr>
                <w:color w:val="000000"/>
                <w:sz w:val="20"/>
                <w:lang w:val="sv-SE"/>
              </w:rPr>
            </w:pPr>
            <w:r w:rsidRPr="00800D1B">
              <w:rPr>
                <w:color w:val="000000"/>
                <w:sz w:val="20"/>
                <w:lang w:val="sv-SE"/>
              </w:rPr>
              <w:t>RCR35</w:t>
            </w:r>
          </w:p>
        </w:tc>
        <w:tc>
          <w:tcPr>
            <w:tcW w:w="0" w:type="auto"/>
          </w:tcPr>
          <w:p w14:paraId="2D06629E" w14:textId="77777777" w:rsidR="00A77B3E" w:rsidRPr="00800D1B" w:rsidRDefault="00623E14" w:rsidP="008D35C9">
            <w:pPr>
              <w:spacing w:before="100" w:after="60"/>
              <w:ind w:left="-72"/>
              <w:rPr>
                <w:color w:val="000000"/>
                <w:sz w:val="20"/>
                <w:lang w:val="sv-SE"/>
              </w:rPr>
            </w:pPr>
            <w:r w:rsidRPr="00800D1B">
              <w:rPr>
                <w:color w:val="000000"/>
                <w:sz w:val="20"/>
                <w:lang w:val="sv-SE"/>
              </w:rPr>
              <w:t>Befolkning som omfattas av åtgärder för skydd mot översvämning</w:t>
            </w:r>
          </w:p>
        </w:tc>
        <w:tc>
          <w:tcPr>
            <w:tcW w:w="0" w:type="auto"/>
          </w:tcPr>
          <w:p w14:paraId="2D06629F" w14:textId="77777777" w:rsidR="00A77B3E" w:rsidRPr="00800D1B" w:rsidRDefault="00623E14" w:rsidP="0049057D">
            <w:pPr>
              <w:spacing w:before="100" w:after="100"/>
              <w:ind w:left="-72"/>
              <w:rPr>
                <w:color w:val="000000"/>
                <w:sz w:val="20"/>
                <w:lang w:val="sv-SE"/>
              </w:rPr>
            </w:pPr>
            <w:r w:rsidRPr="00800D1B">
              <w:rPr>
                <w:color w:val="000000"/>
                <w:sz w:val="20"/>
                <w:lang w:val="sv-SE"/>
              </w:rPr>
              <w:t>personer</w:t>
            </w:r>
          </w:p>
        </w:tc>
        <w:tc>
          <w:tcPr>
            <w:tcW w:w="0" w:type="auto"/>
          </w:tcPr>
          <w:p w14:paraId="2D0662A0" w14:textId="77777777" w:rsidR="00A77B3E" w:rsidRPr="00800D1B" w:rsidRDefault="00623E14" w:rsidP="0049057D">
            <w:pPr>
              <w:spacing w:before="100" w:after="100"/>
              <w:ind w:left="-72"/>
              <w:jc w:val="right"/>
              <w:rPr>
                <w:color w:val="000000"/>
                <w:sz w:val="20"/>
                <w:lang w:val="sv-SE"/>
              </w:rPr>
            </w:pPr>
            <w:r w:rsidRPr="00800D1B">
              <w:rPr>
                <w:color w:val="000000"/>
                <w:sz w:val="20"/>
                <w:lang w:val="sv-SE"/>
              </w:rPr>
              <w:t>0,00</w:t>
            </w:r>
          </w:p>
        </w:tc>
        <w:tc>
          <w:tcPr>
            <w:tcW w:w="0" w:type="auto"/>
          </w:tcPr>
          <w:p w14:paraId="2D0662A1" w14:textId="77777777" w:rsidR="00A77B3E" w:rsidRPr="00800D1B" w:rsidRDefault="00623E14" w:rsidP="0049057D">
            <w:pPr>
              <w:spacing w:before="100" w:after="100"/>
              <w:ind w:left="-72"/>
              <w:jc w:val="center"/>
              <w:rPr>
                <w:color w:val="000000"/>
                <w:sz w:val="20"/>
                <w:lang w:val="sv-SE"/>
              </w:rPr>
            </w:pPr>
            <w:r w:rsidRPr="00800D1B">
              <w:rPr>
                <w:color w:val="000000"/>
                <w:sz w:val="20"/>
                <w:lang w:val="sv-SE"/>
              </w:rPr>
              <w:t>2021</w:t>
            </w:r>
          </w:p>
        </w:tc>
        <w:tc>
          <w:tcPr>
            <w:tcW w:w="0" w:type="auto"/>
          </w:tcPr>
          <w:p w14:paraId="2D0662A2" w14:textId="77777777" w:rsidR="00A77B3E" w:rsidRPr="00800D1B" w:rsidRDefault="00623E14" w:rsidP="0049057D">
            <w:pPr>
              <w:spacing w:before="100" w:after="100"/>
              <w:ind w:left="-72"/>
              <w:jc w:val="right"/>
              <w:rPr>
                <w:color w:val="000000"/>
                <w:sz w:val="20"/>
                <w:lang w:val="sv-SE"/>
              </w:rPr>
            </w:pPr>
            <w:r w:rsidRPr="00800D1B">
              <w:rPr>
                <w:color w:val="000000"/>
                <w:sz w:val="20"/>
                <w:lang w:val="sv-SE"/>
              </w:rPr>
              <w:t>361 337,00</w:t>
            </w:r>
          </w:p>
        </w:tc>
        <w:tc>
          <w:tcPr>
            <w:tcW w:w="0" w:type="auto"/>
          </w:tcPr>
          <w:p w14:paraId="2D0662A3" w14:textId="77777777" w:rsidR="00A77B3E" w:rsidRPr="00800D1B" w:rsidRDefault="00623E14" w:rsidP="0049057D">
            <w:pPr>
              <w:spacing w:before="100" w:after="100"/>
              <w:ind w:left="-72"/>
              <w:rPr>
                <w:color w:val="000000"/>
                <w:sz w:val="20"/>
                <w:lang w:val="sv-SE"/>
              </w:rPr>
            </w:pPr>
            <w:r w:rsidRPr="00800D1B">
              <w:rPr>
                <w:color w:val="000000"/>
                <w:sz w:val="20"/>
                <w:lang w:val="sv-SE"/>
              </w:rPr>
              <w:t>Projekt</w:t>
            </w:r>
          </w:p>
        </w:tc>
        <w:tc>
          <w:tcPr>
            <w:tcW w:w="0" w:type="auto"/>
          </w:tcPr>
          <w:p w14:paraId="2D0662A4" w14:textId="77777777" w:rsidR="00A77B3E" w:rsidRPr="00800D1B" w:rsidRDefault="00A77B3E" w:rsidP="0049057D">
            <w:pPr>
              <w:spacing w:before="100" w:after="100"/>
              <w:ind w:left="-72"/>
              <w:rPr>
                <w:color w:val="000000"/>
                <w:sz w:val="20"/>
                <w:lang w:val="sv-SE"/>
              </w:rPr>
            </w:pPr>
          </w:p>
        </w:tc>
      </w:tr>
      <w:tr w:rsidR="003422DB" w:rsidRPr="00800D1B" w14:paraId="2D0662B2" w14:textId="77777777" w:rsidTr="0049057D">
        <w:tc>
          <w:tcPr>
            <w:tcW w:w="0" w:type="auto"/>
          </w:tcPr>
          <w:p w14:paraId="2D0662A6" w14:textId="77777777" w:rsidR="00A77B3E" w:rsidRPr="00800D1B" w:rsidRDefault="00623E14" w:rsidP="0049057D">
            <w:pPr>
              <w:spacing w:before="100" w:after="100"/>
              <w:ind w:left="-72"/>
              <w:rPr>
                <w:color w:val="000000"/>
                <w:sz w:val="20"/>
                <w:lang w:val="sv-SE"/>
              </w:rPr>
            </w:pPr>
            <w:r w:rsidRPr="00800D1B">
              <w:rPr>
                <w:color w:val="000000"/>
                <w:sz w:val="20"/>
                <w:lang w:val="sv-SE"/>
              </w:rPr>
              <w:t>4</w:t>
            </w:r>
          </w:p>
        </w:tc>
        <w:tc>
          <w:tcPr>
            <w:tcW w:w="0" w:type="auto"/>
          </w:tcPr>
          <w:p w14:paraId="2D0662A7" w14:textId="77777777" w:rsidR="00A77B3E" w:rsidRPr="00800D1B" w:rsidRDefault="00623E14" w:rsidP="0049057D">
            <w:pPr>
              <w:spacing w:before="100" w:after="100"/>
              <w:ind w:left="-72"/>
              <w:rPr>
                <w:color w:val="000000"/>
                <w:sz w:val="20"/>
                <w:lang w:val="sv-SE"/>
              </w:rPr>
            </w:pPr>
            <w:r w:rsidRPr="00800D1B">
              <w:rPr>
                <w:color w:val="000000"/>
                <w:sz w:val="20"/>
                <w:lang w:val="sv-SE"/>
              </w:rPr>
              <w:t>RSO2.4</w:t>
            </w:r>
          </w:p>
        </w:tc>
        <w:tc>
          <w:tcPr>
            <w:tcW w:w="0" w:type="auto"/>
          </w:tcPr>
          <w:p w14:paraId="2D0662A8" w14:textId="77777777" w:rsidR="00A77B3E" w:rsidRPr="00800D1B" w:rsidRDefault="00623E14" w:rsidP="0049057D">
            <w:pPr>
              <w:spacing w:before="100" w:after="100"/>
              <w:ind w:left="-72"/>
              <w:rPr>
                <w:color w:val="000000"/>
                <w:sz w:val="20"/>
                <w:lang w:val="sv-SE"/>
              </w:rPr>
            </w:pPr>
            <w:r w:rsidRPr="00800D1B">
              <w:rPr>
                <w:color w:val="000000"/>
                <w:sz w:val="20"/>
                <w:lang w:val="sv-SE"/>
              </w:rPr>
              <w:t>Eruf</w:t>
            </w:r>
          </w:p>
        </w:tc>
        <w:tc>
          <w:tcPr>
            <w:tcW w:w="0" w:type="auto"/>
          </w:tcPr>
          <w:p w14:paraId="2D0662A9" w14:textId="77777777" w:rsidR="00A77B3E" w:rsidRPr="00800D1B" w:rsidRDefault="00623E14" w:rsidP="0049057D">
            <w:pPr>
              <w:spacing w:before="100" w:after="100"/>
              <w:ind w:left="-72"/>
              <w:rPr>
                <w:color w:val="000000"/>
                <w:sz w:val="20"/>
                <w:lang w:val="sv-SE"/>
              </w:rPr>
            </w:pPr>
            <w:r w:rsidRPr="00800D1B">
              <w:rPr>
                <w:color w:val="000000"/>
                <w:sz w:val="20"/>
                <w:lang w:val="sv-SE"/>
              </w:rPr>
              <w:t>Mer utvecklade regioner</w:t>
            </w:r>
          </w:p>
        </w:tc>
        <w:tc>
          <w:tcPr>
            <w:tcW w:w="0" w:type="auto"/>
          </w:tcPr>
          <w:p w14:paraId="2D0662AA" w14:textId="77777777" w:rsidR="00A77B3E" w:rsidRPr="00800D1B" w:rsidRDefault="00623E14" w:rsidP="0049057D">
            <w:pPr>
              <w:spacing w:before="100" w:after="100"/>
              <w:ind w:left="-72"/>
              <w:rPr>
                <w:color w:val="000000"/>
                <w:sz w:val="20"/>
                <w:lang w:val="sv-SE"/>
              </w:rPr>
            </w:pPr>
            <w:r w:rsidRPr="00800D1B">
              <w:rPr>
                <w:color w:val="000000"/>
                <w:sz w:val="20"/>
                <w:lang w:val="sv-SE"/>
              </w:rPr>
              <w:t>RCR36</w:t>
            </w:r>
          </w:p>
        </w:tc>
        <w:tc>
          <w:tcPr>
            <w:tcW w:w="0" w:type="auto"/>
          </w:tcPr>
          <w:p w14:paraId="2D0662AB" w14:textId="77777777" w:rsidR="00A77B3E" w:rsidRPr="00800D1B" w:rsidRDefault="00623E14" w:rsidP="008D35C9">
            <w:pPr>
              <w:spacing w:before="100" w:after="60"/>
              <w:ind w:left="-72"/>
              <w:rPr>
                <w:color w:val="000000"/>
                <w:sz w:val="20"/>
                <w:lang w:val="sv-SE"/>
              </w:rPr>
            </w:pPr>
            <w:r w:rsidRPr="00800D1B">
              <w:rPr>
                <w:color w:val="000000"/>
                <w:sz w:val="20"/>
                <w:lang w:val="sv-SE"/>
              </w:rPr>
              <w:t>Antal människor som omfattas av åtgärder för skydd mot okontrollerade skogsbränder</w:t>
            </w:r>
          </w:p>
        </w:tc>
        <w:tc>
          <w:tcPr>
            <w:tcW w:w="0" w:type="auto"/>
          </w:tcPr>
          <w:p w14:paraId="2D0662AC" w14:textId="77777777" w:rsidR="00A77B3E" w:rsidRPr="00800D1B" w:rsidRDefault="00623E14" w:rsidP="0049057D">
            <w:pPr>
              <w:spacing w:before="100" w:after="100"/>
              <w:ind w:left="-72"/>
              <w:rPr>
                <w:color w:val="000000"/>
                <w:sz w:val="20"/>
                <w:lang w:val="sv-SE"/>
              </w:rPr>
            </w:pPr>
            <w:r w:rsidRPr="00800D1B">
              <w:rPr>
                <w:color w:val="000000"/>
                <w:sz w:val="20"/>
                <w:lang w:val="sv-SE"/>
              </w:rPr>
              <w:t>personer</w:t>
            </w:r>
          </w:p>
        </w:tc>
        <w:tc>
          <w:tcPr>
            <w:tcW w:w="0" w:type="auto"/>
          </w:tcPr>
          <w:p w14:paraId="2D0662AD" w14:textId="77777777" w:rsidR="00A77B3E" w:rsidRPr="00800D1B" w:rsidRDefault="00623E14" w:rsidP="0049057D">
            <w:pPr>
              <w:spacing w:before="100" w:after="100"/>
              <w:ind w:left="-72"/>
              <w:jc w:val="right"/>
              <w:rPr>
                <w:color w:val="000000"/>
                <w:sz w:val="20"/>
                <w:lang w:val="sv-SE"/>
              </w:rPr>
            </w:pPr>
            <w:r w:rsidRPr="00800D1B">
              <w:rPr>
                <w:color w:val="000000"/>
                <w:sz w:val="20"/>
                <w:lang w:val="sv-SE"/>
              </w:rPr>
              <w:t>0,00</w:t>
            </w:r>
          </w:p>
        </w:tc>
        <w:tc>
          <w:tcPr>
            <w:tcW w:w="0" w:type="auto"/>
          </w:tcPr>
          <w:p w14:paraId="2D0662AE" w14:textId="77777777" w:rsidR="00A77B3E" w:rsidRPr="00800D1B" w:rsidRDefault="00623E14" w:rsidP="0049057D">
            <w:pPr>
              <w:spacing w:before="100" w:after="100"/>
              <w:ind w:left="-72"/>
              <w:jc w:val="center"/>
              <w:rPr>
                <w:color w:val="000000"/>
                <w:sz w:val="20"/>
                <w:lang w:val="sv-SE"/>
              </w:rPr>
            </w:pPr>
            <w:r w:rsidRPr="00800D1B">
              <w:rPr>
                <w:color w:val="000000"/>
                <w:sz w:val="20"/>
                <w:lang w:val="sv-SE"/>
              </w:rPr>
              <w:t>2021</w:t>
            </w:r>
          </w:p>
        </w:tc>
        <w:tc>
          <w:tcPr>
            <w:tcW w:w="0" w:type="auto"/>
          </w:tcPr>
          <w:p w14:paraId="2D0662AF" w14:textId="77777777" w:rsidR="00A77B3E" w:rsidRPr="00800D1B" w:rsidRDefault="00623E14" w:rsidP="0049057D">
            <w:pPr>
              <w:spacing w:before="100" w:after="100"/>
              <w:ind w:left="-72"/>
              <w:jc w:val="right"/>
              <w:rPr>
                <w:color w:val="000000"/>
                <w:sz w:val="20"/>
                <w:lang w:val="sv-SE"/>
              </w:rPr>
            </w:pPr>
            <w:r w:rsidRPr="00800D1B">
              <w:rPr>
                <w:color w:val="000000"/>
                <w:sz w:val="20"/>
                <w:lang w:val="sv-SE"/>
              </w:rPr>
              <w:t>292 008,00</w:t>
            </w:r>
          </w:p>
        </w:tc>
        <w:tc>
          <w:tcPr>
            <w:tcW w:w="0" w:type="auto"/>
          </w:tcPr>
          <w:p w14:paraId="2D0662B0" w14:textId="77777777" w:rsidR="00A77B3E" w:rsidRPr="00800D1B" w:rsidRDefault="00623E14" w:rsidP="0049057D">
            <w:pPr>
              <w:spacing w:before="100" w:after="100"/>
              <w:ind w:left="-72"/>
              <w:rPr>
                <w:color w:val="000000"/>
                <w:sz w:val="20"/>
                <w:lang w:val="sv-SE"/>
              </w:rPr>
            </w:pPr>
            <w:r w:rsidRPr="00800D1B">
              <w:rPr>
                <w:color w:val="000000"/>
                <w:sz w:val="20"/>
                <w:lang w:val="sv-SE"/>
              </w:rPr>
              <w:t>Projekt</w:t>
            </w:r>
          </w:p>
        </w:tc>
        <w:tc>
          <w:tcPr>
            <w:tcW w:w="0" w:type="auto"/>
          </w:tcPr>
          <w:p w14:paraId="2D0662B1" w14:textId="77777777" w:rsidR="00A77B3E" w:rsidRPr="00800D1B" w:rsidRDefault="00A77B3E" w:rsidP="0049057D">
            <w:pPr>
              <w:spacing w:before="100" w:after="100"/>
              <w:ind w:left="-72"/>
              <w:rPr>
                <w:color w:val="000000"/>
                <w:sz w:val="20"/>
                <w:lang w:val="sv-SE"/>
              </w:rPr>
            </w:pPr>
          </w:p>
        </w:tc>
      </w:tr>
      <w:tr w:rsidR="003422DB" w:rsidRPr="00800D1B" w14:paraId="2D0662BF" w14:textId="77777777" w:rsidTr="0049057D">
        <w:tc>
          <w:tcPr>
            <w:tcW w:w="0" w:type="auto"/>
          </w:tcPr>
          <w:p w14:paraId="2D0662B3" w14:textId="77777777" w:rsidR="00A77B3E" w:rsidRPr="00800D1B" w:rsidRDefault="00623E14" w:rsidP="0049057D">
            <w:pPr>
              <w:spacing w:before="100" w:after="100"/>
              <w:ind w:left="-72"/>
              <w:rPr>
                <w:color w:val="000000"/>
                <w:sz w:val="20"/>
                <w:lang w:val="sv-SE"/>
              </w:rPr>
            </w:pPr>
            <w:r w:rsidRPr="00800D1B">
              <w:rPr>
                <w:color w:val="000000"/>
                <w:sz w:val="20"/>
                <w:lang w:val="sv-SE"/>
              </w:rPr>
              <w:t>4</w:t>
            </w:r>
          </w:p>
        </w:tc>
        <w:tc>
          <w:tcPr>
            <w:tcW w:w="0" w:type="auto"/>
          </w:tcPr>
          <w:p w14:paraId="2D0662B4" w14:textId="77777777" w:rsidR="00A77B3E" w:rsidRPr="00800D1B" w:rsidRDefault="00623E14" w:rsidP="0049057D">
            <w:pPr>
              <w:spacing w:before="100" w:after="100"/>
              <w:ind w:left="-72"/>
              <w:rPr>
                <w:color w:val="000000"/>
                <w:sz w:val="20"/>
                <w:lang w:val="sv-SE"/>
              </w:rPr>
            </w:pPr>
            <w:r w:rsidRPr="00800D1B">
              <w:rPr>
                <w:color w:val="000000"/>
                <w:sz w:val="20"/>
                <w:lang w:val="sv-SE"/>
              </w:rPr>
              <w:t>RSO2.4</w:t>
            </w:r>
          </w:p>
        </w:tc>
        <w:tc>
          <w:tcPr>
            <w:tcW w:w="0" w:type="auto"/>
          </w:tcPr>
          <w:p w14:paraId="2D0662B5" w14:textId="77777777" w:rsidR="00A77B3E" w:rsidRPr="00800D1B" w:rsidRDefault="00623E14" w:rsidP="0049057D">
            <w:pPr>
              <w:spacing w:before="100" w:after="100"/>
              <w:ind w:left="-72"/>
              <w:rPr>
                <w:color w:val="000000"/>
                <w:sz w:val="20"/>
                <w:lang w:val="sv-SE"/>
              </w:rPr>
            </w:pPr>
            <w:r w:rsidRPr="00800D1B">
              <w:rPr>
                <w:color w:val="000000"/>
                <w:sz w:val="20"/>
                <w:lang w:val="sv-SE"/>
              </w:rPr>
              <w:t>Eruf</w:t>
            </w:r>
          </w:p>
        </w:tc>
        <w:tc>
          <w:tcPr>
            <w:tcW w:w="0" w:type="auto"/>
          </w:tcPr>
          <w:p w14:paraId="2D0662B6" w14:textId="77777777" w:rsidR="00A77B3E" w:rsidRPr="00800D1B" w:rsidRDefault="00623E14" w:rsidP="0049057D">
            <w:pPr>
              <w:spacing w:before="100" w:after="100"/>
              <w:ind w:left="-72"/>
              <w:rPr>
                <w:color w:val="000000"/>
                <w:sz w:val="20"/>
                <w:lang w:val="sv-SE"/>
              </w:rPr>
            </w:pPr>
            <w:r w:rsidRPr="00800D1B">
              <w:rPr>
                <w:color w:val="000000"/>
                <w:sz w:val="20"/>
                <w:lang w:val="sv-SE"/>
              </w:rPr>
              <w:t>Mer utvecklade regioner</w:t>
            </w:r>
          </w:p>
        </w:tc>
        <w:tc>
          <w:tcPr>
            <w:tcW w:w="0" w:type="auto"/>
          </w:tcPr>
          <w:p w14:paraId="2D0662B7" w14:textId="77777777" w:rsidR="00A77B3E" w:rsidRPr="00800D1B" w:rsidRDefault="00623E14" w:rsidP="0049057D">
            <w:pPr>
              <w:spacing w:before="100" w:after="100"/>
              <w:ind w:left="-72"/>
              <w:rPr>
                <w:color w:val="000000"/>
                <w:sz w:val="20"/>
                <w:lang w:val="sv-SE"/>
              </w:rPr>
            </w:pPr>
            <w:r w:rsidRPr="00800D1B">
              <w:rPr>
                <w:color w:val="000000"/>
                <w:sz w:val="20"/>
                <w:lang w:val="sv-SE"/>
              </w:rPr>
              <w:t>RCR37</w:t>
            </w:r>
          </w:p>
        </w:tc>
        <w:tc>
          <w:tcPr>
            <w:tcW w:w="0" w:type="auto"/>
          </w:tcPr>
          <w:p w14:paraId="2D0662B8" w14:textId="77777777" w:rsidR="00A77B3E" w:rsidRPr="00800D1B" w:rsidRDefault="00623E14" w:rsidP="008D35C9">
            <w:pPr>
              <w:spacing w:before="100" w:after="60"/>
              <w:ind w:left="-72"/>
              <w:rPr>
                <w:color w:val="000000"/>
                <w:sz w:val="20"/>
                <w:lang w:val="sv-SE"/>
              </w:rPr>
            </w:pPr>
            <w:r w:rsidRPr="00800D1B">
              <w:rPr>
                <w:color w:val="000000"/>
                <w:sz w:val="20"/>
                <w:lang w:val="sv-SE"/>
              </w:rPr>
              <w:t>Antal människor som omfattas av åtgärder för skydd mot klimatrelaterade naturkatastrofer (andra än översvämningar eller okontrollerade skogsbränder)</w:t>
            </w:r>
          </w:p>
        </w:tc>
        <w:tc>
          <w:tcPr>
            <w:tcW w:w="0" w:type="auto"/>
          </w:tcPr>
          <w:p w14:paraId="2D0662B9" w14:textId="77777777" w:rsidR="00A77B3E" w:rsidRPr="00800D1B" w:rsidRDefault="00623E14" w:rsidP="0049057D">
            <w:pPr>
              <w:spacing w:before="100" w:after="100"/>
              <w:ind w:left="-72"/>
              <w:rPr>
                <w:color w:val="000000"/>
                <w:sz w:val="20"/>
                <w:lang w:val="sv-SE"/>
              </w:rPr>
            </w:pPr>
            <w:r w:rsidRPr="00800D1B">
              <w:rPr>
                <w:color w:val="000000"/>
                <w:sz w:val="20"/>
                <w:lang w:val="sv-SE"/>
              </w:rPr>
              <w:t>personer</w:t>
            </w:r>
          </w:p>
        </w:tc>
        <w:tc>
          <w:tcPr>
            <w:tcW w:w="0" w:type="auto"/>
          </w:tcPr>
          <w:p w14:paraId="2D0662BA" w14:textId="77777777" w:rsidR="00A77B3E" w:rsidRPr="00800D1B" w:rsidRDefault="00623E14" w:rsidP="0049057D">
            <w:pPr>
              <w:spacing w:before="100" w:after="100"/>
              <w:ind w:left="-72"/>
              <w:jc w:val="right"/>
              <w:rPr>
                <w:color w:val="000000"/>
                <w:sz w:val="20"/>
                <w:lang w:val="sv-SE"/>
              </w:rPr>
            </w:pPr>
            <w:r w:rsidRPr="00800D1B">
              <w:rPr>
                <w:color w:val="000000"/>
                <w:sz w:val="20"/>
                <w:lang w:val="sv-SE"/>
              </w:rPr>
              <w:t>0,00</w:t>
            </w:r>
          </w:p>
        </w:tc>
        <w:tc>
          <w:tcPr>
            <w:tcW w:w="0" w:type="auto"/>
          </w:tcPr>
          <w:p w14:paraId="2D0662BB" w14:textId="77777777" w:rsidR="00A77B3E" w:rsidRPr="00800D1B" w:rsidRDefault="00623E14" w:rsidP="0049057D">
            <w:pPr>
              <w:spacing w:before="100" w:after="100"/>
              <w:ind w:left="-72"/>
              <w:jc w:val="center"/>
              <w:rPr>
                <w:color w:val="000000"/>
                <w:sz w:val="20"/>
                <w:lang w:val="sv-SE"/>
              </w:rPr>
            </w:pPr>
            <w:r w:rsidRPr="00800D1B">
              <w:rPr>
                <w:color w:val="000000"/>
                <w:sz w:val="20"/>
                <w:lang w:val="sv-SE"/>
              </w:rPr>
              <w:t>2021</w:t>
            </w:r>
          </w:p>
        </w:tc>
        <w:tc>
          <w:tcPr>
            <w:tcW w:w="0" w:type="auto"/>
          </w:tcPr>
          <w:p w14:paraId="2D0662BC" w14:textId="77777777" w:rsidR="00A77B3E" w:rsidRPr="00800D1B" w:rsidRDefault="00623E14" w:rsidP="0049057D">
            <w:pPr>
              <w:spacing w:before="100" w:after="100"/>
              <w:ind w:left="-72"/>
              <w:jc w:val="right"/>
              <w:rPr>
                <w:color w:val="000000"/>
                <w:sz w:val="20"/>
                <w:lang w:val="sv-SE"/>
              </w:rPr>
            </w:pPr>
            <w:r w:rsidRPr="00800D1B">
              <w:rPr>
                <w:color w:val="000000"/>
                <w:sz w:val="20"/>
                <w:lang w:val="sv-SE"/>
              </w:rPr>
              <w:t>521 829,00</w:t>
            </w:r>
          </w:p>
        </w:tc>
        <w:tc>
          <w:tcPr>
            <w:tcW w:w="0" w:type="auto"/>
          </w:tcPr>
          <w:p w14:paraId="2D0662BD" w14:textId="77777777" w:rsidR="00A77B3E" w:rsidRPr="00800D1B" w:rsidRDefault="00623E14" w:rsidP="0049057D">
            <w:pPr>
              <w:spacing w:before="100" w:after="100"/>
              <w:ind w:left="-72"/>
              <w:rPr>
                <w:color w:val="000000"/>
                <w:sz w:val="20"/>
                <w:lang w:val="sv-SE"/>
              </w:rPr>
            </w:pPr>
            <w:r w:rsidRPr="00800D1B">
              <w:rPr>
                <w:color w:val="000000"/>
                <w:sz w:val="20"/>
                <w:lang w:val="sv-SE"/>
              </w:rPr>
              <w:t>Projekt</w:t>
            </w:r>
          </w:p>
        </w:tc>
        <w:tc>
          <w:tcPr>
            <w:tcW w:w="0" w:type="auto"/>
          </w:tcPr>
          <w:p w14:paraId="2D0662BE" w14:textId="77777777" w:rsidR="00A77B3E" w:rsidRPr="00800D1B" w:rsidRDefault="00A77B3E" w:rsidP="0049057D">
            <w:pPr>
              <w:spacing w:before="100" w:after="100"/>
              <w:ind w:left="-72"/>
              <w:rPr>
                <w:color w:val="000000"/>
                <w:sz w:val="20"/>
                <w:lang w:val="sv-SE"/>
              </w:rPr>
            </w:pPr>
          </w:p>
        </w:tc>
      </w:tr>
      <w:tr w:rsidR="003422DB" w:rsidRPr="00800D1B" w14:paraId="2D0662CC" w14:textId="77777777" w:rsidTr="0049057D">
        <w:tc>
          <w:tcPr>
            <w:tcW w:w="0" w:type="auto"/>
          </w:tcPr>
          <w:p w14:paraId="2D0662C0" w14:textId="77777777" w:rsidR="00A77B3E" w:rsidRPr="00800D1B" w:rsidRDefault="00623E14" w:rsidP="0049057D">
            <w:pPr>
              <w:spacing w:before="100" w:after="100"/>
              <w:ind w:left="-72"/>
              <w:rPr>
                <w:color w:val="000000"/>
                <w:sz w:val="20"/>
                <w:lang w:val="sv-SE"/>
              </w:rPr>
            </w:pPr>
            <w:r w:rsidRPr="00800D1B">
              <w:rPr>
                <w:color w:val="000000"/>
                <w:sz w:val="20"/>
                <w:lang w:val="sv-SE"/>
              </w:rPr>
              <w:t>4</w:t>
            </w:r>
          </w:p>
        </w:tc>
        <w:tc>
          <w:tcPr>
            <w:tcW w:w="0" w:type="auto"/>
          </w:tcPr>
          <w:p w14:paraId="2D0662C1" w14:textId="77777777" w:rsidR="00A77B3E" w:rsidRPr="00800D1B" w:rsidRDefault="00623E14" w:rsidP="0049057D">
            <w:pPr>
              <w:spacing w:before="100" w:after="100"/>
              <w:ind w:left="-72"/>
              <w:rPr>
                <w:color w:val="000000"/>
                <w:sz w:val="20"/>
                <w:lang w:val="sv-SE"/>
              </w:rPr>
            </w:pPr>
            <w:r w:rsidRPr="00800D1B">
              <w:rPr>
                <w:color w:val="000000"/>
                <w:sz w:val="20"/>
                <w:lang w:val="sv-SE"/>
              </w:rPr>
              <w:t>RSO2.4</w:t>
            </w:r>
          </w:p>
        </w:tc>
        <w:tc>
          <w:tcPr>
            <w:tcW w:w="0" w:type="auto"/>
          </w:tcPr>
          <w:p w14:paraId="2D0662C2" w14:textId="77777777" w:rsidR="00A77B3E" w:rsidRPr="00800D1B" w:rsidRDefault="00623E14" w:rsidP="0049057D">
            <w:pPr>
              <w:spacing w:before="100" w:after="100"/>
              <w:ind w:left="-72"/>
              <w:rPr>
                <w:color w:val="000000"/>
                <w:sz w:val="20"/>
                <w:lang w:val="sv-SE"/>
              </w:rPr>
            </w:pPr>
            <w:r w:rsidRPr="00800D1B">
              <w:rPr>
                <w:color w:val="000000"/>
                <w:sz w:val="20"/>
                <w:lang w:val="sv-SE"/>
              </w:rPr>
              <w:t>Eruf</w:t>
            </w:r>
          </w:p>
        </w:tc>
        <w:tc>
          <w:tcPr>
            <w:tcW w:w="0" w:type="auto"/>
          </w:tcPr>
          <w:p w14:paraId="2D0662C3" w14:textId="77777777" w:rsidR="00A77B3E" w:rsidRPr="00800D1B" w:rsidRDefault="00623E14" w:rsidP="0049057D">
            <w:pPr>
              <w:spacing w:before="100" w:after="100"/>
              <w:ind w:left="-72"/>
              <w:rPr>
                <w:color w:val="000000"/>
                <w:sz w:val="20"/>
                <w:lang w:val="sv-SE"/>
              </w:rPr>
            </w:pPr>
            <w:r w:rsidRPr="00800D1B">
              <w:rPr>
                <w:color w:val="000000"/>
                <w:sz w:val="20"/>
                <w:lang w:val="sv-SE"/>
              </w:rPr>
              <w:t>Mer utvecklade regioner</w:t>
            </w:r>
          </w:p>
        </w:tc>
        <w:tc>
          <w:tcPr>
            <w:tcW w:w="0" w:type="auto"/>
          </w:tcPr>
          <w:p w14:paraId="2D0662C4" w14:textId="77777777" w:rsidR="00A77B3E" w:rsidRPr="00800D1B" w:rsidRDefault="00623E14" w:rsidP="0049057D">
            <w:pPr>
              <w:spacing w:before="100" w:after="100"/>
              <w:ind w:left="-72"/>
              <w:rPr>
                <w:color w:val="000000"/>
                <w:sz w:val="20"/>
                <w:lang w:val="sv-SE"/>
              </w:rPr>
            </w:pPr>
            <w:r w:rsidRPr="00800D1B">
              <w:rPr>
                <w:color w:val="000000"/>
                <w:sz w:val="20"/>
                <w:lang w:val="sv-SE"/>
              </w:rPr>
              <w:t>SWR03</w:t>
            </w:r>
          </w:p>
        </w:tc>
        <w:tc>
          <w:tcPr>
            <w:tcW w:w="0" w:type="auto"/>
          </w:tcPr>
          <w:p w14:paraId="2D0662C5" w14:textId="77777777" w:rsidR="00A77B3E" w:rsidRPr="00800D1B" w:rsidRDefault="00623E14" w:rsidP="008D35C9">
            <w:pPr>
              <w:spacing w:before="100" w:after="60"/>
              <w:ind w:left="-72"/>
              <w:rPr>
                <w:color w:val="000000"/>
                <w:sz w:val="20"/>
                <w:lang w:val="sv-SE"/>
              </w:rPr>
            </w:pPr>
            <w:r w:rsidRPr="00800D1B">
              <w:rPr>
                <w:color w:val="000000"/>
                <w:sz w:val="20"/>
                <w:lang w:val="sv-SE"/>
              </w:rPr>
              <w:t xml:space="preserve"> Antal användare av implementerade stödstrukturer</w:t>
            </w:r>
          </w:p>
        </w:tc>
        <w:tc>
          <w:tcPr>
            <w:tcW w:w="0" w:type="auto"/>
          </w:tcPr>
          <w:p w14:paraId="2D0662C6" w14:textId="77777777" w:rsidR="00A77B3E" w:rsidRPr="00800D1B" w:rsidRDefault="00623E14" w:rsidP="0049057D">
            <w:pPr>
              <w:spacing w:before="100" w:after="100"/>
              <w:ind w:left="-72"/>
              <w:rPr>
                <w:color w:val="000000"/>
                <w:sz w:val="20"/>
                <w:lang w:val="sv-SE"/>
              </w:rPr>
            </w:pPr>
            <w:r w:rsidRPr="00800D1B">
              <w:rPr>
                <w:color w:val="000000"/>
                <w:sz w:val="20"/>
                <w:lang w:val="sv-SE"/>
              </w:rPr>
              <w:t>Användare</w:t>
            </w:r>
          </w:p>
        </w:tc>
        <w:tc>
          <w:tcPr>
            <w:tcW w:w="0" w:type="auto"/>
          </w:tcPr>
          <w:p w14:paraId="2D0662C7" w14:textId="77777777" w:rsidR="00A77B3E" w:rsidRPr="00800D1B" w:rsidRDefault="00623E14" w:rsidP="0049057D">
            <w:pPr>
              <w:spacing w:before="100" w:after="100"/>
              <w:ind w:left="-72"/>
              <w:jc w:val="right"/>
              <w:rPr>
                <w:color w:val="000000"/>
                <w:sz w:val="20"/>
                <w:lang w:val="sv-SE"/>
              </w:rPr>
            </w:pPr>
            <w:r w:rsidRPr="00800D1B">
              <w:rPr>
                <w:color w:val="000000"/>
                <w:sz w:val="20"/>
                <w:lang w:val="sv-SE"/>
              </w:rPr>
              <w:t>0,00</w:t>
            </w:r>
          </w:p>
        </w:tc>
        <w:tc>
          <w:tcPr>
            <w:tcW w:w="0" w:type="auto"/>
          </w:tcPr>
          <w:p w14:paraId="2D0662C8" w14:textId="77777777" w:rsidR="00A77B3E" w:rsidRPr="00800D1B" w:rsidRDefault="00623E14" w:rsidP="0049057D">
            <w:pPr>
              <w:spacing w:before="100" w:after="100"/>
              <w:ind w:left="-72"/>
              <w:jc w:val="center"/>
              <w:rPr>
                <w:color w:val="000000"/>
                <w:sz w:val="20"/>
                <w:lang w:val="sv-SE"/>
              </w:rPr>
            </w:pPr>
            <w:r w:rsidRPr="00800D1B">
              <w:rPr>
                <w:color w:val="000000"/>
                <w:sz w:val="20"/>
                <w:lang w:val="sv-SE"/>
              </w:rPr>
              <w:t>2021</w:t>
            </w:r>
          </w:p>
        </w:tc>
        <w:tc>
          <w:tcPr>
            <w:tcW w:w="0" w:type="auto"/>
          </w:tcPr>
          <w:p w14:paraId="2D0662C9" w14:textId="77777777" w:rsidR="00A77B3E" w:rsidRPr="00800D1B" w:rsidRDefault="00623E14" w:rsidP="0049057D">
            <w:pPr>
              <w:spacing w:before="100" w:after="100"/>
              <w:ind w:left="-72"/>
              <w:jc w:val="right"/>
              <w:rPr>
                <w:color w:val="000000"/>
                <w:sz w:val="20"/>
                <w:lang w:val="sv-SE"/>
              </w:rPr>
            </w:pPr>
            <w:r w:rsidRPr="00800D1B">
              <w:rPr>
                <w:color w:val="000000"/>
                <w:sz w:val="20"/>
                <w:lang w:val="sv-SE"/>
              </w:rPr>
              <w:t>28,00</w:t>
            </w:r>
          </w:p>
        </w:tc>
        <w:tc>
          <w:tcPr>
            <w:tcW w:w="0" w:type="auto"/>
          </w:tcPr>
          <w:p w14:paraId="2D0662CA" w14:textId="77777777" w:rsidR="00A77B3E" w:rsidRPr="00800D1B" w:rsidRDefault="00623E14" w:rsidP="0049057D">
            <w:pPr>
              <w:spacing w:before="100" w:after="100"/>
              <w:ind w:left="-72"/>
              <w:rPr>
                <w:color w:val="000000"/>
                <w:sz w:val="20"/>
                <w:lang w:val="sv-SE"/>
              </w:rPr>
            </w:pPr>
            <w:r w:rsidRPr="00800D1B">
              <w:rPr>
                <w:color w:val="000000"/>
                <w:sz w:val="20"/>
                <w:lang w:val="sv-SE"/>
              </w:rPr>
              <w:t>Projekt</w:t>
            </w:r>
          </w:p>
        </w:tc>
        <w:tc>
          <w:tcPr>
            <w:tcW w:w="0" w:type="auto"/>
          </w:tcPr>
          <w:p w14:paraId="2D0662CB" w14:textId="77777777" w:rsidR="00A77B3E" w:rsidRPr="00800D1B" w:rsidRDefault="00A77B3E" w:rsidP="0049057D">
            <w:pPr>
              <w:spacing w:before="100" w:after="100"/>
              <w:ind w:left="-72"/>
              <w:rPr>
                <w:color w:val="000000"/>
                <w:sz w:val="20"/>
                <w:lang w:val="sv-SE"/>
              </w:rPr>
            </w:pPr>
          </w:p>
        </w:tc>
      </w:tr>
      <w:tr w:rsidR="003422DB" w:rsidRPr="00800D1B" w14:paraId="2D0662D9" w14:textId="77777777" w:rsidTr="0049057D">
        <w:tc>
          <w:tcPr>
            <w:tcW w:w="0" w:type="auto"/>
          </w:tcPr>
          <w:p w14:paraId="2D0662CD" w14:textId="77777777" w:rsidR="00A77B3E" w:rsidRPr="00800D1B" w:rsidRDefault="00623E14" w:rsidP="0049057D">
            <w:pPr>
              <w:spacing w:before="100" w:after="100"/>
              <w:ind w:left="-72"/>
              <w:rPr>
                <w:color w:val="000000"/>
                <w:sz w:val="20"/>
                <w:lang w:val="sv-SE"/>
              </w:rPr>
            </w:pPr>
            <w:r w:rsidRPr="00800D1B">
              <w:rPr>
                <w:color w:val="000000"/>
                <w:sz w:val="20"/>
                <w:lang w:val="sv-SE"/>
              </w:rPr>
              <w:t>4</w:t>
            </w:r>
          </w:p>
        </w:tc>
        <w:tc>
          <w:tcPr>
            <w:tcW w:w="0" w:type="auto"/>
          </w:tcPr>
          <w:p w14:paraId="2D0662CE" w14:textId="77777777" w:rsidR="00A77B3E" w:rsidRPr="00800D1B" w:rsidRDefault="00623E14" w:rsidP="0049057D">
            <w:pPr>
              <w:spacing w:before="100" w:after="100"/>
              <w:ind w:left="-72"/>
              <w:rPr>
                <w:color w:val="000000"/>
                <w:sz w:val="20"/>
                <w:lang w:val="sv-SE"/>
              </w:rPr>
            </w:pPr>
            <w:r w:rsidRPr="00800D1B">
              <w:rPr>
                <w:color w:val="000000"/>
                <w:sz w:val="20"/>
                <w:lang w:val="sv-SE"/>
              </w:rPr>
              <w:t>RSO2.4</w:t>
            </w:r>
          </w:p>
        </w:tc>
        <w:tc>
          <w:tcPr>
            <w:tcW w:w="0" w:type="auto"/>
          </w:tcPr>
          <w:p w14:paraId="2D0662CF" w14:textId="77777777" w:rsidR="00A77B3E" w:rsidRPr="00800D1B" w:rsidRDefault="00623E14" w:rsidP="0049057D">
            <w:pPr>
              <w:spacing w:before="100" w:after="100"/>
              <w:ind w:left="-72"/>
              <w:rPr>
                <w:color w:val="000000"/>
                <w:sz w:val="20"/>
                <w:lang w:val="sv-SE"/>
              </w:rPr>
            </w:pPr>
            <w:r w:rsidRPr="00800D1B">
              <w:rPr>
                <w:color w:val="000000"/>
                <w:sz w:val="20"/>
                <w:lang w:val="sv-SE"/>
              </w:rPr>
              <w:t>Eruf</w:t>
            </w:r>
          </w:p>
        </w:tc>
        <w:tc>
          <w:tcPr>
            <w:tcW w:w="0" w:type="auto"/>
          </w:tcPr>
          <w:p w14:paraId="2D0662D0" w14:textId="77777777" w:rsidR="00A77B3E" w:rsidRPr="00800D1B" w:rsidRDefault="00623E14" w:rsidP="0049057D">
            <w:pPr>
              <w:spacing w:before="100" w:after="100"/>
              <w:ind w:left="-72"/>
              <w:rPr>
                <w:color w:val="000000"/>
                <w:sz w:val="20"/>
                <w:lang w:val="sv-SE"/>
              </w:rPr>
            </w:pPr>
            <w:r w:rsidRPr="00800D1B">
              <w:rPr>
                <w:color w:val="000000"/>
                <w:sz w:val="20"/>
                <w:lang w:val="sv-SE"/>
              </w:rPr>
              <w:t>Mer utvecklade regioner</w:t>
            </w:r>
          </w:p>
        </w:tc>
        <w:tc>
          <w:tcPr>
            <w:tcW w:w="0" w:type="auto"/>
          </w:tcPr>
          <w:p w14:paraId="2D0662D1" w14:textId="77777777" w:rsidR="00A77B3E" w:rsidRPr="00800D1B" w:rsidRDefault="00623E14" w:rsidP="0049057D">
            <w:pPr>
              <w:spacing w:before="100" w:after="100"/>
              <w:ind w:left="-72"/>
              <w:rPr>
                <w:color w:val="000000"/>
                <w:sz w:val="20"/>
                <w:lang w:val="sv-SE"/>
              </w:rPr>
            </w:pPr>
            <w:r w:rsidRPr="00800D1B">
              <w:rPr>
                <w:color w:val="000000"/>
                <w:sz w:val="20"/>
                <w:lang w:val="sv-SE"/>
              </w:rPr>
              <w:t>SWR02</w:t>
            </w:r>
          </w:p>
        </w:tc>
        <w:tc>
          <w:tcPr>
            <w:tcW w:w="0" w:type="auto"/>
          </w:tcPr>
          <w:p w14:paraId="2D0662D2" w14:textId="77777777" w:rsidR="00A77B3E" w:rsidRPr="00800D1B" w:rsidRDefault="00623E14" w:rsidP="008D35C9">
            <w:pPr>
              <w:spacing w:before="100" w:after="60"/>
              <w:ind w:left="-72"/>
              <w:rPr>
                <w:color w:val="000000"/>
                <w:sz w:val="20"/>
                <w:lang w:val="sv-SE"/>
              </w:rPr>
            </w:pPr>
            <w:r w:rsidRPr="00800D1B">
              <w:rPr>
                <w:color w:val="000000"/>
                <w:sz w:val="20"/>
                <w:lang w:val="sv-SE"/>
              </w:rPr>
              <w:t xml:space="preserve">Antal organisationer som utvecklar produkter, processer och tjänster </w:t>
            </w:r>
          </w:p>
        </w:tc>
        <w:tc>
          <w:tcPr>
            <w:tcW w:w="0" w:type="auto"/>
          </w:tcPr>
          <w:p w14:paraId="2D0662D3" w14:textId="77777777" w:rsidR="00A77B3E" w:rsidRPr="00800D1B" w:rsidRDefault="00623E14" w:rsidP="0049057D">
            <w:pPr>
              <w:spacing w:before="100" w:after="100"/>
              <w:ind w:left="-72"/>
              <w:rPr>
                <w:color w:val="000000"/>
                <w:sz w:val="20"/>
                <w:lang w:val="sv-SE"/>
              </w:rPr>
            </w:pPr>
            <w:r w:rsidRPr="00800D1B">
              <w:rPr>
                <w:color w:val="000000"/>
                <w:sz w:val="20"/>
                <w:lang w:val="sv-SE"/>
              </w:rPr>
              <w:t>Organisationer</w:t>
            </w:r>
          </w:p>
        </w:tc>
        <w:tc>
          <w:tcPr>
            <w:tcW w:w="0" w:type="auto"/>
          </w:tcPr>
          <w:p w14:paraId="2D0662D4" w14:textId="77777777" w:rsidR="00A77B3E" w:rsidRPr="00800D1B" w:rsidRDefault="00623E14" w:rsidP="0049057D">
            <w:pPr>
              <w:spacing w:before="100" w:after="100"/>
              <w:ind w:left="-72"/>
              <w:jc w:val="right"/>
              <w:rPr>
                <w:color w:val="000000"/>
                <w:sz w:val="20"/>
                <w:lang w:val="sv-SE"/>
              </w:rPr>
            </w:pPr>
            <w:r w:rsidRPr="00800D1B">
              <w:rPr>
                <w:color w:val="000000"/>
                <w:sz w:val="20"/>
                <w:lang w:val="sv-SE"/>
              </w:rPr>
              <w:t>0,00</w:t>
            </w:r>
          </w:p>
        </w:tc>
        <w:tc>
          <w:tcPr>
            <w:tcW w:w="0" w:type="auto"/>
          </w:tcPr>
          <w:p w14:paraId="2D0662D5" w14:textId="77777777" w:rsidR="00A77B3E" w:rsidRPr="00800D1B" w:rsidRDefault="00623E14" w:rsidP="0049057D">
            <w:pPr>
              <w:spacing w:before="100" w:after="100"/>
              <w:ind w:left="-72"/>
              <w:jc w:val="center"/>
              <w:rPr>
                <w:color w:val="000000"/>
                <w:sz w:val="20"/>
                <w:lang w:val="sv-SE"/>
              </w:rPr>
            </w:pPr>
            <w:r w:rsidRPr="00800D1B">
              <w:rPr>
                <w:color w:val="000000"/>
                <w:sz w:val="20"/>
                <w:lang w:val="sv-SE"/>
              </w:rPr>
              <w:t>2021</w:t>
            </w:r>
          </w:p>
        </w:tc>
        <w:tc>
          <w:tcPr>
            <w:tcW w:w="0" w:type="auto"/>
          </w:tcPr>
          <w:p w14:paraId="2D0662D6" w14:textId="77777777" w:rsidR="00A77B3E" w:rsidRPr="00800D1B" w:rsidRDefault="00623E14" w:rsidP="0049057D">
            <w:pPr>
              <w:spacing w:before="100" w:after="100"/>
              <w:ind w:left="-72"/>
              <w:jc w:val="right"/>
              <w:rPr>
                <w:color w:val="000000"/>
                <w:sz w:val="20"/>
                <w:lang w:val="sv-SE"/>
              </w:rPr>
            </w:pPr>
            <w:r w:rsidRPr="00800D1B">
              <w:rPr>
                <w:color w:val="000000"/>
                <w:sz w:val="20"/>
                <w:lang w:val="sv-SE"/>
              </w:rPr>
              <w:t>36,00</w:t>
            </w:r>
          </w:p>
        </w:tc>
        <w:tc>
          <w:tcPr>
            <w:tcW w:w="0" w:type="auto"/>
          </w:tcPr>
          <w:p w14:paraId="2D0662D7" w14:textId="77777777" w:rsidR="00A77B3E" w:rsidRPr="00800D1B" w:rsidRDefault="00623E14" w:rsidP="0049057D">
            <w:pPr>
              <w:spacing w:before="100" w:after="100"/>
              <w:ind w:left="-72"/>
              <w:rPr>
                <w:color w:val="000000"/>
                <w:sz w:val="20"/>
                <w:lang w:val="sv-SE"/>
              </w:rPr>
            </w:pPr>
            <w:r w:rsidRPr="00800D1B">
              <w:rPr>
                <w:color w:val="000000"/>
                <w:sz w:val="20"/>
                <w:lang w:val="sv-SE"/>
              </w:rPr>
              <w:t>Projekt</w:t>
            </w:r>
          </w:p>
        </w:tc>
        <w:tc>
          <w:tcPr>
            <w:tcW w:w="0" w:type="auto"/>
          </w:tcPr>
          <w:p w14:paraId="2D0662D8" w14:textId="77777777" w:rsidR="00A77B3E" w:rsidRPr="00800D1B" w:rsidRDefault="00A77B3E" w:rsidP="0049057D">
            <w:pPr>
              <w:spacing w:before="100" w:after="100"/>
              <w:ind w:left="-72"/>
              <w:rPr>
                <w:color w:val="000000"/>
                <w:sz w:val="20"/>
                <w:lang w:val="sv-SE"/>
              </w:rPr>
            </w:pPr>
          </w:p>
        </w:tc>
      </w:tr>
    </w:tbl>
    <w:p w14:paraId="2D0662DB" w14:textId="1EF04BF3" w:rsidR="00A77B3E" w:rsidRPr="00800D1B" w:rsidRDefault="00623E14" w:rsidP="002F4614">
      <w:pPr>
        <w:pStyle w:val="Rubrik6"/>
        <w:numPr>
          <w:ilvl w:val="4"/>
          <w:numId w:val="33"/>
        </w:numPr>
        <w:spacing w:before="360"/>
        <w:ind w:left="360"/>
      </w:pPr>
      <w:bookmarkStart w:id="138" w:name="_Toc256000379"/>
      <w:r w:rsidRPr="00800D1B">
        <w:t>Preliminär fördelning av anslagna (EU-)medel efter interventionstyp</w:t>
      </w:r>
      <w:bookmarkEnd w:id="138"/>
    </w:p>
    <w:p w14:paraId="2D0662DC" w14:textId="77777777" w:rsidR="00A77B3E" w:rsidRPr="00800D1B" w:rsidRDefault="00A77B3E">
      <w:pPr>
        <w:spacing w:before="100"/>
        <w:rPr>
          <w:color w:val="000000"/>
          <w:sz w:val="0"/>
          <w:lang w:val="sv-SE"/>
        </w:rPr>
      </w:pPr>
    </w:p>
    <w:p w14:paraId="2D0662DD" w14:textId="77777777" w:rsidR="00A77B3E" w:rsidRPr="00800D1B" w:rsidRDefault="00623E14" w:rsidP="008D35C9">
      <w:pPr>
        <w:rPr>
          <w:color w:val="000000"/>
          <w:sz w:val="0"/>
          <w:lang w:val="sv-SE"/>
        </w:rPr>
      </w:pPr>
      <w:r w:rsidRPr="00800D1B">
        <w:rPr>
          <w:color w:val="000000"/>
          <w:lang w:val="sv-SE"/>
        </w:rPr>
        <w:t>Referens: artikel 22.3 d viii i förordningen om gemensamma bestämmelser</w:t>
      </w:r>
    </w:p>
    <w:p w14:paraId="2D0662DE" w14:textId="35B20BAB" w:rsidR="00A77B3E" w:rsidRPr="00800D1B" w:rsidRDefault="00623E14" w:rsidP="00431BFA">
      <w:pPr>
        <w:spacing w:before="100" w:after="100"/>
        <w:rPr>
          <w:lang w:val="sv-SE"/>
        </w:rPr>
      </w:pPr>
      <w:bookmarkStart w:id="139" w:name="_Toc256000380"/>
      <w:r w:rsidRPr="00800D1B">
        <w:rPr>
          <w:lang w:val="sv-SE"/>
        </w:rPr>
        <w:t>Tabell 4: Dimension 1 – interventionsområde</w:t>
      </w:r>
      <w:bookmarkEnd w:id="139"/>
    </w:p>
    <w:tbl>
      <w:tblPr>
        <w:tblStyle w:val="Tabellrutnt"/>
        <w:tblW w:w="5000" w:type="pct"/>
        <w:tblLook w:val="04A0" w:firstRow="1" w:lastRow="0" w:firstColumn="1" w:lastColumn="0" w:noHBand="0" w:noVBand="1"/>
        <w:tblDescription w:val="En tabell med sex kolumner: Prioritering; Specifikt mål; Fond; Regionkategori; Kod; Belopp (euro). Tabellen visar information om interventionsområde."/>
      </w:tblPr>
      <w:tblGrid>
        <w:gridCol w:w="1104"/>
        <w:gridCol w:w="1035"/>
        <w:gridCol w:w="660"/>
        <w:gridCol w:w="1690"/>
        <w:gridCol w:w="9426"/>
        <w:gridCol w:w="1257"/>
      </w:tblGrid>
      <w:tr w:rsidR="003422DB" w:rsidRPr="00800D1B" w14:paraId="2D0662E6" w14:textId="77777777" w:rsidTr="0049057D">
        <w:tc>
          <w:tcPr>
            <w:tcW w:w="0" w:type="auto"/>
          </w:tcPr>
          <w:p w14:paraId="2D0662E0" w14:textId="77777777" w:rsidR="00A77B3E" w:rsidRPr="00800D1B" w:rsidRDefault="00623E14" w:rsidP="0049057D">
            <w:pPr>
              <w:spacing w:before="100" w:after="100"/>
              <w:ind w:left="-72"/>
              <w:jc w:val="center"/>
              <w:rPr>
                <w:color w:val="000000"/>
                <w:sz w:val="20"/>
                <w:lang w:val="sv-SE"/>
              </w:rPr>
            </w:pPr>
            <w:r w:rsidRPr="00800D1B">
              <w:rPr>
                <w:color w:val="000000"/>
                <w:sz w:val="20"/>
                <w:lang w:val="sv-SE"/>
              </w:rPr>
              <w:t>Prioritering</w:t>
            </w:r>
          </w:p>
        </w:tc>
        <w:tc>
          <w:tcPr>
            <w:tcW w:w="0" w:type="auto"/>
          </w:tcPr>
          <w:p w14:paraId="2D0662E1" w14:textId="77777777" w:rsidR="00A77B3E" w:rsidRPr="00800D1B" w:rsidRDefault="00623E14" w:rsidP="0049057D">
            <w:pPr>
              <w:spacing w:before="100" w:after="100"/>
              <w:ind w:left="-72"/>
              <w:jc w:val="center"/>
              <w:rPr>
                <w:color w:val="000000"/>
                <w:sz w:val="20"/>
                <w:lang w:val="sv-SE"/>
              </w:rPr>
            </w:pPr>
            <w:r w:rsidRPr="00800D1B">
              <w:rPr>
                <w:color w:val="000000"/>
                <w:sz w:val="20"/>
                <w:lang w:val="sv-SE"/>
              </w:rPr>
              <w:t>Specifikt mål</w:t>
            </w:r>
          </w:p>
        </w:tc>
        <w:tc>
          <w:tcPr>
            <w:tcW w:w="0" w:type="auto"/>
          </w:tcPr>
          <w:p w14:paraId="2D0662E2" w14:textId="77777777" w:rsidR="00A77B3E" w:rsidRPr="00800D1B" w:rsidRDefault="00623E14" w:rsidP="0049057D">
            <w:pPr>
              <w:spacing w:before="100" w:after="100"/>
              <w:ind w:left="-72"/>
              <w:jc w:val="center"/>
              <w:rPr>
                <w:color w:val="000000"/>
                <w:sz w:val="20"/>
                <w:lang w:val="sv-SE"/>
              </w:rPr>
            </w:pPr>
            <w:r w:rsidRPr="00800D1B">
              <w:rPr>
                <w:color w:val="000000"/>
                <w:sz w:val="20"/>
                <w:lang w:val="sv-SE"/>
              </w:rPr>
              <w:t>Fond</w:t>
            </w:r>
          </w:p>
        </w:tc>
        <w:tc>
          <w:tcPr>
            <w:tcW w:w="0" w:type="auto"/>
          </w:tcPr>
          <w:p w14:paraId="2D0662E3" w14:textId="77777777" w:rsidR="00A77B3E" w:rsidRPr="00800D1B" w:rsidRDefault="00623E14" w:rsidP="0049057D">
            <w:pPr>
              <w:spacing w:before="100" w:after="100"/>
              <w:ind w:left="-72"/>
              <w:jc w:val="center"/>
              <w:rPr>
                <w:color w:val="000000"/>
                <w:sz w:val="20"/>
                <w:lang w:val="sv-SE"/>
              </w:rPr>
            </w:pPr>
            <w:r w:rsidRPr="00800D1B">
              <w:rPr>
                <w:color w:val="000000"/>
                <w:sz w:val="20"/>
                <w:lang w:val="sv-SE"/>
              </w:rPr>
              <w:t>Regionkategori</w:t>
            </w:r>
          </w:p>
        </w:tc>
        <w:tc>
          <w:tcPr>
            <w:tcW w:w="0" w:type="auto"/>
          </w:tcPr>
          <w:p w14:paraId="2D0662E4" w14:textId="77777777" w:rsidR="00A77B3E" w:rsidRPr="00800D1B" w:rsidRDefault="00623E14" w:rsidP="0049057D">
            <w:pPr>
              <w:spacing w:before="100" w:after="100"/>
              <w:ind w:left="-72"/>
              <w:jc w:val="center"/>
              <w:rPr>
                <w:color w:val="000000"/>
                <w:sz w:val="20"/>
                <w:lang w:val="sv-SE"/>
              </w:rPr>
            </w:pPr>
            <w:r w:rsidRPr="00800D1B">
              <w:rPr>
                <w:color w:val="000000"/>
                <w:sz w:val="20"/>
                <w:lang w:val="sv-SE"/>
              </w:rPr>
              <w:t>Kod</w:t>
            </w:r>
          </w:p>
        </w:tc>
        <w:tc>
          <w:tcPr>
            <w:tcW w:w="0" w:type="auto"/>
          </w:tcPr>
          <w:p w14:paraId="2D0662E5" w14:textId="77777777" w:rsidR="00A77B3E" w:rsidRPr="00800D1B" w:rsidRDefault="00623E14" w:rsidP="0049057D">
            <w:pPr>
              <w:spacing w:before="100" w:after="100"/>
              <w:ind w:left="-72"/>
              <w:jc w:val="center"/>
              <w:rPr>
                <w:color w:val="000000"/>
                <w:sz w:val="20"/>
                <w:lang w:val="sv-SE"/>
              </w:rPr>
            </w:pPr>
            <w:r w:rsidRPr="00800D1B">
              <w:rPr>
                <w:color w:val="000000"/>
                <w:sz w:val="20"/>
                <w:lang w:val="sv-SE"/>
              </w:rPr>
              <w:t>Belopp (euro)</w:t>
            </w:r>
          </w:p>
        </w:tc>
      </w:tr>
      <w:tr w:rsidR="003422DB" w:rsidRPr="00800D1B" w14:paraId="2D0662ED" w14:textId="77777777" w:rsidTr="0049057D">
        <w:tc>
          <w:tcPr>
            <w:tcW w:w="0" w:type="auto"/>
          </w:tcPr>
          <w:p w14:paraId="2D0662E7" w14:textId="77777777" w:rsidR="00A77B3E" w:rsidRPr="00800D1B" w:rsidRDefault="00623E14" w:rsidP="0049057D">
            <w:pPr>
              <w:spacing w:before="100" w:after="100"/>
              <w:ind w:left="-72"/>
              <w:rPr>
                <w:color w:val="000000"/>
                <w:sz w:val="20"/>
                <w:lang w:val="sv-SE"/>
              </w:rPr>
            </w:pPr>
            <w:r w:rsidRPr="00800D1B">
              <w:rPr>
                <w:color w:val="000000"/>
                <w:sz w:val="20"/>
                <w:lang w:val="sv-SE"/>
              </w:rPr>
              <w:t>4</w:t>
            </w:r>
          </w:p>
        </w:tc>
        <w:tc>
          <w:tcPr>
            <w:tcW w:w="0" w:type="auto"/>
          </w:tcPr>
          <w:p w14:paraId="2D0662E8" w14:textId="77777777" w:rsidR="00A77B3E" w:rsidRPr="00800D1B" w:rsidRDefault="00623E14" w:rsidP="0049057D">
            <w:pPr>
              <w:spacing w:before="100" w:after="100"/>
              <w:ind w:left="-72"/>
              <w:rPr>
                <w:color w:val="000000"/>
                <w:sz w:val="20"/>
                <w:lang w:val="sv-SE"/>
              </w:rPr>
            </w:pPr>
            <w:r w:rsidRPr="00800D1B">
              <w:rPr>
                <w:color w:val="000000"/>
                <w:sz w:val="20"/>
                <w:lang w:val="sv-SE"/>
              </w:rPr>
              <w:t>RSO2.4</w:t>
            </w:r>
          </w:p>
        </w:tc>
        <w:tc>
          <w:tcPr>
            <w:tcW w:w="0" w:type="auto"/>
          </w:tcPr>
          <w:p w14:paraId="2D0662E9" w14:textId="77777777" w:rsidR="00A77B3E" w:rsidRPr="00800D1B" w:rsidRDefault="00623E14" w:rsidP="0049057D">
            <w:pPr>
              <w:spacing w:before="100" w:after="100"/>
              <w:ind w:left="-72"/>
              <w:rPr>
                <w:color w:val="000000"/>
                <w:sz w:val="20"/>
                <w:lang w:val="sv-SE"/>
              </w:rPr>
            </w:pPr>
            <w:r w:rsidRPr="00800D1B">
              <w:rPr>
                <w:color w:val="000000"/>
                <w:sz w:val="20"/>
                <w:lang w:val="sv-SE"/>
              </w:rPr>
              <w:t>Eruf</w:t>
            </w:r>
          </w:p>
        </w:tc>
        <w:tc>
          <w:tcPr>
            <w:tcW w:w="0" w:type="auto"/>
          </w:tcPr>
          <w:p w14:paraId="2D0662EA" w14:textId="77777777" w:rsidR="00A77B3E" w:rsidRPr="00800D1B" w:rsidRDefault="00623E14" w:rsidP="0049057D">
            <w:pPr>
              <w:spacing w:before="100" w:after="100"/>
              <w:ind w:left="-72"/>
              <w:rPr>
                <w:color w:val="000000"/>
                <w:sz w:val="20"/>
                <w:lang w:val="sv-SE"/>
              </w:rPr>
            </w:pPr>
            <w:r w:rsidRPr="00800D1B">
              <w:rPr>
                <w:color w:val="000000"/>
                <w:sz w:val="20"/>
                <w:lang w:val="sv-SE"/>
              </w:rPr>
              <w:t>Mer utvecklade regioner</w:t>
            </w:r>
          </w:p>
        </w:tc>
        <w:tc>
          <w:tcPr>
            <w:tcW w:w="0" w:type="auto"/>
          </w:tcPr>
          <w:p w14:paraId="2D0662EB" w14:textId="77777777" w:rsidR="00A77B3E" w:rsidRPr="00800D1B" w:rsidRDefault="00623E14" w:rsidP="00894596">
            <w:pPr>
              <w:spacing w:before="100" w:after="60"/>
              <w:ind w:left="-72"/>
              <w:rPr>
                <w:color w:val="000000"/>
                <w:sz w:val="20"/>
                <w:lang w:val="sv-SE"/>
              </w:rPr>
            </w:pPr>
            <w:r w:rsidRPr="00800D1B">
              <w:rPr>
                <w:color w:val="000000"/>
                <w:sz w:val="20"/>
                <w:lang w:val="sv-SE"/>
              </w:rPr>
              <w:t>058. Åtgärder för anpassning till klimatförändringarna och förebyggande och hantering av klimatrelaterade risker: översvämningar och jordskred (inbegripet åtgärder för ökad medvetenhet, civilskydd, system för katastrofhantering, infrastrukturer och ekosystemansatser)</w:t>
            </w:r>
          </w:p>
        </w:tc>
        <w:tc>
          <w:tcPr>
            <w:tcW w:w="0" w:type="auto"/>
          </w:tcPr>
          <w:p w14:paraId="2D0662EC" w14:textId="77777777" w:rsidR="00A77B3E" w:rsidRPr="00800D1B" w:rsidRDefault="00623E14" w:rsidP="0049057D">
            <w:pPr>
              <w:spacing w:before="100" w:after="100"/>
              <w:ind w:left="-72"/>
              <w:jc w:val="right"/>
              <w:rPr>
                <w:color w:val="000000"/>
                <w:sz w:val="20"/>
                <w:lang w:val="sv-SE"/>
              </w:rPr>
            </w:pPr>
            <w:r w:rsidRPr="00800D1B">
              <w:rPr>
                <w:color w:val="000000"/>
                <w:sz w:val="20"/>
                <w:lang w:val="sv-SE"/>
              </w:rPr>
              <w:t>2 479 781,00</w:t>
            </w:r>
          </w:p>
        </w:tc>
      </w:tr>
      <w:tr w:rsidR="003422DB" w:rsidRPr="00800D1B" w14:paraId="2D0662F4" w14:textId="77777777" w:rsidTr="0049057D">
        <w:tc>
          <w:tcPr>
            <w:tcW w:w="0" w:type="auto"/>
          </w:tcPr>
          <w:p w14:paraId="2D0662EE" w14:textId="77777777" w:rsidR="00A77B3E" w:rsidRPr="00800D1B" w:rsidRDefault="00623E14" w:rsidP="0049057D">
            <w:pPr>
              <w:spacing w:before="100" w:after="100"/>
              <w:ind w:left="-72"/>
              <w:rPr>
                <w:color w:val="000000"/>
                <w:sz w:val="20"/>
                <w:lang w:val="sv-SE"/>
              </w:rPr>
            </w:pPr>
            <w:r w:rsidRPr="00800D1B">
              <w:rPr>
                <w:color w:val="000000"/>
                <w:sz w:val="20"/>
                <w:lang w:val="sv-SE"/>
              </w:rPr>
              <w:t>4</w:t>
            </w:r>
          </w:p>
        </w:tc>
        <w:tc>
          <w:tcPr>
            <w:tcW w:w="0" w:type="auto"/>
          </w:tcPr>
          <w:p w14:paraId="2D0662EF" w14:textId="77777777" w:rsidR="00A77B3E" w:rsidRPr="00800D1B" w:rsidRDefault="00623E14" w:rsidP="0049057D">
            <w:pPr>
              <w:spacing w:before="100" w:after="100"/>
              <w:ind w:left="-72"/>
              <w:rPr>
                <w:color w:val="000000"/>
                <w:sz w:val="20"/>
                <w:lang w:val="sv-SE"/>
              </w:rPr>
            </w:pPr>
            <w:r w:rsidRPr="00800D1B">
              <w:rPr>
                <w:color w:val="000000"/>
                <w:sz w:val="20"/>
                <w:lang w:val="sv-SE"/>
              </w:rPr>
              <w:t>RSO2.4</w:t>
            </w:r>
          </w:p>
        </w:tc>
        <w:tc>
          <w:tcPr>
            <w:tcW w:w="0" w:type="auto"/>
          </w:tcPr>
          <w:p w14:paraId="2D0662F0" w14:textId="77777777" w:rsidR="00A77B3E" w:rsidRPr="00800D1B" w:rsidRDefault="00623E14" w:rsidP="0049057D">
            <w:pPr>
              <w:spacing w:before="100" w:after="100"/>
              <w:ind w:left="-72"/>
              <w:rPr>
                <w:color w:val="000000"/>
                <w:sz w:val="20"/>
                <w:lang w:val="sv-SE"/>
              </w:rPr>
            </w:pPr>
            <w:r w:rsidRPr="00800D1B">
              <w:rPr>
                <w:color w:val="000000"/>
                <w:sz w:val="20"/>
                <w:lang w:val="sv-SE"/>
              </w:rPr>
              <w:t>Eruf</w:t>
            </w:r>
          </w:p>
        </w:tc>
        <w:tc>
          <w:tcPr>
            <w:tcW w:w="0" w:type="auto"/>
          </w:tcPr>
          <w:p w14:paraId="2D0662F1" w14:textId="77777777" w:rsidR="00A77B3E" w:rsidRPr="00800D1B" w:rsidRDefault="00623E14" w:rsidP="0049057D">
            <w:pPr>
              <w:spacing w:before="100" w:after="100"/>
              <w:ind w:left="-72"/>
              <w:rPr>
                <w:color w:val="000000"/>
                <w:sz w:val="20"/>
                <w:lang w:val="sv-SE"/>
              </w:rPr>
            </w:pPr>
            <w:r w:rsidRPr="00800D1B">
              <w:rPr>
                <w:color w:val="000000"/>
                <w:sz w:val="20"/>
                <w:lang w:val="sv-SE"/>
              </w:rPr>
              <w:t>Mer utvecklade regioner</w:t>
            </w:r>
          </w:p>
        </w:tc>
        <w:tc>
          <w:tcPr>
            <w:tcW w:w="0" w:type="auto"/>
          </w:tcPr>
          <w:p w14:paraId="2D0662F2" w14:textId="77777777" w:rsidR="00A77B3E" w:rsidRPr="00800D1B" w:rsidRDefault="00623E14" w:rsidP="0049057D">
            <w:pPr>
              <w:spacing w:before="100" w:after="100"/>
              <w:ind w:left="-72"/>
              <w:rPr>
                <w:color w:val="000000"/>
                <w:sz w:val="20"/>
                <w:lang w:val="sv-SE"/>
              </w:rPr>
            </w:pPr>
            <w:r w:rsidRPr="00800D1B">
              <w:rPr>
                <w:color w:val="000000"/>
                <w:sz w:val="20"/>
                <w:lang w:val="sv-SE"/>
              </w:rPr>
              <w:t>059. Åtgärder för anpassning till klimatförändringarna och förebyggande och hantering av klimatrelaterade risker: bränder (inbegripet åtgärder för ökad medvetenhet, civilskydd, system och infrastrukturer för katastrofhantering och ekosystemansatser)</w:t>
            </w:r>
          </w:p>
        </w:tc>
        <w:tc>
          <w:tcPr>
            <w:tcW w:w="0" w:type="auto"/>
          </w:tcPr>
          <w:p w14:paraId="2D0662F3" w14:textId="77777777" w:rsidR="00A77B3E" w:rsidRPr="00800D1B" w:rsidRDefault="00623E14" w:rsidP="0049057D">
            <w:pPr>
              <w:spacing w:before="100" w:after="100"/>
              <w:ind w:left="-72"/>
              <w:jc w:val="right"/>
              <w:rPr>
                <w:color w:val="000000"/>
                <w:sz w:val="20"/>
                <w:lang w:val="sv-SE"/>
              </w:rPr>
            </w:pPr>
            <w:r w:rsidRPr="00800D1B">
              <w:rPr>
                <w:color w:val="000000"/>
                <w:sz w:val="20"/>
                <w:lang w:val="sv-SE"/>
              </w:rPr>
              <w:t>2 479 778,00</w:t>
            </w:r>
          </w:p>
        </w:tc>
      </w:tr>
      <w:tr w:rsidR="003422DB" w:rsidRPr="00800D1B" w14:paraId="2D0662FB" w14:textId="77777777" w:rsidTr="0049057D">
        <w:tc>
          <w:tcPr>
            <w:tcW w:w="0" w:type="auto"/>
          </w:tcPr>
          <w:p w14:paraId="2D0662F5" w14:textId="77777777" w:rsidR="00A77B3E" w:rsidRPr="00800D1B" w:rsidRDefault="00623E14" w:rsidP="0049057D">
            <w:pPr>
              <w:spacing w:before="100" w:after="100"/>
              <w:ind w:left="-72"/>
              <w:rPr>
                <w:color w:val="000000"/>
                <w:sz w:val="20"/>
                <w:lang w:val="sv-SE"/>
              </w:rPr>
            </w:pPr>
            <w:r w:rsidRPr="00800D1B">
              <w:rPr>
                <w:color w:val="000000"/>
                <w:sz w:val="20"/>
                <w:lang w:val="sv-SE"/>
              </w:rPr>
              <w:t>4</w:t>
            </w:r>
          </w:p>
        </w:tc>
        <w:tc>
          <w:tcPr>
            <w:tcW w:w="0" w:type="auto"/>
          </w:tcPr>
          <w:p w14:paraId="2D0662F6" w14:textId="77777777" w:rsidR="00A77B3E" w:rsidRPr="00800D1B" w:rsidRDefault="00623E14" w:rsidP="0049057D">
            <w:pPr>
              <w:spacing w:before="100" w:after="100"/>
              <w:ind w:left="-72"/>
              <w:rPr>
                <w:color w:val="000000"/>
                <w:sz w:val="20"/>
                <w:lang w:val="sv-SE"/>
              </w:rPr>
            </w:pPr>
            <w:r w:rsidRPr="00800D1B">
              <w:rPr>
                <w:color w:val="000000"/>
                <w:sz w:val="20"/>
                <w:lang w:val="sv-SE"/>
              </w:rPr>
              <w:t>RSO2.4</w:t>
            </w:r>
          </w:p>
        </w:tc>
        <w:tc>
          <w:tcPr>
            <w:tcW w:w="0" w:type="auto"/>
          </w:tcPr>
          <w:p w14:paraId="2D0662F7" w14:textId="77777777" w:rsidR="00A77B3E" w:rsidRPr="00800D1B" w:rsidRDefault="00623E14" w:rsidP="0049057D">
            <w:pPr>
              <w:spacing w:before="100" w:after="100"/>
              <w:ind w:left="-72"/>
              <w:rPr>
                <w:color w:val="000000"/>
                <w:sz w:val="20"/>
                <w:lang w:val="sv-SE"/>
              </w:rPr>
            </w:pPr>
            <w:r w:rsidRPr="00800D1B">
              <w:rPr>
                <w:color w:val="000000"/>
                <w:sz w:val="20"/>
                <w:lang w:val="sv-SE"/>
              </w:rPr>
              <w:t>Eruf</w:t>
            </w:r>
          </w:p>
        </w:tc>
        <w:tc>
          <w:tcPr>
            <w:tcW w:w="0" w:type="auto"/>
          </w:tcPr>
          <w:p w14:paraId="2D0662F8" w14:textId="77777777" w:rsidR="00A77B3E" w:rsidRPr="00800D1B" w:rsidRDefault="00623E14" w:rsidP="0049057D">
            <w:pPr>
              <w:spacing w:before="100" w:after="100"/>
              <w:ind w:left="-72"/>
              <w:rPr>
                <w:color w:val="000000"/>
                <w:sz w:val="20"/>
                <w:lang w:val="sv-SE"/>
              </w:rPr>
            </w:pPr>
            <w:r w:rsidRPr="00800D1B">
              <w:rPr>
                <w:color w:val="000000"/>
                <w:sz w:val="20"/>
                <w:lang w:val="sv-SE"/>
              </w:rPr>
              <w:t>Mer utvecklade regioner</w:t>
            </w:r>
          </w:p>
        </w:tc>
        <w:tc>
          <w:tcPr>
            <w:tcW w:w="0" w:type="auto"/>
          </w:tcPr>
          <w:p w14:paraId="2D0662F9" w14:textId="77777777" w:rsidR="00A77B3E" w:rsidRPr="00800D1B" w:rsidRDefault="00623E14" w:rsidP="0049057D">
            <w:pPr>
              <w:spacing w:before="100" w:after="100"/>
              <w:ind w:left="-72"/>
              <w:rPr>
                <w:color w:val="000000"/>
                <w:sz w:val="20"/>
                <w:lang w:val="sv-SE"/>
              </w:rPr>
            </w:pPr>
            <w:r w:rsidRPr="00800D1B">
              <w:rPr>
                <w:color w:val="000000"/>
                <w:sz w:val="20"/>
                <w:lang w:val="sv-SE"/>
              </w:rPr>
              <w:t>060. Åtgärder för anpassning till klimatförändringarna och förebyggande och hantering av klimatrelaterade risker: annat, t.ex. stormar och torka (inbegripet åtgärder för ökad medvetenhet, civilskydd, system och infrastrukturer för katastrofhantering och ekosystemansatser)</w:t>
            </w:r>
          </w:p>
        </w:tc>
        <w:tc>
          <w:tcPr>
            <w:tcW w:w="0" w:type="auto"/>
          </w:tcPr>
          <w:p w14:paraId="2D0662FA" w14:textId="77777777" w:rsidR="00A77B3E" w:rsidRPr="00800D1B" w:rsidRDefault="00623E14" w:rsidP="0049057D">
            <w:pPr>
              <w:spacing w:before="100" w:after="100"/>
              <w:ind w:left="-72"/>
              <w:jc w:val="right"/>
              <w:rPr>
                <w:color w:val="000000"/>
                <w:sz w:val="20"/>
                <w:lang w:val="sv-SE"/>
              </w:rPr>
            </w:pPr>
            <w:r w:rsidRPr="00800D1B">
              <w:rPr>
                <w:color w:val="000000"/>
                <w:sz w:val="20"/>
                <w:lang w:val="sv-SE"/>
              </w:rPr>
              <w:t>2 479 778,00</w:t>
            </w:r>
          </w:p>
        </w:tc>
      </w:tr>
      <w:tr w:rsidR="003422DB" w:rsidRPr="00800D1B" w14:paraId="2D066302" w14:textId="77777777" w:rsidTr="0049057D">
        <w:tc>
          <w:tcPr>
            <w:tcW w:w="0" w:type="auto"/>
          </w:tcPr>
          <w:p w14:paraId="2D0662FC" w14:textId="77777777" w:rsidR="00A77B3E" w:rsidRPr="00800D1B" w:rsidRDefault="00623E14" w:rsidP="0049057D">
            <w:pPr>
              <w:spacing w:before="100" w:after="100"/>
              <w:ind w:left="-72"/>
              <w:rPr>
                <w:color w:val="000000"/>
                <w:sz w:val="20"/>
                <w:lang w:val="sv-SE"/>
              </w:rPr>
            </w:pPr>
            <w:r w:rsidRPr="00800D1B">
              <w:rPr>
                <w:color w:val="000000"/>
                <w:sz w:val="20"/>
                <w:lang w:val="sv-SE"/>
              </w:rPr>
              <w:t>4</w:t>
            </w:r>
          </w:p>
        </w:tc>
        <w:tc>
          <w:tcPr>
            <w:tcW w:w="0" w:type="auto"/>
          </w:tcPr>
          <w:p w14:paraId="2D0662FD" w14:textId="77777777" w:rsidR="00A77B3E" w:rsidRPr="00800D1B" w:rsidRDefault="00623E14" w:rsidP="0049057D">
            <w:pPr>
              <w:spacing w:before="100" w:after="100"/>
              <w:ind w:left="-72"/>
              <w:rPr>
                <w:color w:val="000000"/>
                <w:sz w:val="20"/>
                <w:lang w:val="sv-SE"/>
              </w:rPr>
            </w:pPr>
            <w:r w:rsidRPr="00800D1B">
              <w:rPr>
                <w:color w:val="000000"/>
                <w:sz w:val="20"/>
                <w:lang w:val="sv-SE"/>
              </w:rPr>
              <w:t>RSO2.4</w:t>
            </w:r>
          </w:p>
        </w:tc>
        <w:tc>
          <w:tcPr>
            <w:tcW w:w="0" w:type="auto"/>
          </w:tcPr>
          <w:p w14:paraId="2D0662FE" w14:textId="77777777" w:rsidR="00A77B3E" w:rsidRPr="00800D1B" w:rsidRDefault="00623E14" w:rsidP="0049057D">
            <w:pPr>
              <w:spacing w:before="100" w:after="100"/>
              <w:ind w:left="-72"/>
              <w:rPr>
                <w:color w:val="000000"/>
                <w:sz w:val="20"/>
                <w:lang w:val="sv-SE"/>
              </w:rPr>
            </w:pPr>
            <w:r w:rsidRPr="00800D1B">
              <w:rPr>
                <w:color w:val="000000"/>
                <w:sz w:val="20"/>
                <w:lang w:val="sv-SE"/>
              </w:rPr>
              <w:t>Eruf</w:t>
            </w:r>
          </w:p>
        </w:tc>
        <w:tc>
          <w:tcPr>
            <w:tcW w:w="0" w:type="auto"/>
          </w:tcPr>
          <w:p w14:paraId="2D0662FF" w14:textId="77777777" w:rsidR="00A77B3E" w:rsidRPr="00800D1B" w:rsidRDefault="00623E14" w:rsidP="0049057D">
            <w:pPr>
              <w:spacing w:before="100" w:after="100"/>
              <w:ind w:left="-72"/>
              <w:rPr>
                <w:color w:val="000000"/>
                <w:sz w:val="20"/>
                <w:lang w:val="sv-SE"/>
              </w:rPr>
            </w:pPr>
            <w:r w:rsidRPr="00800D1B">
              <w:rPr>
                <w:color w:val="000000"/>
                <w:sz w:val="20"/>
                <w:lang w:val="sv-SE"/>
              </w:rPr>
              <w:t>Mer utvecklade regioner</w:t>
            </w:r>
          </w:p>
        </w:tc>
        <w:tc>
          <w:tcPr>
            <w:tcW w:w="0" w:type="auto"/>
          </w:tcPr>
          <w:p w14:paraId="2D066300" w14:textId="77777777" w:rsidR="00A77B3E" w:rsidRPr="00800D1B" w:rsidRDefault="00623E14" w:rsidP="0049057D">
            <w:pPr>
              <w:spacing w:before="100" w:after="100"/>
              <w:ind w:left="-72"/>
              <w:rPr>
                <w:color w:val="000000"/>
                <w:sz w:val="20"/>
                <w:lang w:val="sv-SE"/>
              </w:rPr>
            </w:pPr>
            <w:r w:rsidRPr="00800D1B">
              <w:rPr>
                <w:color w:val="000000"/>
                <w:sz w:val="20"/>
                <w:lang w:val="sv-SE"/>
              </w:rPr>
              <w:t>061. Åtgärder för anpassning till klimatförändringarna och förebyggande och hantering av klimatrelaterade risker: annat, t.ex. stormar och torka (inbegripet åtgärder för ökad medvetenhet, civilskydd, system och infrastrukturer för katastrofhantering och ekosystemansatser</w:t>
            </w:r>
          </w:p>
        </w:tc>
        <w:tc>
          <w:tcPr>
            <w:tcW w:w="0" w:type="auto"/>
          </w:tcPr>
          <w:p w14:paraId="2D066301" w14:textId="77777777" w:rsidR="00A77B3E" w:rsidRPr="00800D1B" w:rsidRDefault="00623E14" w:rsidP="0049057D">
            <w:pPr>
              <w:spacing w:before="100" w:after="100"/>
              <w:ind w:left="-72"/>
              <w:jc w:val="right"/>
              <w:rPr>
                <w:color w:val="000000"/>
                <w:sz w:val="20"/>
                <w:lang w:val="sv-SE"/>
              </w:rPr>
            </w:pPr>
            <w:r w:rsidRPr="00800D1B">
              <w:rPr>
                <w:color w:val="000000"/>
                <w:sz w:val="20"/>
                <w:lang w:val="sv-SE"/>
              </w:rPr>
              <w:t>2 479 778,00</w:t>
            </w:r>
          </w:p>
        </w:tc>
      </w:tr>
      <w:tr w:rsidR="003422DB" w:rsidRPr="00800D1B" w14:paraId="2D066309" w14:textId="77777777" w:rsidTr="0049057D">
        <w:tc>
          <w:tcPr>
            <w:tcW w:w="0" w:type="auto"/>
          </w:tcPr>
          <w:p w14:paraId="2D066303" w14:textId="77777777" w:rsidR="00A77B3E" w:rsidRPr="00800D1B" w:rsidRDefault="00623E14" w:rsidP="0049057D">
            <w:pPr>
              <w:spacing w:before="100" w:after="100"/>
              <w:ind w:left="-72"/>
              <w:rPr>
                <w:color w:val="000000"/>
                <w:sz w:val="20"/>
                <w:lang w:val="sv-SE"/>
              </w:rPr>
            </w:pPr>
            <w:r w:rsidRPr="00800D1B">
              <w:rPr>
                <w:color w:val="000000"/>
                <w:sz w:val="20"/>
                <w:lang w:val="sv-SE"/>
              </w:rPr>
              <w:t>4</w:t>
            </w:r>
          </w:p>
        </w:tc>
        <w:tc>
          <w:tcPr>
            <w:tcW w:w="0" w:type="auto"/>
          </w:tcPr>
          <w:p w14:paraId="2D066304" w14:textId="77777777" w:rsidR="00A77B3E" w:rsidRPr="00800D1B" w:rsidRDefault="00623E14" w:rsidP="0049057D">
            <w:pPr>
              <w:spacing w:before="100" w:after="100"/>
              <w:ind w:left="-72"/>
              <w:rPr>
                <w:color w:val="000000"/>
                <w:sz w:val="20"/>
                <w:lang w:val="sv-SE"/>
              </w:rPr>
            </w:pPr>
            <w:r w:rsidRPr="00800D1B">
              <w:rPr>
                <w:color w:val="000000"/>
                <w:sz w:val="20"/>
                <w:lang w:val="sv-SE"/>
              </w:rPr>
              <w:t>RSO2.4</w:t>
            </w:r>
          </w:p>
        </w:tc>
        <w:tc>
          <w:tcPr>
            <w:tcW w:w="0" w:type="auto"/>
          </w:tcPr>
          <w:p w14:paraId="2D066305" w14:textId="77777777" w:rsidR="00A77B3E" w:rsidRPr="00800D1B" w:rsidRDefault="00623E14" w:rsidP="0049057D">
            <w:pPr>
              <w:spacing w:before="100" w:after="100"/>
              <w:ind w:left="-72"/>
              <w:rPr>
                <w:color w:val="000000"/>
                <w:sz w:val="20"/>
                <w:lang w:val="sv-SE"/>
              </w:rPr>
            </w:pPr>
            <w:r w:rsidRPr="00800D1B">
              <w:rPr>
                <w:color w:val="000000"/>
                <w:sz w:val="20"/>
                <w:lang w:val="sv-SE"/>
              </w:rPr>
              <w:t>Totalt</w:t>
            </w:r>
          </w:p>
        </w:tc>
        <w:tc>
          <w:tcPr>
            <w:tcW w:w="0" w:type="auto"/>
          </w:tcPr>
          <w:p w14:paraId="2D066306" w14:textId="77777777" w:rsidR="00A77B3E" w:rsidRPr="00800D1B" w:rsidRDefault="00A77B3E" w:rsidP="0049057D">
            <w:pPr>
              <w:spacing w:before="100" w:after="100"/>
              <w:ind w:left="-72"/>
              <w:rPr>
                <w:color w:val="000000"/>
                <w:sz w:val="20"/>
                <w:lang w:val="sv-SE"/>
              </w:rPr>
            </w:pPr>
          </w:p>
        </w:tc>
        <w:tc>
          <w:tcPr>
            <w:tcW w:w="0" w:type="auto"/>
          </w:tcPr>
          <w:p w14:paraId="2D066307" w14:textId="77777777" w:rsidR="00A77B3E" w:rsidRPr="00800D1B" w:rsidRDefault="00A77B3E" w:rsidP="0049057D">
            <w:pPr>
              <w:spacing w:before="100" w:after="100"/>
              <w:ind w:left="-72"/>
              <w:rPr>
                <w:color w:val="000000"/>
                <w:sz w:val="20"/>
                <w:lang w:val="sv-SE"/>
              </w:rPr>
            </w:pPr>
          </w:p>
        </w:tc>
        <w:tc>
          <w:tcPr>
            <w:tcW w:w="0" w:type="auto"/>
          </w:tcPr>
          <w:p w14:paraId="2D066308" w14:textId="77777777" w:rsidR="00A77B3E" w:rsidRPr="00800D1B" w:rsidRDefault="00623E14" w:rsidP="0049057D">
            <w:pPr>
              <w:spacing w:before="100" w:after="100"/>
              <w:ind w:left="-72"/>
              <w:jc w:val="right"/>
              <w:rPr>
                <w:color w:val="000000"/>
                <w:sz w:val="20"/>
                <w:lang w:val="sv-SE"/>
              </w:rPr>
            </w:pPr>
            <w:r w:rsidRPr="00800D1B">
              <w:rPr>
                <w:color w:val="000000"/>
                <w:sz w:val="20"/>
                <w:lang w:val="sv-SE"/>
              </w:rPr>
              <w:t>9 919 115,00</w:t>
            </w:r>
          </w:p>
        </w:tc>
      </w:tr>
    </w:tbl>
    <w:p w14:paraId="2D06630B" w14:textId="6C4D46B7" w:rsidR="00A77B3E" w:rsidRPr="00800D1B" w:rsidRDefault="00623E14" w:rsidP="002F4614">
      <w:pPr>
        <w:spacing w:before="300" w:after="100"/>
        <w:rPr>
          <w:lang w:val="sv-SE"/>
        </w:rPr>
      </w:pPr>
      <w:bookmarkStart w:id="140" w:name="_Toc256000381"/>
      <w:r w:rsidRPr="00800D1B">
        <w:rPr>
          <w:lang w:val="sv-SE"/>
        </w:rPr>
        <w:t>Tabell 5: Dimension 2 – finansieringsform</w:t>
      </w:r>
      <w:bookmarkEnd w:id="140"/>
    </w:p>
    <w:p w14:paraId="2D06630C" w14:textId="77777777" w:rsidR="00A77B3E" w:rsidRPr="00800D1B" w:rsidRDefault="00A77B3E">
      <w:pPr>
        <w:spacing w:before="100"/>
        <w:rPr>
          <w:color w:val="000000"/>
          <w:sz w:val="0"/>
          <w:lang w:val="sv-SE"/>
        </w:rPr>
      </w:pPr>
    </w:p>
    <w:tbl>
      <w:tblPr>
        <w:tblStyle w:val="Tabellrutnt"/>
        <w:tblW w:w="5000" w:type="pct"/>
        <w:tblLook w:val="04A0" w:firstRow="1" w:lastRow="0" w:firstColumn="1" w:lastColumn="0" w:noHBand="0" w:noVBand="1"/>
        <w:tblDescription w:val="En tabell med sex kolumner: Prioritering; Specifikt mål; Fond; Regionkategori; Kod; Belopp (euro). Tabellen visar information om finansieringsform."/>
      </w:tblPr>
      <w:tblGrid>
        <w:gridCol w:w="2243"/>
        <w:gridCol w:w="2528"/>
        <w:gridCol w:w="1387"/>
        <w:gridCol w:w="4245"/>
        <w:gridCol w:w="2155"/>
        <w:gridCol w:w="2614"/>
      </w:tblGrid>
      <w:tr w:rsidR="003422DB" w:rsidRPr="00800D1B" w14:paraId="2D066313" w14:textId="77777777" w:rsidTr="0049057D">
        <w:tc>
          <w:tcPr>
            <w:tcW w:w="0" w:type="auto"/>
          </w:tcPr>
          <w:p w14:paraId="2D06630D" w14:textId="77777777" w:rsidR="00A77B3E" w:rsidRPr="00800D1B" w:rsidRDefault="00623E14" w:rsidP="0049057D">
            <w:pPr>
              <w:spacing w:before="100" w:after="100"/>
              <w:ind w:left="-72"/>
              <w:jc w:val="center"/>
              <w:rPr>
                <w:color w:val="000000"/>
                <w:sz w:val="20"/>
                <w:lang w:val="sv-SE"/>
              </w:rPr>
            </w:pPr>
            <w:r w:rsidRPr="00800D1B">
              <w:rPr>
                <w:color w:val="000000"/>
                <w:sz w:val="20"/>
                <w:lang w:val="sv-SE"/>
              </w:rPr>
              <w:t>Prioritering</w:t>
            </w:r>
          </w:p>
        </w:tc>
        <w:tc>
          <w:tcPr>
            <w:tcW w:w="0" w:type="auto"/>
          </w:tcPr>
          <w:p w14:paraId="2D06630E" w14:textId="77777777" w:rsidR="00A77B3E" w:rsidRPr="00800D1B" w:rsidRDefault="00623E14" w:rsidP="0049057D">
            <w:pPr>
              <w:spacing w:before="100" w:after="100"/>
              <w:ind w:left="-72"/>
              <w:jc w:val="center"/>
              <w:rPr>
                <w:color w:val="000000"/>
                <w:sz w:val="20"/>
                <w:lang w:val="sv-SE"/>
              </w:rPr>
            </w:pPr>
            <w:r w:rsidRPr="00800D1B">
              <w:rPr>
                <w:color w:val="000000"/>
                <w:sz w:val="20"/>
                <w:lang w:val="sv-SE"/>
              </w:rPr>
              <w:t>Specifikt mål</w:t>
            </w:r>
          </w:p>
        </w:tc>
        <w:tc>
          <w:tcPr>
            <w:tcW w:w="0" w:type="auto"/>
          </w:tcPr>
          <w:p w14:paraId="2D06630F" w14:textId="77777777" w:rsidR="00A77B3E" w:rsidRPr="00800D1B" w:rsidRDefault="00623E14" w:rsidP="0049057D">
            <w:pPr>
              <w:spacing w:before="100" w:after="100"/>
              <w:ind w:left="-72"/>
              <w:jc w:val="center"/>
              <w:rPr>
                <w:color w:val="000000"/>
                <w:sz w:val="20"/>
                <w:lang w:val="sv-SE"/>
              </w:rPr>
            </w:pPr>
            <w:r w:rsidRPr="00800D1B">
              <w:rPr>
                <w:color w:val="000000"/>
                <w:sz w:val="20"/>
                <w:lang w:val="sv-SE"/>
              </w:rPr>
              <w:t>Fond</w:t>
            </w:r>
          </w:p>
        </w:tc>
        <w:tc>
          <w:tcPr>
            <w:tcW w:w="0" w:type="auto"/>
          </w:tcPr>
          <w:p w14:paraId="2D066310" w14:textId="77777777" w:rsidR="00A77B3E" w:rsidRPr="00800D1B" w:rsidRDefault="00623E14" w:rsidP="0049057D">
            <w:pPr>
              <w:spacing w:before="100" w:after="100"/>
              <w:ind w:left="-72"/>
              <w:jc w:val="center"/>
              <w:rPr>
                <w:color w:val="000000"/>
                <w:sz w:val="20"/>
                <w:lang w:val="sv-SE"/>
              </w:rPr>
            </w:pPr>
            <w:r w:rsidRPr="00800D1B">
              <w:rPr>
                <w:color w:val="000000"/>
                <w:sz w:val="20"/>
                <w:lang w:val="sv-SE"/>
              </w:rPr>
              <w:t>Regionkategori</w:t>
            </w:r>
          </w:p>
        </w:tc>
        <w:tc>
          <w:tcPr>
            <w:tcW w:w="0" w:type="auto"/>
          </w:tcPr>
          <w:p w14:paraId="2D066311" w14:textId="77777777" w:rsidR="00A77B3E" w:rsidRPr="00800D1B" w:rsidRDefault="00623E14" w:rsidP="0049057D">
            <w:pPr>
              <w:spacing w:before="100" w:after="100"/>
              <w:ind w:left="-72"/>
              <w:jc w:val="center"/>
              <w:rPr>
                <w:color w:val="000000"/>
                <w:sz w:val="20"/>
                <w:lang w:val="sv-SE"/>
              </w:rPr>
            </w:pPr>
            <w:r w:rsidRPr="00800D1B">
              <w:rPr>
                <w:color w:val="000000"/>
                <w:sz w:val="20"/>
                <w:lang w:val="sv-SE"/>
              </w:rPr>
              <w:t>Kod</w:t>
            </w:r>
          </w:p>
        </w:tc>
        <w:tc>
          <w:tcPr>
            <w:tcW w:w="0" w:type="auto"/>
          </w:tcPr>
          <w:p w14:paraId="2D066312" w14:textId="77777777" w:rsidR="00A77B3E" w:rsidRPr="00800D1B" w:rsidRDefault="00623E14" w:rsidP="0049057D">
            <w:pPr>
              <w:spacing w:before="100" w:after="100"/>
              <w:ind w:left="-72"/>
              <w:jc w:val="center"/>
              <w:rPr>
                <w:color w:val="000000"/>
                <w:sz w:val="20"/>
                <w:lang w:val="sv-SE"/>
              </w:rPr>
            </w:pPr>
            <w:r w:rsidRPr="00800D1B">
              <w:rPr>
                <w:color w:val="000000"/>
                <w:sz w:val="20"/>
                <w:lang w:val="sv-SE"/>
              </w:rPr>
              <w:t>Belopp (euro)</w:t>
            </w:r>
          </w:p>
        </w:tc>
      </w:tr>
      <w:tr w:rsidR="003422DB" w:rsidRPr="00800D1B" w14:paraId="2D06631A" w14:textId="77777777" w:rsidTr="0049057D">
        <w:tc>
          <w:tcPr>
            <w:tcW w:w="0" w:type="auto"/>
          </w:tcPr>
          <w:p w14:paraId="2D066314" w14:textId="77777777" w:rsidR="00A77B3E" w:rsidRPr="00800D1B" w:rsidRDefault="00623E14" w:rsidP="0049057D">
            <w:pPr>
              <w:spacing w:before="100" w:after="100"/>
              <w:ind w:left="-72"/>
              <w:rPr>
                <w:color w:val="000000"/>
                <w:sz w:val="20"/>
                <w:lang w:val="sv-SE"/>
              </w:rPr>
            </w:pPr>
            <w:r w:rsidRPr="00800D1B">
              <w:rPr>
                <w:color w:val="000000"/>
                <w:sz w:val="20"/>
                <w:lang w:val="sv-SE"/>
              </w:rPr>
              <w:t>4</w:t>
            </w:r>
          </w:p>
        </w:tc>
        <w:tc>
          <w:tcPr>
            <w:tcW w:w="0" w:type="auto"/>
          </w:tcPr>
          <w:p w14:paraId="2D066315" w14:textId="77777777" w:rsidR="00A77B3E" w:rsidRPr="00800D1B" w:rsidRDefault="00623E14" w:rsidP="0049057D">
            <w:pPr>
              <w:spacing w:before="100" w:after="100"/>
              <w:ind w:left="-72"/>
              <w:rPr>
                <w:color w:val="000000"/>
                <w:sz w:val="20"/>
                <w:lang w:val="sv-SE"/>
              </w:rPr>
            </w:pPr>
            <w:r w:rsidRPr="00800D1B">
              <w:rPr>
                <w:color w:val="000000"/>
                <w:sz w:val="20"/>
                <w:lang w:val="sv-SE"/>
              </w:rPr>
              <w:t>RSO2.4</w:t>
            </w:r>
          </w:p>
        </w:tc>
        <w:tc>
          <w:tcPr>
            <w:tcW w:w="0" w:type="auto"/>
          </w:tcPr>
          <w:p w14:paraId="2D066316" w14:textId="77777777" w:rsidR="00A77B3E" w:rsidRPr="00800D1B" w:rsidRDefault="00623E14" w:rsidP="0049057D">
            <w:pPr>
              <w:spacing w:before="100" w:after="100"/>
              <w:ind w:left="-72"/>
              <w:rPr>
                <w:color w:val="000000"/>
                <w:sz w:val="20"/>
                <w:lang w:val="sv-SE"/>
              </w:rPr>
            </w:pPr>
            <w:r w:rsidRPr="00800D1B">
              <w:rPr>
                <w:color w:val="000000"/>
                <w:sz w:val="20"/>
                <w:lang w:val="sv-SE"/>
              </w:rPr>
              <w:t>Eruf</w:t>
            </w:r>
          </w:p>
        </w:tc>
        <w:tc>
          <w:tcPr>
            <w:tcW w:w="0" w:type="auto"/>
          </w:tcPr>
          <w:p w14:paraId="2D066317" w14:textId="77777777" w:rsidR="00A77B3E" w:rsidRPr="00800D1B" w:rsidRDefault="00623E14" w:rsidP="0049057D">
            <w:pPr>
              <w:spacing w:before="100" w:after="100"/>
              <w:ind w:left="-72"/>
              <w:rPr>
                <w:color w:val="000000"/>
                <w:sz w:val="20"/>
                <w:lang w:val="sv-SE"/>
              </w:rPr>
            </w:pPr>
            <w:r w:rsidRPr="00800D1B">
              <w:rPr>
                <w:color w:val="000000"/>
                <w:sz w:val="20"/>
                <w:lang w:val="sv-SE"/>
              </w:rPr>
              <w:t>Mer utvecklade regioner</w:t>
            </w:r>
          </w:p>
        </w:tc>
        <w:tc>
          <w:tcPr>
            <w:tcW w:w="0" w:type="auto"/>
          </w:tcPr>
          <w:p w14:paraId="2D066318" w14:textId="77777777" w:rsidR="00A77B3E" w:rsidRPr="00800D1B" w:rsidRDefault="00623E14" w:rsidP="0049057D">
            <w:pPr>
              <w:spacing w:before="100" w:after="100"/>
              <w:ind w:left="-72"/>
              <w:rPr>
                <w:color w:val="000000"/>
                <w:sz w:val="20"/>
                <w:lang w:val="sv-SE"/>
              </w:rPr>
            </w:pPr>
            <w:r w:rsidRPr="00800D1B">
              <w:rPr>
                <w:color w:val="000000"/>
                <w:sz w:val="20"/>
                <w:lang w:val="sv-SE"/>
              </w:rPr>
              <w:t>01. Bevilja</w:t>
            </w:r>
          </w:p>
        </w:tc>
        <w:tc>
          <w:tcPr>
            <w:tcW w:w="0" w:type="auto"/>
          </w:tcPr>
          <w:p w14:paraId="2D066319" w14:textId="77777777" w:rsidR="00A77B3E" w:rsidRPr="00800D1B" w:rsidRDefault="00623E14" w:rsidP="0049057D">
            <w:pPr>
              <w:spacing w:before="100" w:after="100"/>
              <w:ind w:left="-72"/>
              <w:jc w:val="right"/>
              <w:rPr>
                <w:color w:val="000000"/>
                <w:sz w:val="20"/>
                <w:lang w:val="sv-SE"/>
              </w:rPr>
            </w:pPr>
            <w:r w:rsidRPr="00800D1B">
              <w:rPr>
                <w:color w:val="000000"/>
                <w:sz w:val="20"/>
                <w:lang w:val="sv-SE"/>
              </w:rPr>
              <w:t>9 919 115,00</w:t>
            </w:r>
          </w:p>
        </w:tc>
      </w:tr>
      <w:tr w:rsidR="003422DB" w:rsidRPr="00800D1B" w14:paraId="2D066321" w14:textId="77777777" w:rsidTr="0049057D">
        <w:tc>
          <w:tcPr>
            <w:tcW w:w="0" w:type="auto"/>
          </w:tcPr>
          <w:p w14:paraId="2D06631B" w14:textId="77777777" w:rsidR="00A77B3E" w:rsidRPr="00800D1B" w:rsidRDefault="00623E14" w:rsidP="0049057D">
            <w:pPr>
              <w:spacing w:before="100" w:after="100"/>
              <w:ind w:left="-72"/>
              <w:rPr>
                <w:color w:val="000000"/>
                <w:sz w:val="20"/>
                <w:lang w:val="sv-SE"/>
              </w:rPr>
            </w:pPr>
            <w:r w:rsidRPr="00800D1B">
              <w:rPr>
                <w:color w:val="000000"/>
                <w:sz w:val="20"/>
                <w:lang w:val="sv-SE"/>
              </w:rPr>
              <w:t>4</w:t>
            </w:r>
          </w:p>
        </w:tc>
        <w:tc>
          <w:tcPr>
            <w:tcW w:w="0" w:type="auto"/>
          </w:tcPr>
          <w:p w14:paraId="2D06631C" w14:textId="77777777" w:rsidR="00A77B3E" w:rsidRPr="00800D1B" w:rsidRDefault="00623E14" w:rsidP="0049057D">
            <w:pPr>
              <w:spacing w:before="100" w:after="100"/>
              <w:ind w:left="-72"/>
              <w:rPr>
                <w:color w:val="000000"/>
                <w:sz w:val="20"/>
                <w:lang w:val="sv-SE"/>
              </w:rPr>
            </w:pPr>
            <w:r w:rsidRPr="00800D1B">
              <w:rPr>
                <w:color w:val="000000"/>
                <w:sz w:val="20"/>
                <w:lang w:val="sv-SE"/>
              </w:rPr>
              <w:t>RSO2.4</w:t>
            </w:r>
          </w:p>
        </w:tc>
        <w:tc>
          <w:tcPr>
            <w:tcW w:w="0" w:type="auto"/>
          </w:tcPr>
          <w:p w14:paraId="2D06631D" w14:textId="77777777" w:rsidR="00A77B3E" w:rsidRPr="00800D1B" w:rsidRDefault="00623E14" w:rsidP="0049057D">
            <w:pPr>
              <w:spacing w:before="100" w:after="100"/>
              <w:ind w:left="-72"/>
              <w:rPr>
                <w:color w:val="000000"/>
                <w:sz w:val="20"/>
                <w:lang w:val="sv-SE"/>
              </w:rPr>
            </w:pPr>
            <w:r w:rsidRPr="00800D1B">
              <w:rPr>
                <w:color w:val="000000"/>
                <w:sz w:val="20"/>
                <w:lang w:val="sv-SE"/>
              </w:rPr>
              <w:t>Totalt</w:t>
            </w:r>
          </w:p>
        </w:tc>
        <w:tc>
          <w:tcPr>
            <w:tcW w:w="0" w:type="auto"/>
          </w:tcPr>
          <w:p w14:paraId="2D06631E" w14:textId="77777777" w:rsidR="00A77B3E" w:rsidRPr="00800D1B" w:rsidRDefault="00A77B3E" w:rsidP="0049057D">
            <w:pPr>
              <w:spacing w:before="100" w:after="100"/>
              <w:ind w:left="-72"/>
              <w:rPr>
                <w:color w:val="000000"/>
                <w:sz w:val="20"/>
                <w:lang w:val="sv-SE"/>
              </w:rPr>
            </w:pPr>
          </w:p>
        </w:tc>
        <w:tc>
          <w:tcPr>
            <w:tcW w:w="0" w:type="auto"/>
          </w:tcPr>
          <w:p w14:paraId="2D06631F" w14:textId="77777777" w:rsidR="00A77B3E" w:rsidRPr="00800D1B" w:rsidRDefault="00A77B3E" w:rsidP="0049057D">
            <w:pPr>
              <w:spacing w:before="100" w:after="100"/>
              <w:ind w:left="-72"/>
              <w:rPr>
                <w:color w:val="000000"/>
                <w:sz w:val="20"/>
                <w:lang w:val="sv-SE"/>
              </w:rPr>
            </w:pPr>
          </w:p>
        </w:tc>
        <w:tc>
          <w:tcPr>
            <w:tcW w:w="0" w:type="auto"/>
          </w:tcPr>
          <w:p w14:paraId="2D066320" w14:textId="77777777" w:rsidR="00A77B3E" w:rsidRPr="00800D1B" w:rsidRDefault="00623E14" w:rsidP="0049057D">
            <w:pPr>
              <w:spacing w:before="100" w:after="100"/>
              <w:ind w:left="-72"/>
              <w:jc w:val="right"/>
              <w:rPr>
                <w:color w:val="000000"/>
                <w:sz w:val="20"/>
                <w:lang w:val="sv-SE"/>
              </w:rPr>
            </w:pPr>
            <w:r w:rsidRPr="00800D1B">
              <w:rPr>
                <w:color w:val="000000"/>
                <w:sz w:val="20"/>
                <w:lang w:val="sv-SE"/>
              </w:rPr>
              <w:t>9 919 115,00</w:t>
            </w:r>
          </w:p>
        </w:tc>
      </w:tr>
    </w:tbl>
    <w:p w14:paraId="2D066323" w14:textId="4216B296" w:rsidR="00A77B3E" w:rsidRPr="00800D1B" w:rsidRDefault="00623E14" w:rsidP="002F4614">
      <w:pPr>
        <w:spacing w:before="300" w:after="100"/>
        <w:rPr>
          <w:lang w:val="sv-SE"/>
        </w:rPr>
      </w:pPr>
      <w:bookmarkStart w:id="141" w:name="_Toc256000382"/>
      <w:r w:rsidRPr="00800D1B">
        <w:rPr>
          <w:lang w:val="sv-SE"/>
        </w:rPr>
        <w:t>Tabell 6: Dimension 3 – territoriell genomförandemetod och territoriellt fokus</w:t>
      </w:r>
      <w:bookmarkEnd w:id="141"/>
    </w:p>
    <w:p w14:paraId="2D066324" w14:textId="77777777" w:rsidR="00A77B3E" w:rsidRPr="00800D1B" w:rsidRDefault="00A77B3E">
      <w:pPr>
        <w:spacing w:before="100"/>
        <w:rPr>
          <w:color w:val="000000"/>
          <w:sz w:val="0"/>
          <w:lang w:val="sv-SE"/>
        </w:rPr>
      </w:pPr>
    </w:p>
    <w:tbl>
      <w:tblPr>
        <w:tblStyle w:val="Tabellrutnt"/>
        <w:tblW w:w="5000" w:type="pct"/>
        <w:tblLook w:val="04A0" w:firstRow="1" w:lastRow="0" w:firstColumn="1" w:lastColumn="0" w:noHBand="0" w:noVBand="1"/>
        <w:tblDescription w:val="En tabell med sex kolumner: Prioritering; Specifikt mål; Fond; Regionkategori; Kod; Belopp (euro). Tabellen visar information om territoriell genomförandemetod och territoriellt fokus."/>
      </w:tblPr>
      <w:tblGrid>
        <w:gridCol w:w="1572"/>
        <w:gridCol w:w="1772"/>
        <w:gridCol w:w="972"/>
        <w:gridCol w:w="2975"/>
        <w:gridCol w:w="6049"/>
        <w:gridCol w:w="1832"/>
      </w:tblGrid>
      <w:tr w:rsidR="003422DB" w:rsidRPr="00800D1B" w14:paraId="2D06632B" w14:textId="77777777" w:rsidTr="0049057D">
        <w:tc>
          <w:tcPr>
            <w:tcW w:w="0" w:type="auto"/>
          </w:tcPr>
          <w:p w14:paraId="2D066325" w14:textId="77777777" w:rsidR="00A77B3E" w:rsidRPr="00800D1B" w:rsidRDefault="00623E14" w:rsidP="0049057D">
            <w:pPr>
              <w:spacing w:before="100" w:after="100"/>
              <w:ind w:left="-72"/>
              <w:jc w:val="center"/>
              <w:rPr>
                <w:color w:val="000000"/>
                <w:sz w:val="20"/>
                <w:lang w:val="sv-SE"/>
              </w:rPr>
            </w:pPr>
            <w:r w:rsidRPr="00800D1B">
              <w:rPr>
                <w:color w:val="000000"/>
                <w:sz w:val="20"/>
                <w:lang w:val="sv-SE"/>
              </w:rPr>
              <w:t>Prioritering</w:t>
            </w:r>
          </w:p>
        </w:tc>
        <w:tc>
          <w:tcPr>
            <w:tcW w:w="0" w:type="auto"/>
          </w:tcPr>
          <w:p w14:paraId="2D066326" w14:textId="77777777" w:rsidR="00A77B3E" w:rsidRPr="00800D1B" w:rsidRDefault="00623E14" w:rsidP="0049057D">
            <w:pPr>
              <w:spacing w:before="100" w:after="100"/>
              <w:ind w:left="-72"/>
              <w:jc w:val="center"/>
              <w:rPr>
                <w:color w:val="000000"/>
                <w:sz w:val="20"/>
                <w:lang w:val="sv-SE"/>
              </w:rPr>
            </w:pPr>
            <w:r w:rsidRPr="00800D1B">
              <w:rPr>
                <w:color w:val="000000"/>
                <w:sz w:val="20"/>
                <w:lang w:val="sv-SE"/>
              </w:rPr>
              <w:t>Specifikt mål</w:t>
            </w:r>
          </w:p>
        </w:tc>
        <w:tc>
          <w:tcPr>
            <w:tcW w:w="0" w:type="auto"/>
          </w:tcPr>
          <w:p w14:paraId="2D066327" w14:textId="77777777" w:rsidR="00A77B3E" w:rsidRPr="00800D1B" w:rsidRDefault="00623E14" w:rsidP="0049057D">
            <w:pPr>
              <w:spacing w:before="100" w:after="100"/>
              <w:ind w:left="-72"/>
              <w:jc w:val="center"/>
              <w:rPr>
                <w:color w:val="000000"/>
                <w:sz w:val="20"/>
                <w:lang w:val="sv-SE"/>
              </w:rPr>
            </w:pPr>
            <w:r w:rsidRPr="00800D1B">
              <w:rPr>
                <w:color w:val="000000"/>
                <w:sz w:val="20"/>
                <w:lang w:val="sv-SE"/>
              </w:rPr>
              <w:t>Fond</w:t>
            </w:r>
          </w:p>
        </w:tc>
        <w:tc>
          <w:tcPr>
            <w:tcW w:w="0" w:type="auto"/>
          </w:tcPr>
          <w:p w14:paraId="2D066328" w14:textId="77777777" w:rsidR="00A77B3E" w:rsidRPr="00800D1B" w:rsidRDefault="00623E14" w:rsidP="0049057D">
            <w:pPr>
              <w:spacing w:before="100" w:after="100"/>
              <w:ind w:left="-72"/>
              <w:jc w:val="center"/>
              <w:rPr>
                <w:color w:val="000000"/>
                <w:sz w:val="20"/>
                <w:lang w:val="sv-SE"/>
              </w:rPr>
            </w:pPr>
            <w:r w:rsidRPr="00800D1B">
              <w:rPr>
                <w:color w:val="000000"/>
                <w:sz w:val="20"/>
                <w:lang w:val="sv-SE"/>
              </w:rPr>
              <w:t>Regionkategori</w:t>
            </w:r>
          </w:p>
        </w:tc>
        <w:tc>
          <w:tcPr>
            <w:tcW w:w="0" w:type="auto"/>
          </w:tcPr>
          <w:p w14:paraId="2D066329" w14:textId="77777777" w:rsidR="00A77B3E" w:rsidRPr="00800D1B" w:rsidRDefault="00623E14" w:rsidP="0049057D">
            <w:pPr>
              <w:spacing w:before="100" w:after="100"/>
              <w:ind w:left="-72"/>
              <w:jc w:val="center"/>
              <w:rPr>
                <w:color w:val="000000"/>
                <w:sz w:val="20"/>
                <w:lang w:val="sv-SE"/>
              </w:rPr>
            </w:pPr>
            <w:r w:rsidRPr="00800D1B">
              <w:rPr>
                <w:color w:val="000000"/>
                <w:sz w:val="20"/>
                <w:lang w:val="sv-SE"/>
              </w:rPr>
              <w:t>Kod</w:t>
            </w:r>
          </w:p>
        </w:tc>
        <w:tc>
          <w:tcPr>
            <w:tcW w:w="0" w:type="auto"/>
          </w:tcPr>
          <w:p w14:paraId="2D06632A" w14:textId="77777777" w:rsidR="00A77B3E" w:rsidRPr="00800D1B" w:rsidRDefault="00623E14" w:rsidP="0049057D">
            <w:pPr>
              <w:spacing w:before="100" w:after="100"/>
              <w:ind w:left="-72"/>
              <w:jc w:val="center"/>
              <w:rPr>
                <w:color w:val="000000"/>
                <w:sz w:val="20"/>
                <w:lang w:val="sv-SE"/>
              </w:rPr>
            </w:pPr>
            <w:r w:rsidRPr="00800D1B">
              <w:rPr>
                <w:color w:val="000000"/>
                <w:sz w:val="20"/>
                <w:lang w:val="sv-SE"/>
              </w:rPr>
              <w:t>Belopp (euro)</w:t>
            </w:r>
          </w:p>
        </w:tc>
      </w:tr>
      <w:tr w:rsidR="003422DB" w:rsidRPr="00800D1B" w14:paraId="2D066332" w14:textId="77777777" w:rsidTr="0049057D">
        <w:tc>
          <w:tcPr>
            <w:tcW w:w="0" w:type="auto"/>
          </w:tcPr>
          <w:p w14:paraId="2D06632C" w14:textId="77777777" w:rsidR="00A77B3E" w:rsidRPr="00800D1B" w:rsidRDefault="00623E14" w:rsidP="0049057D">
            <w:pPr>
              <w:spacing w:before="100" w:after="100"/>
              <w:ind w:left="-72"/>
              <w:rPr>
                <w:color w:val="000000"/>
                <w:sz w:val="20"/>
                <w:lang w:val="sv-SE"/>
              </w:rPr>
            </w:pPr>
            <w:r w:rsidRPr="00800D1B">
              <w:rPr>
                <w:color w:val="000000"/>
                <w:sz w:val="20"/>
                <w:lang w:val="sv-SE"/>
              </w:rPr>
              <w:t>4</w:t>
            </w:r>
          </w:p>
        </w:tc>
        <w:tc>
          <w:tcPr>
            <w:tcW w:w="0" w:type="auto"/>
          </w:tcPr>
          <w:p w14:paraId="2D06632D" w14:textId="77777777" w:rsidR="00A77B3E" w:rsidRPr="00800D1B" w:rsidRDefault="00623E14" w:rsidP="0049057D">
            <w:pPr>
              <w:spacing w:before="100" w:after="100"/>
              <w:ind w:left="-72"/>
              <w:rPr>
                <w:color w:val="000000"/>
                <w:sz w:val="20"/>
                <w:lang w:val="sv-SE"/>
              </w:rPr>
            </w:pPr>
            <w:r w:rsidRPr="00800D1B">
              <w:rPr>
                <w:color w:val="000000"/>
                <w:sz w:val="20"/>
                <w:lang w:val="sv-SE"/>
              </w:rPr>
              <w:t>RSO2.4</w:t>
            </w:r>
          </w:p>
        </w:tc>
        <w:tc>
          <w:tcPr>
            <w:tcW w:w="0" w:type="auto"/>
          </w:tcPr>
          <w:p w14:paraId="2D06632E" w14:textId="77777777" w:rsidR="00A77B3E" w:rsidRPr="00800D1B" w:rsidRDefault="00623E14" w:rsidP="0049057D">
            <w:pPr>
              <w:spacing w:before="100" w:after="100"/>
              <w:ind w:left="-72"/>
              <w:rPr>
                <w:color w:val="000000"/>
                <w:sz w:val="20"/>
                <w:lang w:val="sv-SE"/>
              </w:rPr>
            </w:pPr>
            <w:r w:rsidRPr="00800D1B">
              <w:rPr>
                <w:color w:val="000000"/>
                <w:sz w:val="20"/>
                <w:lang w:val="sv-SE"/>
              </w:rPr>
              <w:t>Eruf</w:t>
            </w:r>
          </w:p>
        </w:tc>
        <w:tc>
          <w:tcPr>
            <w:tcW w:w="0" w:type="auto"/>
          </w:tcPr>
          <w:p w14:paraId="2D06632F" w14:textId="77777777" w:rsidR="00A77B3E" w:rsidRPr="00800D1B" w:rsidRDefault="00623E14" w:rsidP="0049057D">
            <w:pPr>
              <w:spacing w:before="100" w:after="100"/>
              <w:ind w:left="-72"/>
              <w:rPr>
                <w:color w:val="000000"/>
                <w:sz w:val="20"/>
                <w:lang w:val="sv-SE"/>
              </w:rPr>
            </w:pPr>
            <w:r w:rsidRPr="00800D1B">
              <w:rPr>
                <w:color w:val="000000"/>
                <w:sz w:val="20"/>
                <w:lang w:val="sv-SE"/>
              </w:rPr>
              <w:t>Mer utvecklade regioner</w:t>
            </w:r>
          </w:p>
        </w:tc>
        <w:tc>
          <w:tcPr>
            <w:tcW w:w="0" w:type="auto"/>
          </w:tcPr>
          <w:p w14:paraId="2D066330" w14:textId="77777777" w:rsidR="00A77B3E" w:rsidRPr="00800D1B" w:rsidRDefault="00623E14" w:rsidP="0049057D">
            <w:pPr>
              <w:spacing w:before="100" w:after="100"/>
              <w:ind w:left="-72"/>
              <w:rPr>
                <w:color w:val="000000"/>
                <w:sz w:val="20"/>
                <w:lang w:val="sv-SE"/>
              </w:rPr>
            </w:pPr>
            <w:r w:rsidRPr="00800D1B">
              <w:rPr>
                <w:color w:val="000000"/>
                <w:sz w:val="20"/>
                <w:lang w:val="sv-SE"/>
              </w:rPr>
              <w:t>33. Andra strategier – Ingen territoriell målinriktning</w:t>
            </w:r>
          </w:p>
        </w:tc>
        <w:tc>
          <w:tcPr>
            <w:tcW w:w="0" w:type="auto"/>
          </w:tcPr>
          <w:p w14:paraId="2D066331" w14:textId="77777777" w:rsidR="00A77B3E" w:rsidRPr="00800D1B" w:rsidRDefault="00623E14" w:rsidP="0049057D">
            <w:pPr>
              <w:spacing w:before="100" w:after="100"/>
              <w:ind w:left="-72"/>
              <w:jc w:val="right"/>
              <w:rPr>
                <w:color w:val="000000"/>
                <w:sz w:val="20"/>
                <w:lang w:val="sv-SE"/>
              </w:rPr>
            </w:pPr>
            <w:r w:rsidRPr="00800D1B">
              <w:rPr>
                <w:color w:val="000000"/>
                <w:sz w:val="20"/>
                <w:lang w:val="sv-SE"/>
              </w:rPr>
              <w:t>9 919 115,00</w:t>
            </w:r>
          </w:p>
        </w:tc>
      </w:tr>
      <w:tr w:rsidR="003422DB" w:rsidRPr="00800D1B" w14:paraId="2D066339" w14:textId="77777777" w:rsidTr="0049057D">
        <w:tc>
          <w:tcPr>
            <w:tcW w:w="0" w:type="auto"/>
          </w:tcPr>
          <w:p w14:paraId="2D066333" w14:textId="77777777" w:rsidR="00A77B3E" w:rsidRPr="00800D1B" w:rsidRDefault="00623E14" w:rsidP="0049057D">
            <w:pPr>
              <w:spacing w:before="100" w:after="100"/>
              <w:ind w:left="-72"/>
              <w:rPr>
                <w:color w:val="000000"/>
                <w:sz w:val="20"/>
                <w:lang w:val="sv-SE"/>
              </w:rPr>
            </w:pPr>
            <w:r w:rsidRPr="00800D1B">
              <w:rPr>
                <w:color w:val="000000"/>
                <w:sz w:val="20"/>
                <w:lang w:val="sv-SE"/>
              </w:rPr>
              <w:t>4</w:t>
            </w:r>
          </w:p>
        </w:tc>
        <w:tc>
          <w:tcPr>
            <w:tcW w:w="0" w:type="auto"/>
          </w:tcPr>
          <w:p w14:paraId="2D066334" w14:textId="77777777" w:rsidR="00A77B3E" w:rsidRPr="00800D1B" w:rsidRDefault="00623E14" w:rsidP="0049057D">
            <w:pPr>
              <w:spacing w:before="100" w:after="100"/>
              <w:ind w:left="-72"/>
              <w:rPr>
                <w:color w:val="000000"/>
                <w:sz w:val="20"/>
                <w:lang w:val="sv-SE"/>
              </w:rPr>
            </w:pPr>
            <w:r w:rsidRPr="00800D1B">
              <w:rPr>
                <w:color w:val="000000"/>
                <w:sz w:val="20"/>
                <w:lang w:val="sv-SE"/>
              </w:rPr>
              <w:t>RSO2.4</w:t>
            </w:r>
          </w:p>
        </w:tc>
        <w:tc>
          <w:tcPr>
            <w:tcW w:w="0" w:type="auto"/>
          </w:tcPr>
          <w:p w14:paraId="2D066335" w14:textId="77777777" w:rsidR="00A77B3E" w:rsidRPr="00800D1B" w:rsidRDefault="00623E14" w:rsidP="0049057D">
            <w:pPr>
              <w:spacing w:before="100" w:after="100"/>
              <w:ind w:left="-72"/>
              <w:rPr>
                <w:color w:val="000000"/>
                <w:sz w:val="20"/>
                <w:lang w:val="sv-SE"/>
              </w:rPr>
            </w:pPr>
            <w:r w:rsidRPr="00800D1B">
              <w:rPr>
                <w:color w:val="000000"/>
                <w:sz w:val="20"/>
                <w:lang w:val="sv-SE"/>
              </w:rPr>
              <w:t>Totalt</w:t>
            </w:r>
          </w:p>
        </w:tc>
        <w:tc>
          <w:tcPr>
            <w:tcW w:w="0" w:type="auto"/>
          </w:tcPr>
          <w:p w14:paraId="2D066336" w14:textId="77777777" w:rsidR="00A77B3E" w:rsidRPr="00800D1B" w:rsidRDefault="00A77B3E" w:rsidP="0049057D">
            <w:pPr>
              <w:spacing w:before="100" w:after="100"/>
              <w:ind w:left="-72"/>
              <w:rPr>
                <w:color w:val="000000"/>
                <w:sz w:val="20"/>
                <w:lang w:val="sv-SE"/>
              </w:rPr>
            </w:pPr>
          </w:p>
        </w:tc>
        <w:tc>
          <w:tcPr>
            <w:tcW w:w="0" w:type="auto"/>
          </w:tcPr>
          <w:p w14:paraId="2D066337" w14:textId="77777777" w:rsidR="00A77B3E" w:rsidRPr="00800D1B" w:rsidRDefault="00A77B3E" w:rsidP="0049057D">
            <w:pPr>
              <w:spacing w:before="100" w:after="100"/>
              <w:ind w:left="-72"/>
              <w:rPr>
                <w:color w:val="000000"/>
                <w:sz w:val="20"/>
                <w:lang w:val="sv-SE"/>
              </w:rPr>
            </w:pPr>
          </w:p>
        </w:tc>
        <w:tc>
          <w:tcPr>
            <w:tcW w:w="0" w:type="auto"/>
          </w:tcPr>
          <w:p w14:paraId="2D066338" w14:textId="77777777" w:rsidR="00A77B3E" w:rsidRPr="00800D1B" w:rsidRDefault="00623E14" w:rsidP="0049057D">
            <w:pPr>
              <w:spacing w:before="100" w:after="100"/>
              <w:ind w:left="-72"/>
              <w:jc w:val="right"/>
              <w:rPr>
                <w:color w:val="000000"/>
                <w:sz w:val="20"/>
                <w:lang w:val="sv-SE"/>
              </w:rPr>
            </w:pPr>
            <w:r w:rsidRPr="00800D1B">
              <w:rPr>
                <w:color w:val="000000"/>
                <w:sz w:val="20"/>
                <w:lang w:val="sv-SE"/>
              </w:rPr>
              <w:t>9 919 115,00</w:t>
            </w:r>
          </w:p>
        </w:tc>
      </w:tr>
    </w:tbl>
    <w:p w14:paraId="2D06633B" w14:textId="389A484E" w:rsidR="00A77B3E" w:rsidRPr="00800D1B" w:rsidRDefault="00623E14" w:rsidP="002F4614">
      <w:pPr>
        <w:spacing w:before="300" w:after="100"/>
        <w:rPr>
          <w:lang w:val="sv-SE"/>
        </w:rPr>
      </w:pPr>
      <w:bookmarkStart w:id="142" w:name="_Toc256000383"/>
      <w:r w:rsidRPr="00800D1B">
        <w:rPr>
          <w:lang w:val="sv-SE"/>
        </w:rPr>
        <w:t>Tabell 7: Dimension 6 – ESF+-sekundärteman</w:t>
      </w:r>
      <w:bookmarkEnd w:id="142"/>
    </w:p>
    <w:p w14:paraId="2D06633C" w14:textId="77777777" w:rsidR="00A77B3E" w:rsidRPr="00800D1B" w:rsidRDefault="00A77B3E">
      <w:pPr>
        <w:spacing w:before="100"/>
        <w:rPr>
          <w:color w:val="000000"/>
          <w:sz w:val="0"/>
          <w:lang w:val="sv-SE"/>
        </w:rPr>
      </w:pPr>
    </w:p>
    <w:tbl>
      <w:tblPr>
        <w:tblStyle w:val="Tabellrutnt"/>
        <w:tblW w:w="5000" w:type="pct"/>
        <w:tblLook w:val="04A0" w:firstRow="1" w:lastRow="0" w:firstColumn="1" w:lastColumn="0" w:noHBand="0" w:noVBand="1"/>
        <w:tblDescription w:val="En tabell med sex kolumner: Prioritering; Specifikt mål; Fond; Regionkategori; Kod; Belopp (euro). Tabellen visar information om ESF+-sekundärteman."/>
      </w:tblPr>
      <w:tblGrid>
        <w:gridCol w:w="2755"/>
        <w:gridCol w:w="3041"/>
        <w:gridCol w:w="1482"/>
        <w:gridCol w:w="3423"/>
        <w:gridCol w:w="1324"/>
        <w:gridCol w:w="3147"/>
      </w:tblGrid>
      <w:tr w:rsidR="003422DB" w:rsidRPr="00800D1B" w14:paraId="2D066343" w14:textId="77777777" w:rsidTr="0049057D">
        <w:tc>
          <w:tcPr>
            <w:tcW w:w="0" w:type="auto"/>
          </w:tcPr>
          <w:p w14:paraId="2D06633D" w14:textId="77777777" w:rsidR="00A77B3E" w:rsidRPr="00800D1B" w:rsidRDefault="00623E14" w:rsidP="0049057D">
            <w:pPr>
              <w:spacing w:before="100" w:after="100"/>
              <w:ind w:left="-72"/>
              <w:jc w:val="center"/>
              <w:rPr>
                <w:color w:val="000000"/>
                <w:sz w:val="20"/>
                <w:lang w:val="sv-SE"/>
              </w:rPr>
            </w:pPr>
            <w:r w:rsidRPr="00800D1B">
              <w:rPr>
                <w:color w:val="000000"/>
                <w:sz w:val="20"/>
                <w:lang w:val="sv-SE"/>
              </w:rPr>
              <w:t>Prioritering</w:t>
            </w:r>
          </w:p>
        </w:tc>
        <w:tc>
          <w:tcPr>
            <w:tcW w:w="0" w:type="auto"/>
          </w:tcPr>
          <w:p w14:paraId="2D06633E" w14:textId="77777777" w:rsidR="00A77B3E" w:rsidRPr="00800D1B" w:rsidRDefault="00623E14">
            <w:pPr>
              <w:spacing w:before="100"/>
              <w:jc w:val="center"/>
              <w:rPr>
                <w:color w:val="000000"/>
                <w:sz w:val="20"/>
                <w:lang w:val="sv-SE"/>
              </w:rPr>
            </w:pPr>
            <w:r w:rsidRPr="00800D1B">
              <w:rPr>
                <w:color w:val="000000"/>
                <w:sz w:val="20"/>
                <w:lang w:val="sv-SE"/>
              </w:rPr>
              <w:t>Specifikt mål</w:t>
            </w:r>
          </w:p>
        </w:tc>
        <w:tc>
          <w:tcPr>
            <w:tcW w:w="0" w:type="auto"/>
          </w:tcPr>
          <w:p w14:paraId="2D06633F" w14:textId="77777777" w:rsidR="00A77B3E" w:rsidRPr="00800D1B" w:rsidRDefault="00623E14">
            <w:pPr>
              <w:spacing w:before="100"/>
              <w:jc w:val="center"/>
              <w:rPr>
                <w:color w:val="000000"/>
                <w:sz w:val="20"/>
                <w:lang w:val="sv-SE"/>
              </w:rPr>
            </w:pPr>
            <w:r w:rsidRPr="00800D1B">
              <w:rPr>
                <w:color w:val="000000"/>
                <w:sz w:val="20"/>
                <w:lang w:val="sv-SE"/>
              </w:rPr>
              <w:t>Fond</w:t>
            </w:r>
          </w:p>
        </w:tc>
        <w:tc>
          <w:tcPr>
            <w:tcW w:w="0" w:type="auto"/>
          </w:tcPr>
          <w:p w14:paraId="2D066340" w14:textId="77777777" w:rsidR="00A77B3E" w:rsidRPr="00800D1B" w:rsidRDefault="00623E14">
            <w:pPr>
              <w:spacing w:before="100"/>
              <w:jc w:val="center"/>
              <w:rPr>
                <w:color w:val="000000"/>
                <w:sz w:val="20"/>
                <w:lang w:val="sv-SE"/>
              </w:rPr>
            </w:pPr>
            <w:r w:rsidRPr="00800D1B">
              <w:rPr>
                <w:color w:val="000000"/>
                <w:sz w:val="20"/>
                <w:lang w:val="sv-SE"/>
              </w:rPr>
              <w:t>Regionkategori</w:t>
            </w:r>
          </w:p>
        </w:tc>
        <w:tc>
          <w:tcPr>
            <w:tcW w:w="0" w:type="auto"/>
          </w:tcPr>
          <w:p w14:paraId="2D066341" w14:textId="77777777" w:rsidR="00A77B3E" w:rsidRPr="00800D1B" w:rsidRDefault="00623E14">
            <w:pPr>
              <w:spacing w:before="100"/>
              <w:jc w:val="center"/>
              <w:rPr>
                <w:color w:val="000000"/>
                <w:sz w:val="20"/>
                <w:lang w:val="sv-SE"/>
              </w:rPr>
            </w:pPr>
            <w:r w:rsidRPr="00800D1B">
              <w:rPr>
                <w:color w:val="000000"/>
                <w:sz w:val="20"/>
                <w:lang w:val="sv-SE"/>
              </w:rPr>
              <w:t>Kod</w:t>
            </w:r>
          </w:p>
        </w:tc>
        <w:tc>
          <w:tcPr>
            <w:tcW w:w="0" w:type="auto"/>
          </w:tcPr>
          <w:p w14:paraId="2D066342" w14:textId="77777777" w:rsidR="00A77B3E" w:rsidRPr="00800D1B" w:rsidRDefault="00623E14">
            <w:pPr>
              <w:spacing w:before="100"/>
              <w:jc w:val="center"/>
              <w:rPr>
                <w:color w:val="000000"/>
                <w:sz w:val="20"/>
                <w:lang w:val="sv-SE"/>
              </w:rPr>
            </w:pPr>
            <w:r w:rsidRPr="00800D1B">
              <w:rPr>
                <w:color w:val="000000"/>
                <w:sz w:val="20"/>
                <w:lang w:val="sv-SE"/>
              </w:rPr>
              <w:t>Belopp (euro)</w:t>
            </w:r>
          </w:p>
        </w:tc>
      </w:tr>
    </w:tbl>
    <w:p w14:paraId="2D066345" w14:textId="1983DB1E" w:rsidR="00A77B3E" w:rsidRPr="00800D1B" w:rsidRDefault="00623E14" w:rsidP="002F4614">
      <w:pPr>
        <w:spacing w:before="300" w:after="100"/>
        <w:rPr>
          <w:lang w:val="sv-SE"/>
        </w:rPr>
      </w:pPr>
      <w:bookmarkStart w:id="143" w:name="_Toc256000384"/>
      <w:r w:rsidRPr="00800D1B">
        <w:rPr>
          <w:lang w:val="sv-SE"/>
        </w:rPr>
        <w:t>Tabell 8: Dimension 7 – ESF+, Eruf, Sammanhållningsfonden och FRO, jämställdhetsdimensionen</w:t>
      </w:r>
      <w:bookmarkEnd w:id="143"/>
    </w:p>
    <w:p w14:paraId="2D066346" w14:textId="77777777" w:rsidR="00A77B3E" w:rsidRPr="00800D1B" w:rsidRDefault="00A77B3E">
      <w:pPr>
        <w:spacing w:before="100"/>
        <w:rPr>
          <w:color w:val="000000"/>
          <w:sz w:val="0"/>
          <w:lang w:val="sv-SE"/>
        </w:rPr>
      </w:pPr>
    </w:p>
    <w:tbl>
      <w:tblPr>
        <w:tblStyle w:val="Tabellrutnt"/>
        <w:tblW w:w="5000" w:type="pct"/>
        <w:tblLook w:val="04A0" w:firstRow="1" w:lastRow="0" w:firstColumn="1" w:lastColumn="0" w:noHBand="0" w:noVBand="1"/>
        <w:tblDescription w:val="En tabell med sex kolumner: Prioritering; Specifikt mål; Fond; Regionkategori; Kod; Belopp (euro). Tabellen visar information om ESF+, Eruf, Sammanhållningsfonden och FRO, jämställdhetsdimensionen."/>
      </w:tblPr>
      <w:tblGrid>
        <w:gridCol w:w="1909"/>
        <w:gridCol w:w="2152"/>
        <w:gridCol w:w="1181"/>
        <w:gridCol w:w="3615"/>
        <w:gridCol w:w="4089"/>
        <w:gridCol w:w="2226"/>
      </w:tblGrid>
      <w:tr w:rsidR="003422DB" w:rsidRPr="00800D1B" w14:paraId="2D06634D" w14:textId="77777777" w:rsidTr="0049057D">
        <w:tc>
          <w:tcPr>
            <w:tcW w:w="0" w:type="auto"/>
          </w:tcPr>
          <w:p w14:paraId="2D066347" w14:textId="77777777" w:rsidR="00A77B3E" w:rsidRPr="00800D1B" w:rsidRDefault="00623E14" w:rsidP="0049057D">
            <w:pPr>
              <w:spacing w:before="100" w:after="100"/>
              <w:ind w:left="-72"/>
              <w:jc w:val="center"/>
              <w:rPr>
                <w:color w:val="000000"/>
                <w:sz w:val="20"/>
                <w:lang w:val="sv-SE"/>
              </w:rPr>
            </w:pPr>
            <w:r w:rsidRPr="00800D1B">
              <w:rPr>
                <w:color w:val="000000"/>
                <w:sz w:val="20"/>
                <w:lang w:val="sv-SE"/>
              </w:rPr>
              <w:t>Prioritering</w:t>
            </w:r>
          </w:p>
        </w:tc>
        <w:tc>
          <w:tcPr>
            <w:tcW w:w="0" w:type="auto"/>
          </w:tcPr>
          <w:p w14:paraId="2D066348" w14:textId="77777777" w:rsidR="00A77B3E" w:rsidRPr="00800D1B" w:rsidRDefault="00623E14" w:rsidP="0049057D">
            <w:pPr>
              <w:spacing w:before="100" w:after="100"/>
              <w:ind w:left="-72"/>
              <w:jc w:val="center"/>
              <w:rPr>
                <w:color w:val="000000"/>
                <w:sz w:val="20"/>
                <w:lang w:val="sv-SE"/>
              </w:rPr>
            </w:pPr>
            <w:r w:rsidRPr="00800D1B">
              <w:rPr>
                <w:color w:val="000000"/>
                <w:sz w:val="20"/>
                <w:lang w:val="sv-SE"/>
              </w:rPr>
              <w:t>Specifikt mål</w:t>
            </w:r>
          </w:p>
        </w:tc>
        <w:tc>
          <w:tcPr>
            <w:tcW w:w="0" w:type="auto"/>
          </w:tcPr>
          <w:p w14:paraId="2D066349" w14:textId="77777777" w:rsidR="00A77B3E" w:rsidRPr="00800D1B" w:rsidRDefault="00623E14" w:rsidP="0049057D">
            <w:pPr>
              <w:spacing w:before="100" w:after="100"/>
              <w:ind w:left="-72"/>
              <w:jc w:val="center"/>
              <w:rPr>
                <w:color w:val="000000"/>
                <w:sz w:val="20"/>
                <w:lang w:val="sv-SE"/>
              </w:rPr>
            </w:pPr>
            <w:r w:rsidRPr="00800D1B">
              <w:rPr>
                <w:color w:val="000000"/>
                <w:sz w:val="20"/>
                <w:lang w:val="sv-SE"/>
              </w:rPr>
              <w:t>Fond</w:t>
            </w:r>
          </w:p>
        </w:tc>
        <w:tc>
          <w:tcPr>
            <w:tcW w:w="0" w:type="auto"/>
          </w:tcPr>
          <w:p w14:paraId="2D06634A" w14:textId="77777777" w:rsidR="00A77B3E" w:rsidRPr="00800D1B" w:rsidRDefault="00623E14" w:rsidP="0049057D">
            <w:pPr>
              <w:spacing w:before="100" w:after="100"/>
              <w:ind w:left="-72"/>
              <w:jc w:val="center"/>
              <w:rPr>
                <w:color w:val="000000"/>
                <w:sz w:val="20"/>
                <w:lang w:val="sv-SE"/>
              </w:rPr>
            </w:pPr>
            <w:r w:rsidRPr="00800D1B">
              <w:rPr>
                <w:color w:val="000000"/>
                <w:sz w:val="20"/>
                <w:lang w:val="sv-SE"/>
              </w:rPr>
              <w:t>Regionkategori</w:t>
            </w:r>
          </w:p>
        </w:tc>
        <w:tc>
          <w:tcPr>
            <w:tcW w:w="0" w:type="auto"/>
          </w:tcPr>
          <w:p w14:paraId="2D06634B" w14:textId="77777777" w:rsidR="00A77B3E" w:rsidRPr="00800D1B" w:rsidRDefault="00623E14" w:rsidP="0049057D">
            <w:pPr>
              <w:spacing w:before="100" w:after="100"/>
              <w:ind w:left="-72"/>
              <w:jc w:val="center"/>
              <w:rPr>
                <w:color w:val="000000"/>
                <w:sz w:val="20"/>
                <w:lang w:val="sv-SE"/>
              </w:rPr>
            </w:pPr>
            <w:r w:rsidRPr="00800D1B">
              <w:rPr>
                <w:color w:val="000000"/>
                <w:sz w:val="20"/>
                <w:lang w:val="sv-SE"/>
              </w:rPr>
              <w:t>Kod</w:t>
            </w:r>
          </w:p>
        </w:tc>
        <w:tc>
          <w:tcPr>
            <w:tcW w:w="0" w:type="auto"/>
          </w:tcPr>
          <w:p w14:paraId="2D06634C" w14:textId="77777777" w:rsidR="00A77B3E" w:rsidRPr="00800D1B" w:rsidRDefault="00623E14" w:rsidP="0049057D">
            <w:pPr>
              <w:spacing w:before="100" w:after="100"/>
              <w:ind w:left="-72"/>
              <w:jc w:val="center"/>
              <w:rPr>
                <w:color w:val="000000"/>
                <w:sz w:val="20"/>
                <w:lang w:val="sv-SE"/>
              </w:rPr>
            </w:pPr>
            <w:r w:rsidRPr="00800D1B">
              <w:rPr>
                <w:color w:val="000000"/>
                <w:sz w:val="20"/>
                <w:lang w:val="sv-SE"/>
              </w:rPr>
              <w:t>Belopp (euro)</w:t>
            </w:r>
          </w:p>
        </w:tc>
      </w:tr>
      <w:tr w:rsidR="003422DB" w:rsidRPr="00800D1B" w14:paraId="2D066354" w14:textId="77777777" w:rsidTr="0049057D">
        <w:tc>
          <w:tcPr>
            <w:tcW w:w="0" w:type="auto"/>
          </w:tcPr>
          <w:p w14:paraId="2D06634E" w14:textId="77777777" w:rsidR="00A77B3E" w:rsidRPr="00800D1B" w:rsidRDefault="00623E14" w:rsidP="0049057D">
            <w:pPr>
              <w:spacing w:before="100" w:after="100"/>
              <w:ind w:left="-72"/>
              <w:rPr>
                <w:color w:val="000000"/>
                <w:sz w:val="20"/>
                <w:lang w:val="sv-SE"/>
              </w:rPr>
            </w:pPr>
            <w:r w:rsidRPr="00800D1B">
              <w:rPr>
                <w:color w:val="000000"/>
                <w:sz w:val="20"/>
                <w:lang w:val="sv-SE"/>
              </w:rPr>
              <w:t>4</w:t>
            </w:r>
          </w:p>
        </w:tc>
        <w:tc>
          <w:tcPr>
            <w:tcW w:w="0" w:type="auto"/>
          </w:tcPr>
          <w:p w14:paraId="2D06634F" w14:textId="77777777" w:rsidR="00A77B3E" w:rsidRPr="00800D1B" w:rsidRDefault="00623E14" w:rsidP="0049057D">
            <w:pPr>
              <w:spacing w:before="100" w:after="100"/>
              <w:ind w:left="-72"/>
              <w:rPr>
                <w:color w:val="000000"/>
                <w:sz w:val="20"/>
                <w:lang w:val="sv-SE"/>
              </w:rPr>
            </w:pPr>
            <w:r w:rsidRPr="00800D1B">
              <w:rPr>
                <w:color w:val="000000"/>
                <w:sz w:val="20"/>
                <w:lang w:val="sv-SE"/>
              </w:rPr>
              <w:t>RSO2.4</w:t>
            </w:r>
          </w:p>
        </w:tc>
        <w:tc>
          <w:tcPr>
            <w:tcW w:w="0" w:type="auto"/>
          </w:tcPr>
          <w:p w14:paraId="2D066350" w14:textId="77777777" w:rsidR="00A77B3E" w:rsidRPr="00800D1B" w:rsidRDefault="00623E14" w:rsidP="0049057D">
            <w:pPr>
              <w:spacing w:before="100" w:after="100"/>
              <w:ind w:left="-72"/>
              <w:rPr>
                <w:color w:val="000000"/>
                <w:sz w:val="20"/>
                <w:lang w:val="sv-SE"/>
              </w:rPr>
            </w:pPr>
            <w:r w:rsidRPr="00800D1B">
              <w:rPr>
                <w:color w:val="000000"/>
                <w:sz w:val="20"/>
                <w:lang w:val="sv-SE"/>
              </w:rPr>
              <w:t>Eruf</w:t>
            </w:r>
          </w:p>
        </w:tc>
        <w:tc>
          <w:tcPr>
            <w:tcW w:w="0" w:type="auto"/>
          </w:tcPr>
          <w:p w14:paraId="2D066351" w14:textId="77777777" w:rsidR="00A77B3E" w:rsidRPr="00800D1B" w:rsidRDefault="00623E14" w:rsidP="0049057D">
            <w:pPr>
              <w:spacing w:before="100" w:after="100"/>
              <w:ind w:left="-72"/>
              <w:rPr>
                <w:color w:val="000000"/>
                <w:sz w:val="20"/>
                <w:lang w:val="sv-SE"/>
              </w:rPr>
            </w:pPr>
            <w:r w:rsidRPr="00800D1B">
              <w:rPr>
                <w:color w:val="000000"/>
                <w:sz w:val="20"/>
                <w:lang w:val="sv-SE"/>
              </w:rPr>
              <w:t>Mer utvecklade regioner</w:t>
            </w:r>
          </w:p>
        </w:tc>
        <w:tc>
          <w:tcPr>
            <w:tcW w:w="0" w:type="auto"/>
          </w:tcPr>
          <w:p w14:paraId="2D066352" w14:textId="77777777" w:rsidR="00A77B3E" w:rsidRPr="00800D1B" w:rsidRDefault="00623E14" w:rsidP="0049057D">
            <w:pPr>
              <w:spacing w:before="100" w:after="100"/>
              <w:ind w:left="-72"/>
              <w:rPr>
                <w:color w:val="000000"/>
                <w:sz w:val="20"/>
                <w:lang w:val="sv-SE"/>
              </w:rPr>
            </w:pPr>
            <w:r w:rsidRPr="00800D1B">
              <w:rPr>
                <w:color w:val="000000"/>
                <w:sz w:val="20"/>
                <w:lang w:val="sv-SE"/>
              </w:rPr>
              <w:t>02. Jämställdhetsintegrering</w:t>
            </w:r>
          </w:p>
        </w:tc>
        <w:tc>
          <w:tcPr>
            <w:tcW w:w="0" w:type="auto"/>
          </w:tcPr>
          <w:p w14:paraId="2D066353" w14:textId="77777777" w:rsidR="00A77B3E" w:rsidRPr="00800D1B" w:rsidRDefault="00623E14" w:rsidP="0049057D">
            <w:pPr>
              <w:spacing w:before="100" w:after="100"/>
              <w:ind w:left="-72"/>
              <w:jc w:val="right"/>
              <w:rPr>
                <w:color w:val="000000"/>
                <w:sz w:val="20"/>
                <w:lang w:val="sv-SE"/>
              </w:rPr>
            </w:pPr>
            <w:r w:rsidRPr="00800D1B">
              <w:rPr>
                <w:color w:val="000000"/>
                <w:sz w:val="20"/>
                <w:lang w:val="sv-SE"/>
              </w:rPr>
              <w:t>3 967 645,00</w:t>
            </w:r>
          </w:p>
        </w:tc>
      </w:tr>
      <w:tr w:rsidR="003422DB" w:rsidRPr="00800D1B" w14:paraId="2D06635B" w14:textId="77777777" w:rsidTr="0049057D">
        <w:tc>
          <w:tcPr>
            <w:tcW w:w="0" w:type="auto"/>
          </w:tcPr>
          <w:p w14:paraId="2D066355" w14:textId="77777777" w:rsidR="00A77B3E" w:rsidRPr="00800D1B" w:rsidRDefault="00623E14" w:rsidP="0049057D">
            <w:pPr>
              <w:spacing w:before="100" w:after="100"/>
              <w:ind w:left="-72"/>
              <w:rPr>
                <w:color w:val="000000"/>
                <w:sz w:val="20"/>
                <w:lang w:val="sv-SE"/>
              </w:rPr>
            </w:pPr>
            <w:r w:rsidRPr="00800D1B">
              <w:rPr>
                <w:color w:val="000000"/>
                <w:sz w:val="20"/>
                <w:lang w:val="sv-SE"/>
              </w:rPr>
              <w:t>4</w:t>
            </w:r>
          </w:p>
        </w:tc>
        <w:tc>
          <w:tcPr>
            <w:tcW w:w="0" w:type="auto"/>
          </w:tcPr>
          <w:p w14:paraId="2D066356" w14:textId="77777777" w:rsidR="00A77B3E" w:rsidRPr="00800D1B" w:rsidRDefault="00623E14" w:rsidP="0049057D">
            <w:pPr>
              <w:spacing w:before="100" w:after="100"/>
              <w:ind w:left="-72"/>
              <w:rPr>
                <w:color w:val="000000"/>
                <w:sz w:val="20"/>
                <w:lang w:val="sv-SE"/>
              </w:rPr>
            </w:pPr>
            <w:r w:rsidRPr="00800D1B">
              <w:rPr>
                <w:color w:val="000000"/>
                <w:sz w:val="20"/>
                <w:lang w:val="sv-SE"/>
              </w:rPr>
              <w:t>RSO2.4</w:t>
            </w:r>
          </w:p>
        </w:tc>
        <w:tc>
          <w:tcPr>
            <w:tcW w:w="0" w:type="auto"/>
          </w:tcPr>
          <w:p w14:paraId="2D066357" w14:textId="77777777" w:rsidR="00A77B3E" w:rsidRPr="00800D1B" w:rsidRDefault="00623E14" w:rsidP="0049057D">
            <w:pPr>
              <w:spacing w:before="100" w:after="100"/>
              <w:ind w:left="-72"/>
              <w:rPr>
                <w:color w:val="000000"/>
                <w:sz w:val="20"/>
                <w:lang w:val="sv-SE"/>
              </w:rPr>
            </w:pPr>
            <w:r w:rsidRPr="00800D1B">
              <w:rPr>
                <w:color w:val="000000"/>
                <w:sz w:val="20"/>
                <w:lang w:val="sv-SE"/>
              </w:rPr>
              <w:t>Eruf</w:t>
            </w:r>
          </w:p>
        </w:tc>
        <w:tc>
          <w:tcPr>
            <w:tcW w:w="0" w:type="auto"/>
          </w:tcPr>
          <w:p w14:paraId="2D066358" w14:textId="77777777" w:rsidR="00A77B3E" w:rsidRPr="00800D1B" w:rsidRDefault="00623E14" w:rsidP="0049057D">
            <w:pPr>
              <w:spacing w:before="100" w:after="100"/>
              <w:ind w:left="-72"/>
              <w:rPr>
                <w:color w:val="000000"/>
                <w:sz w:val="20"/>
                <w:lang w:val="sv-SE"/>
              </w:rPr>
            </w:pPr>
            <w:r w:rsidRPr="00800D1B">
              <w:rPr>
                <w:color w:val="000000"/>
                <w:sz w:val="20"/>
                <w:lang w:val="sv-SE"/>
              </w:rPr>
              <w:t>Mer utvecklade regioner</w:t>
            </w:r>
          </w:p>
        </w:tc>
        <w:tc>
          <w:tcPr>
            <w:tcW w:w="0" w:type="auto"/>
          </w:tcPr>
          <w:p w14:paraId="2D066359" w14:textId="77777777" w:rsidR="00A77B3E" w:rsidRPr="00800D1B" w:rsidRDefault="00623E14" w:rsidP="0049057D">
            <w:pPr>
              <w:spacing w:before="100" w:after="100"/>
              <w:ind w:left="-72"/>
              <w:rPr>
                <w:color w:val="000000"/>
                <w:sz w:val="20"/>
                <w:lang w:val="sv-SE"/>
              </w:rPr>
            </w:pPr>
            <w:r w:rsidRPr="00800D1B">
              <w:rPr>
                <w:color w:val="000000"/>
                <w:sz w:val="20"/>
                <w:lang w:val="sv-SE"/>
              </w:rPr>
              <w:t>03. Könsneutralitet</w:t>
            </w:r>
          </w:p>
        </w:tc>
        <w:tc>
          <w:tcPr>
            <w:tcW w:w="0" w:type="auto"/>
          </w:tcPr>
          <w:p w14:paraId="2D06635A" w14:textId="77777777" w:rsidR="00A77B3E" w:rsidRPr="00800D1B" w:rsidRDefault="00623E14" w:rsidP="0049057D">
            <w:pPr>
              <w:spacing w:before="100" w:after="100"/>
              <w:ind w:left="-72"/>
              <w:jc w:val="right"/>
              <w:rPr>
                <w:color w:val="000000"/>
                <w:sz w:val="20"/>
                <w:lang w:val="sv-SE"/>
              </w:rPr>
            </w:pPr>
            <w:r w:rsidRPr="00800D1B">
              <w:rPr>
                <w:color w:val="000000"/>
                <w:sz w:val="20"/>
                <w:lang w:val="sv-SE"/>
              </w:rPr>
              <w:t>5 951 470,00</w:t>
            </w:r>
          </w:p>
        </w:tc>
      </w:tr>
      <w:tr w:rsidR="003422DB" w:rsidRPr="00800D1B" w14:paraId="2D066362" w14:textId="77777777" w:rsidTr="0049057D">
        <w:tc>
          <w:tcPr>
            <w:tcW w:w="0" w:type="auto"/>
          </w:tcPr>
          <w:p w14:paraId="2D06635C" w14:textId="77777777" w:rsidR="00A77B3E" w:rsidRPr="00800D1B" w:rsidRDefault="00623E14" w:rsidP="0049057D">
            <w:pPr>
              <w:spacing w:before="100" w:after="100"/>
              <w:ind w:left="-72"/>
              <w:rPr>
                <w:color w:val="000000"/>
                <w:sz w:val="20"/>
                <w:lang w:val="sv-SE"/>
              </w:rPr>
            </w:pPr>
            <w:r w:rsidRPr="00800D1B">
              <w:rPr>
                <w:color w:val="000000"/>
                <w:sz w:val="20"/>
                <w:lang w:val="sv-SE"/>
              </w:rPr>
              <w:t>4</w:t>
            </w:r>
          </w:p>
        </w:tc>
        <w:tc>
          <w:tcPr>
            <w:tcW w:w="0" w:type="auto"/>
          </w:tcPr>
          <w:p w14:paraId="2D06635D" w14:textId="77777777" w:rsidR="00A77B3E" w:rsidRPr="00800D1B" w:rsidRDefault="00623E14" w:rsidP="0049057D">
            <w:pPr>
              <w:spacing w:before="100" w:after="100"/>
              <w:ind w:left="-72"/>
              <w:rPr>
                <w:color w:val="000000"/>
                <w:sz w:val="20"/>
                <w:lang w:val="sv-SE"/>
              </w:rPr>
            </w:pPr>
            <w:r w:rsidRPr="00800D1B">
              <w:rPr>
                <w:color w:val="000000"/>
                <w:sz w:val="20"/>
                <w:lang w:val="sv-SE"/>
              </w:rPr>
              <w:t>RSO2.4</w:t>
            </w:r>
          </w:p>
        </w:tc>
        <w:tc>
          <w:tcPr>
            <w:tcW w:w="0" w:type="auto"/>
          </w:tcPr>
          <w:p w14:paraId="2D06635E" w14:textId="77777777" w:rsidR="00A77B3E" w:rsidRPr="00800D1B" w:rsidRDefault="00623E14" w:rsidP="0049057D">
            <w:pPr>
              <w:spacing w:before="100" w:after="100"/>
              <w:ind w:left="-72"/>
              <w:rPr>
                <w:color w:val="000000"/>
                <w:sz w:val="20"/>
                <w:lang w:val="sv-SE"/>
              </w:rPr>
            </w:pPr>
            <w:r w:rsidRPr="00800D1B">
              <w:rPr>
                <w:color w:val="000000"/>
                <w:sz w:val="20"/>
                <w:lang w:val="sv-SE"/>
              </w:rPr>
              <w:t>Totalt</w:t>
            </w:r>
          </w:p>
        </w:tc>
        <w:tc>
          <w:tcPr>
            <w:tcW w:w="0" w:type="auto"/>
          </w:tcPr>
          <w:p w14:paraId="2D06635F" w14:textId="77777777" w:rsidR="00A77B3E" w:rsidRPr="00800D1B" w:rsidRDefault="00A77B3E" w:rsidP="0049057D">
            <w:pPr>
              <w:spacing w:before="100" w:after="100"/>
              <w:ind w:left="-72"/>
              <w:rPr>
                <w:color w:val="000000"/>
                <w:sz w:val="20"/>
                <w:lang w:val="sv-SE"/>
              </w:rPr>
            </w:pPr>
          </w:p>
        </w:tc>
        <w:tc>
          <w:tcPr>
            <w:tcW w:w="0" w:type="auto"/>
          </w:tcPr>
          <w:p w14:paraId="2D066360" w14:textId="77777777" w:rsidR="00A77B3E" w:rsidRPr="00800D1B" w:rsidRDefault="00A77B3E" w:rsidP="0049057D">
            <w:pPr>
              <w:spacing w:before="100" w:after="100"/>
              <w:ind w:left="-72"/>
              <w:rPr>
                <w:color w:val="000000"/>
                <w:sz w:val="20"/>
                <w:lang w:val="sv-SE"/>
              </w:rPr>
            </w:pPr>
          </w:p>
        </w:tc>
        <w:tc>
          <w:tcPr>
            <w:tcW w:w="0" w:type="auto"/>
          </w:tcPr>
          <w:p w14:paraId="2D066361" w14:textId="77777777" w:rsidR="00A77B3E" w:rsidRPr="00800D1B" w:rsidRDefault="00623E14" w:rsidP="0049057D">
            <w:pPr>
              <w:spacing w:before="100" w:after="100"/>
              <w:ind w:left="-72"/>
              <w:jc w:val="right"/>
              <w:rPr>
                <w:color w:val="000000"/>
                <w:sz w:val="20"/>
                <w:lang w:val="sv-SE"/>
              </w:rPr>
            </w:pPr>
            <w:r w:rsidRPr="00800D1B">
              <w:rPr>
                <w:color w:val="000000"/>
                <w:sz w:val="20"/>
                <w:lang w:val="sv-SE"/>
              </w:rPr>
              <w:t>9 919 115,00</w:t>
            </w:r>
          </w:p>
        </w:tc>
      </w:tr>
    </w:tbl>
    <w:p w14:paraId="2D066363" w14:textId="77777777" w:rsidR="00A77B3E" w:rsidRPr="00800D1B" w:rsidRDefault="00623E14">
      <w:pPr>
        <w:spacing w:before="100"/>
        <w:rPr>
          <w:color w:val="000000"/>
          <w:sz w:val="20"/>
          <w:lang w:val="sv-SE"/>
        </w:rPr>
      </w:pPr>
      <w:r w:rsidRPr="00800D1B">
        <w:rPr>
          <w:color w:val="000000"/>
          <w:sz w:val="20"/>
          <w:lang w:val="sv-SE"/>
        </w:rPr>
        <w:t>* För ESF+ bidrar i princip 40 % av ESF+-medlen till uppföljning av jämställdheten. 100 % är tillämpligt när medlemsstaten väljer att använda artikel 6 i ESF+</w:t>
      </w:r>
    </w:p>
    <w:p w14:paraId="067DBFA4" w14:textId="77777777" w:rsidR="0049057D" w:rsidRPr="00800D1B" w:rsidRDefault="0049057D" w:rsidP="00A75A86">
      <w:pPr>
        <w:rPr>
          <w:lang w:val="sv-SE"/>
        </w:rPr>
        <w:sectPr w:rsidR="0049057D" w:rsidRPr="00800D1B" w:rsidSect="0065165D">
          <w:pgSz w:w="16838" w:h="11906" w:orient="landscape" w:code="9"/>
          <w:pgMar w:top="720" w:right="720" w:bottom="864" w:left="936" w:header="288" w:footer="72" w:gutter="0"/>
          <w:cols w:space="720"/>
          <w:noEndnote/>
          <w:docGrid w:linePitch="360"/>
        </w:sectPr>
      </w:pPr>
    </w:p>
    <w:p w14:paraId="2D066364" w14:textId="24300554" w:rsidR="00A77B3E" w:rsidRPr="00800D1B" w:rsidRDefault="00623E14">
      <w:pPr>
        <w:pStyle w:val="Rubrik5"/>
        <w:numPr>
          <w:ilvl w:val="3"/>
          <w:numId w:val="93"/>
        </w:numPr>
        <w:spacing w:before="200"/>
        <w:ind w:left="0" w:firstLine="0"/>
      </w:pPr>
      <w:bookmarkStart w:id="144" w:name="_Toc256000385"/>
      <w:r w:rsidRPr="00800D1B">
        <w:t>Specifikt mål: RSO2.6. Främja övergången till en cirkulär och resurseffektiv ekonomi (Eruf)</w:t>
      </w:r>
      <w:bookmarkEnd w:id="144"/>
    </w:p>
    <w:p w14:paraId="2D066365" w14:textId="77777777" w:rsidR="00A77B3E" w:rsidRPr="00800D1B" w:rsidRDefault="00A77B3E" w:rsidP="0049057D">
      <w:pPr>
        <w:spacing w:before="100"/>
        <w:rPr>
          <w:color w:val="000000"/>
          <w:sz w:val="0"/>
          <w:lang w:val="sv-SE"/>
        </w:rPr>
      </w:pPr>
    </w:p>
    <w:p w14:paraId="2D066366" w14:textId="215BA2C8" w:rsidR="00A77B3E" w:rsidRPr="00800D1B" w:rsidRDefault="00623E14" w:rsidP="0049057D">
      <w:pPr>
        <w:pStyle w:val="Rubrik6"/>
        <w:numPr>
          <w:ilvl w:val="4"/>
          <w:numId w:val="34"/>
        </w:numPr>
        <w:ind w:left="0" w:firstLine="0"/>
      </w:pPr>
      <w:bookmarkStart w:id="145" w:name="_Toc256000386"/>
      <w:r w:rsidRPr="00800D1B">
        <w:t>Interventioner inom ramen för fonderna</w:t>
      </w:r>
      <w:bookmarkEnd w:id="145"/>
    </w:p>
    <w:p w14:paraId="2D066367" w14:textId="77777777" w:rsidR="00A77B3E" w:rsidRPr="00800D1B" w:rsidRDefault="00A77B3E">
      <w:pPr>
        <w:spacing w:before="100"/>
        <w:rPr>
          <w:color w:val="000000"/>
          <w:sz w:val="0"/>
          <w:lang w:val="sv-SE"/>
        </w:rPr>
      </w:pPr>
    </w:p>
    <w:p w14:paraId="2D066368" w14:textId="77777777" w:rsidR="00A77B3E" w:rsidRPr="00800D1B" w:rsidRDefault="00623E14">
      <w:pPr>
        <w:spacing w:before="100"/>
        <w:rPr>
          <w:color w:val="000000"/>
          <w:sz w:val="0"/>
          <w:lang w:val="sv-SE"/>
        </w:rPr>
      </w:pPr>
      <w:r w:rsidRPr="00800D1B">
        <w:rPr>
          <w:color w:val="000000"/>
          <w:lang w:val="sv-SE"/>
        </w:rPr>
        <w:t>Referens: artikel 22.3 d i, iii, iv, v, vi och vii i förordningen om gemensamma bestämmelser</w:t>
      </w:r>
    </w:p>
    <w:p w14:paraId="2D066369" w14:textId="28BE470C" w:rsidR="00A77B3E" w:rsidRPr="00800D1B" w:rsidRDefault="00623E14" w:rsidP="00A71A06">
      <w:pPr>
        <w:spacing w:before="100"/>
        <w:rPr>
          <w:lang w:val="sv-SE"/>
        </w:rPr>
      </w:pPr>
      <w:bookmarkStart w:id="146" w:name="_Toc256000387"/>
      <w:r w:rsidRPr="00800D1B">
        <w:rPr>
          <w:lang w:val="sv-SE"/>
        </w:rPr>
        <w:t>Relaterade typer av åtgärder – artikel 22.3 d i i förordningen om gemensamma bestämmelser och artikel 6 i ESF+-förordningen</w:t>
      </w:r>
      <w:bookmarkEnd w:id="146"/>
    </w:p>
    <w:p w14:paraId="66D96CD7" w14:textId="20C6AC10" w:rsidR="00A75A86" w:rsidRPr="00800D1B" w:rsidRDefault="00A75A86" w:rsidP="00A75A86">
      <w:pPr>
        <w:spacing w:before="240"/>
        <w:rPr>
          <w:color w:val="000000"/>
          <w:lang w:val="sv-SE"/>
        </w:rPr>
      </w:pPr>
      <w:r w:rsidRPr="00800D1B">
        <w:rPr>
          <w:color w:val="000000"/>
          <w:lang w:val="sv-SE"/>
        </w:rPr>
        <mc:AlternateContent>
          <mc:Choice Requires="wps">
            <w:drawing>
              <wp:anchor distT="0" distB="0" distL="114300" distR="114300" simplePos="0" relativeHeight="251676672" behindDoc="0" locked="0" layoutInCell="1" allowOverlap="1" wp14:anchorId="00C3A5C7" wp14:editId="3E871B63">
                <wp:simplePos x="0" y="0"/>
                <wp:positionH relativeFrom="column">
                  <wp:posOffset>-45720</wp:posOffset>
                </wp:positionH>
                <wp:positionV relativeFrom="paragraph">
                  <wp:posOffset>97155</wp:posOffset>
                </wp:positionV>
                <wp:extent cx="9715500" cy="5280660"/>
                <wp:effectExtent l="0" t="0" r="19050" b="15240"/>
                <wp:wrapNone/>
                <wp:docPr id="19" name="Rectangle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715500" cy="52806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BF3FFE8" id="Rectangle 19" o:spid="_x0000_s1026" alt="&quot;&quot;" style="position:absolute;margin-left:-3.6pt;margin-top:7.65pt;width:765pt;height:415.8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" filled="f" strokecolor="black [3213]" strokeweight=".5pt"/>
            </w:pict>
          </mc:Fallback>
        </mc:AlternateContent>
      </w:r>
      <w:r w:rsidRPr="00800D1B">
        <w:rPr>
          <w:color w:val="000000"/>
          <w:lang w:val="sv-SE"/>
        </w:rPr>
        <w:t xml:space="preserve">Genom att främja övergången till en cirkulär ekonomi bidrar programmet till att begränsa klimatförändringarna och till ett mer hållbart samhälle. En cirkulär ekonomi bidrar till att minska mängden avfall samt till att öka användningen av återvunna material och resurser. På kort sikt förväntas övergången till en cirkulär ekonomi bidra till att nya näringar växer fram, exempelvis skapas förutsättningar för ett större utbud och efterfrågan av tjänster för återanvändning, reparation och delningstjänster i hela regionen. </w:t>
      </w:r>
    </w:p>
    <w:p w14:paraId="3E317189" w14:textId="77777777" w:rsidR="00A75A86" w:rsidRPr="00800D1B" w:rsidRDefault="00A75A86">
      <w:pPr>
        <w:spacing w:before="100"/>
        <w:rPr>
          <w:color w:val="000000"/>
          <w:lang w:val="sv-SE"/>
        </w:rPr>
      </w:pPr>
      <w:r w:rsidRPr="00800D1B">
        <w:rPr>
          <w:color w:val="000000"/>
          <w:lang w:val="sv-SE"/>
        </w:rPr>
        <w:t>Möjligheten att använda biprodukter från befintlig industri och existerande företag där det är lämpligt och på så vis bidra ytterligare till cirkulär ekonomi istället för att använda nyproducerat material behöver utvecklas. Detta bör bidra till en hållbar konsumtion och till en ökad energieffektivitet i linie med NECP och ligger i linje med de beslutade färdplanerna för fossilfrihet som tagits fram genom det i NECP beslutade initiativet Fossilfritt Sverige (Sveriges NECP, s 50).</w:t>
      </w:r>
    </w:p>
    <w:p w14:paraId="09DD7129" w14:textId="77777777" w:rsidR="00A75A86" w:rsidRPr="00800D1B" w:rsidRDefault="00A75A86">
      <w:pPr>
        <w:spacing w:before="100"/>
        <w:rPr>
          <w:color w:val="000000"/>
          <w:lang w:val="sv-SE"/>
        </w:rPr>
      </w:pPr>
      <w:r w:rsidRPr="00800D1B">
        <w:rPr>
          <w:color w:val="000000"/>
          <w:lang w:val="sv-SE"/>
        </w:rPr>
        <w:t>Nyckeln till en väl fungerande cirkulär ekonomi är innovation längs hela värdekedjan och framgångsrika cirkulära affärsmodeller i näringslivet baserade på utbud och efterfrågan, samt samverkan med centrala aktörer i samhället. Nya affärsmodeller som innebär att produkter hyrs ut eller leasas, bör utvecklas för att bidra till ökade incitament för att produkter designas och tillverkas så att de går att uppdatera, reparera eller återanvända och därmed kan hyras ut under en längre tid.</w:t>
      </w:r>
    </w:p>
    <w:p w14:paraId="0F4AE3F3" w14:textId="77777777" w:rsidR="00A75A86" w:rsidRPr="00800D1B" w:rsidRDefault="00A75A86">
      <w:pPr>
        <w:spacing w:before="100"/>
        <w:rPr>
          <w:color w:val="000000"/>
          <w:lang w:val="sv-SE"/>
        </w:rPr>
      </w:pPr>
      <w:r w:rsidRPr="00800D1B">
        <w:rPr>
          <w:color w:val="000000"/>
          <w:lang w:val="sv-SE"/>
        </w:rPr>
        <w:t>Företagande som på olika sätt ser avfall som en resurs, till exempel genom så kallad industriell symbios där ett företag utnyttjar ett annat företags avfall som en resurs i sin egen produktion och processer, spelar en viktig roll och bör utvecklas i regionen. I kombination med mer digitala och tjänstebaserade affärsmodeller som innebär att produkterna används mer effektivt, till exempel genom uthyrning eller återanvändning liksom optimerad produktanvändning, kan övergången till en mer cirkulär ekonomi effektivisera resursanvändningen. </w:t>
      </w:r>
    </w:p>
    <w:p w14:paraId="4717A1A4" w14:textId="77777777" w:rsidR="00A75A86" w:rsidRPr="00800D1B" w:rsidRDefault="00A75A86">
      <w:pPr>
        <w:spacing w:before="100"/>
        <w:rPr>
          <w:color w:val="000000"/>
          <w:lang w:val="sv-SE"/>
        </w:rPr>
      </w:pPr>
      <w:r w:rsidRPr="00800D1B">
        <w:rPr>
          <w:color w:val="000000"/>
          <w:lang w:val="sv-SE"/>
        </w:rPr>
        <w:t xml:space="preserve">ÖNs företag behöver stöd med kunskapsuppbyggnad så väl som med att utveckla affärsmodeller som styr mot cirkularitet. </w:t>
      </w:r>
    </w:p>
    <w:p w14:paraId="70A0EB8A" w14:textId="77777777" w:rsidR="00A75A86" w:rsidRPr="00800D1B" w:rsidRDefault="00A75A86">
      <w:pPr>
        <w:spacing w:before="100"/>
        <w:rPr>
          <w:color w:val="000000"/>
          <w:lang w:val="sv-SE"/>
        </w:rPr>
      </w:pPr>
      <w:r w:rsidRPr="00800D1B">
        <w:rPr>
          <w:color w:val="000000"/>
          <w:lang w:val="sv-SE"/>
        </w:rPr>
        <w:t>För att omställningen ska lyckas behöver offentlig förvaltning, kommuner, regioner, forskning, näringsliv, branschorganisationer, intresseorganisationer med flera samverka på nya sätt. Det kan till exempel handla om att utveckla metoder för tillståndsprocesser och etablering av anläggningar för att snabba på utvecklingen av hållbar produktion genom nya cirkulära innovationer skapande av nätverk och kompetenskluster, kartläggning av materialflöden, nya sätt att nyttja avfall som resurs, metoder och modeller för ökad spårbarhet, samt modeller för offentlig upphandling eller design för cirkularitet. </w:t>
      </w:r>
    </w:p>
    <w:p w14:paraId="6878FA9A" w14:textId="77777777" w:rsidR="00A75A86" w:rsidRPr="00800D1B" w:rsidRDefault="00A75A86">
      <w:pPr>
        <w:spacing w:before="100"/>
        <w:rPr>
          <w:color w:val="000000"/>
          <w:lang w:val="sv-SE"/>
        </w:rPr>
      </w:pPr>
      <w:r w:rsidRPr="00800D1B">
        <w:rPr>
          <w:color w:val="000000"/>
          <w:lang w:val="sv-SE"/>
        </w:rPr>
        <w:t>Aktörer i programområdet har goda förutsättningar att skapa och testa metoder och verktyg för att öka cirkulariteten i olika materialflöden. ÖN skulle kunna erbjuda testmiljöer för framtidens cirkulära system för mineraler, avfall, värme etc. Genom att identifiera, nyttja och utveckla ytterligare restresurser kan processer bli än mer cirkulära.</w:t>
      </w:r>
    </w:p>
    <w:p w14:paraId="0432CE53" w14:textId="77777777" w:rsidR="00A75A86" w:rsidRPr="00800D1B" w:rsidRDefault="00A75A86">
      <w:pPr>
        <w:spacing w:before="100"/>
        <w:rPr>
          <w:color w:val="000000"/>
          <w:lang w:val="sv-SE"/>
        </w:rPr>
      </w:pPr>
      <w:r w:rsidRPr="00800D1B">
        <w:rPr>
          <w:color w:val="000000"/>
          <w:lang w:val="sv-SE"/>
        </w:rPr>
        <w:t>Forskning och innovation kopplat till en hållbar och giftfri kedja för återvinning av material kommer att vara viktigt för omställningen till en cirkulär ekonomi. Regionen behöver stötta uppbyggnaden och utvecklingen av test, demonstrations- och innovationsmiljöer för cirkulära processer och affärsmodeller.</w:t>
      </w:r>
    </w:p>
    <w:p w14:paraId="2C21FA9B" w14:textId="448E3E6B" w:rsidR="00A75A86" w:rsidRPr="00800D1B" w:rsidRDefault="00A75A86">
      <w:pPr>
        <w:spacing w:before="100"/>
        <w:rPr>
          <w:color w:val="000000"/>
          <w:lang w:val="sv-SE"/>
        </w:rPr>
      </w:pPr>
      <w:r w:rsidRPr="00800D1B">
        <w:rPr>
          <w:color w:val="000000"/>
          <w:lang w:val="sv-SE"/>
        </w:rPr>
        <mc:AlternateContent>
          <mc:Choice Requires="wps">
            <w:drawing>
              <wp:anchor distT="0" distB="0" distL="114300" distR="114300" simplePos="0" relativeHeight="251677696" behindDoc="0" locked="0" layoutInCell="1" allowOverlap="1" wp14:anchorId="1FFD56A8" wp14:editId="60326E51">
                <wp:simplePos x="0" y="0"/>
                <wp:positionH relativeFrom="column">
                  <wp:posOffset>-22860</wp:posOffset>
                </wp:positionH>
                <wp:positionV relativeFrom="paragraph">
                  <wp:posOffset>-83820</wp:posOffset>
                </wp:positionV>
                <wp:extent cx="9624060" cy="4899660"/>
                <wp:effectExtent l="0" t="0" r="15240" b="15240"/>
                <wp:wrapNone/>
                <wp:docPr id="20" name="Rectangle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624060" cy="48996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F59CAA" id="Rectangle 20" o:spid="_x0000_s1026" alt="&quot;&quot;" style="position:absolute;margin-left:-1.8pt;margin-top:-6.6pt;width:757.8pt;height:385.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" filled="f" strokecolor="black [3213]" strokeweight=".5pt"/>
            </w:pict>
          </mc:Fallback>
        </mc:AlternateContent>
      </w:r>
      <w:r w:rsidRPr="00800D1B">
        <w:rPr>
          <w:color w:val="000000"/>
          <w:lang w:val="sv-SE"/>
        </w:rPr>
        <w:t>Det stora fokuset på hållbar omställning som programmet efterfrågar medför också att företagens ekonomiska egenintressen stundtals är sekundära i interventionerna. Bidrag kan därför behövas för att motivera företagen till att delta i omställningsprocesserna i de fall där det inte finns ett tillräckligt starkt, eller okänt, ekonomiskt incitament för företaget att själv investera. Det specifika målet fokuserar på att ge icke-finansiellt stöd till små och medelstora företag och kommer inte att generera direkta inkomster eller leda till kostnadsbesparingar för små och medelstora företag.</w:t>
      </w:r>
    </w:p>
    <w:p w14:paraId="2E97C57B" w14:textId="77777777" w:rsidR="00A75A86" w:rsidRPr="00800D1B" w:rsidRDefault="00A75A86">
      <w:pPr>
        <w:spacing w:before="100"/>
        <w:rPr>
          <w:color w:val="000000"/>
          <w:lang w:val="sv-SE"/>
        </w:rPr>
      </w:pPr>
      <w:r w:rsidRPr="00800D1B">
        <w:rPr>
          <w:color w:val="000000"/>
          <w:lang w:val="sv-SE"/>
        </w:rPr>
        <w:t xml:space="preserve">Exempel på konkreta åtgärder: </w:t>
      </w:r>
    </w:p>
    <w:p w14:paraId="0F7FC9DE" w14:textId="77777777" w:rsidR="00A75A86" w:rsidRPr="00800D1B" w:rsidRDefault="00A75A86">
      <w:pPr>
        <w:pStyle w:val="Liststycke"/>
        <w:numPr>
          <w:ilvl w:val="0"/>
          <w:numId w:val="37"/>
        </w:numPr>
        <w:spacing w:before="100"/>
        <w:ind w:left="201" w:hanging="158"/>
        <w:contextualSpacing w:val="0"/>
        <w:rPr>
          <w:color w:val="000000"/>
          <w:lang w:val="sv-SE"/>
        </w:rPr>
      </w:pPr>
      <w:r w:rsidRPr="00800D1B">
        <w:rPr>
          <w:color w:val="000000"/>
          <w:lang w:val="sv-SE"/>
        </w:rPr>
        <w:t>Förstudier</w:t>
      </w:r>
    </w:p>
    <w:p w14:paraId="346FF662" w14:textId="77777777" w:rsidR="00A75A86" w:rsidRPr="00800D1B" w:rsidRDefault="00A75A86">
      <w:pPr>
        <w:pStyle w:val="Liststycke"/>
        <w:numPr>
          <w:ilvl w:val="0"/>
          <w:numId w:val="37"/>
        </w:numPr>
        <w:spacing w:before="100"/>
        <w:ind w:left="201" w:hanging="158"/>
        <w:contextualSpacing w:val="0"/>
        <w:rPr>
          <w:color w:val="000000"/>
          <w:lang w:val="sv-SE"/>
        </w:rPr>
      </w:pPr>
      <w:r w:rsidRPr="00800D1B">
        <w:rPr>
          <w:color w:val="000000"/>
          <w:lang w:val="sv-SE"/>
        </w:rPr>
        <w:t>Informera och öka kunskapen om hur produkter utformas för en lång livslängd, bland annat genom att underlätta reparation och öka återanvändningen, och på ett sätt som möjliggör materialåtervinning vid livslängdens slut. </w:t>
      </w:r>
    </w:p>
    <w:p w14:paraId="464BD1F0" w14:textId="77777777" w:rsidR="00A75A86" w:rsidRPr="00800D1B" w:rsidRDefault="00A75A86">
      <w:pPr>
        <w:pStyle w:val="Liststycke"/>
        <w:numPr>
          <w:ilvl w:val="0"/>
          <w:numId w:val="37"/>
        </w:numPr>
        <w:spacing w:before="100"/>
        <w:ind w:left="201" w:hanging="158"/>
        <w:contextualSpacing w:val="0"/>
        <w:rPr>
          <w:color w:val="000000"/>
          <w:lang w:val="sv-SE"/>
        </w:rPr>
      </w:pPr>
      <w:r w:rsidRPr="00800D1B">
        <w:rPr>
          <w:color w:val="000000"/>
          <w:lang w:val="sv-SE"/>
        </w:rPr>
        <w:t>Främja ökad användning av återvunna material och resurser i nya produkter och processer. </w:t>
      </w:r>
    </w:p>
    <w:p w14:paraId="65C1B0D6" w14:textId="77777777" w:rsidR="00A75A86" w:rsidRPr="00800D1B" w:rsidRDefault="00A75A86">
      <w:pPr>
        <w:pStyle w:val="Liststycke"/>
        <w:numPr>
          <w:ilvl w:val="0"/>
          <w:numId w:val="37"/>
        </w:numPr>
        <w:spacing w:before="100"/>
        <w:ind w:left="201" w:hanging="158"/>
        <w:contextualSpacing w:val="0"/>
        <w:rPr>
          <w:color w:val="000000"/>
          <w:lang w:val="sv-SE"/>
        </w:rPr>
      </w:pPr>
      <w:r w:rsidRPr="00800D1B">
        <w:rPr>
          <w:color w:val="000000"/>
          <w:lang w:val="sv-SE"/>
        </w:rPr>
        <w:t>Stimulera utvecklingen av mer resurs- och energieffektiva produktionsprocesser. </w:t>
      </w:r>
    </w:p>
    <w:p w14:paraId="52A9FAFA" w14:textId="77777777" w:rsidR="00A75A86" w:rsidRPr="00800D1B" w:rsidRDefault="00A75A86">
      <w:pPr>
        <w:pStyle w:val="Liststycke"/>
        <w:numPr>
          <w:ilvl w:val="0"/>
          <w:numId w:val="37"/>
        </w:numPr>
        <w:spacing w:before="100"/>
        <w:ind w:left="201" w:hanging="158"/>
        <w:contextualSpacing w:val="0"/>
        <w:rPr>
          <w:color w:val="000000"/>
          <w:lang w:val="sv-SE"/>
        </w:rPr>
      </w:pPr>
      <w:r w:rsidRPr="00800D1B">
        <w:rPr>
          <w:color w:val="000000"/>
          <w:lang w:val="sv-SE"/>
        </w:rPr>
        <w:t>Skapa förutsättningar för ett större utbud och efterfrågan av tjänster för återanvändning, reparation och delningstjänster. </w:t>
      </w:r>
    </w:p>
    <w:p w14:paraId="5E0E1E9D" w14:textId="77777777" w:rsidR="00A75A86" w:rsidRPr="00800D1B" w:rsidRDefault="00A75A86">
      <w:pPr>
        <w:pStyle w:val="Liststycke"/>
        <w:numPr>
          <w:ilvl w:val="0"/>
          <w:numId w:val="37"/>
        </w:numPr>
        <w:spacing w:before="100"/>
        <w:ind w:left="201" w:hanging="158"/>
        <w:contextualSpacing w:val="0"/>
        <w:rPr>
          <w:color w:val="000000"/>
          <w:lang w:val="sv-SE"/>
        </w:rPr>
      </w:pPr>
      <w:r w:rsidRPr="00800D1B">
        <w:rPr>
          <w:color w:val="000000"/>
          <w:lang w:val="sv-SE"/>
        </w:rPr>
        <w:t>Främja testning, innovation och teknikutveckling för att underlätta för cirkulära affärsmodeller och ett mer effektivt och cirkulärt nyttjande av samhällets resurser. </w:t>
      </w:r>
    </w:p>
    <w:p w14:paraId="5EB9460C" w14:textId="77777777" w:rsidR="00A75A86" w:rsidRPr="00800D1B" w:rsidRDefault="00A75A86">
      <w:pPr>
        <w:pStyle w:val="Liststycke"/>
        <w:numPr>
          <w:ilvl w:val="0"/>
          <w:numId w:val="37"/>
        </w:numPr>
        <w:spacing w:before="100"/>
        <w:ind w:left="201" w:hanging="158"/>
        <w:contextualSpacing w:val="0"/>
        <w:rPr>
          <w:color w:val="000000"/>
          <w:lang w:val="sv-SE"/>
        </w:rPr>
      </w:pPr>
      <w:r w:rsidRPr="00800D1B">
        <w:rPr>
          <w:color w:val="000000"/>
          <w:lang w:val="sv-SE"/>
        </w:rPr>
        <w:t>Stärka innovations- och näringslivsklimatet så att fler företag med cirkulära affärsmodeller kan växa och erbjuda sina produkter för såväl hemmamarknad som export. </w:t>
      </w:r>
    </w:p>
    <w:p w14:paraId="04C13279" w14:textId="77777777" w:rsidR="00A75A86" w:rsidRPr="00800D1B" w:rsidRDefault="00A75A86">
      <w:pPr>
        <w:pStyle w:val="Liststycke"/>
        <w:numPr>
          <w:ilvl w:val="0"/>
          <w:numId w:val="37"/>
        </w:numPr>
        <w:spacing w:before="100"/>
        <w:ind w:left="201" w:hanging="158"/>
        <w:contextualSpacing w:val="0"/>
        <w:rPr>
          <w:color w:val="000000"/>
          <w:lang w:val="sv-SE"/>
        </w:rPr>
      </w:pPr>
      <w:r w:rsidRPr="00800D1B">
        <w:rPr>
          <w:color w:val="000000"/>
          <w:lang w:val="sv-SE"/>
        </w:rPr>
        <w:t>Skapa förutsättningar för civilsamhällets organisationer att främja en cirkulär ekonomi. </w:t>
      </w:r>
    </w:p>
    <w:p w14:paraId="02BA05F5" w14:textId="77777777" w:rsidR="00A75A86" w:rsidRPr="00800D1B" w:rsidRDefault="00A75A86">
      <w:pPr>
        <w:pStyle w:val="Liststycke"/>
        <w:numPr>
          <w:ilvl w:val="0"/>
          <w:numId w:val="37"/>
        </w:numPr>
        <w:spacing w:before="100"/>
        <w:ind w:left="201" w:hanging="158"/>
        <w:contextualSpacing w:val="0"/>
        <w:rPr>
          <w:color w:val="000000"/>
          <w:lang w:val="sv-SE"/>
        </w:rPr>
      </w:pPr>
      <w:r w:rsidRPr="00800D1B">
        <w:rPr>
          <w:color w:val="000000"/>
          <w:lang w:val="sv-SE"/>
        </w:rPr>
        <w:t>Bygga kapacitet i regionen för en cirkulär omställning, med fokus på design- och planeringsstadiet. </w:t>
      </w:r>
    </w:p>
    <w:p w14:paraId="35832BBF" w14:textId="77777777" w:rsidR="00A75A86" w:rsidRPr="00800D1B" w:rsidRDefault="00A75A86">
      <w:pPr>
        <w:pStyle w:val="Liststycke"/>
        <w:numPr>
          <w:ilvl w:val="0"/>
          <w:numId w:val="37"/>
        </w:numPr>
        <w:spacing w:before="100"/>
        <w:ind w:left="201" w:hanging="158"/>
        <w:contextualSpacing w:val="0"/>
        <w:rPr>
          <w:color w:val="000000"/>
          <w:lang w:val="sv-SE"/>
        </w:rPr>
      </w:pPr>
      <w:r w:rsidRPr="00800D1B">
        <w:rPr>
          <w:color w:val="000000"/>
          <w:lang w:val="sv-SE"/>
        </w:rPr>
        <w:t>Cirkulär omställning som en metod för samhällsutveckling</w:t>
      </w:r>
    </w:p>
    <w:p w14:paraId="04320A85" w14:textId="77777777" w:rsidR="00A75A86" w:rsidRPr="00800D1B" w:rsidRDefault="00A75A86">
      <w:pPr>
        <w:spacing w:before="100"/>
        <w:rPr>
          <w:color w:val="000000"/>
          <w:lang w:val="sv-SE"/>
        </w:rPr>
      </w:pPr>
      <w:r w:rsidRPr="00800D1B">
        <w:rPr>
          <w:color w:val="000000"/>
          <w:u w:val="single"/>
          <w:lang w:val="sv-SE"/>
        </w:rPr>
        <w:t>Förenlighet med principen om att inte orsaka betydande skada (art. 9.4 i förordningen om gemensamma bestämmelser</w:t>
      </w:r>
      <w:r w:rsidRPr="00800D1B">
        <w:rPr>
          <w:color w:val="000000"/>
          <w:lang w:val="sv-SE"/>
        </w:rPr>
        <w:t>)</w:t>
      </w:r>
    </w:p>
    <w:p w14:paraId="0ECA496A" w14:textId="77777777" w:rsidR="00A75A86" w:rsidRPr="00800D1B" w:rsidRDefault="00A75A86" w:rsidP="00A777F7">
      <w:pPr>
        <w:spacing w:before="100" w:after="300"/>
        <w:rPr>
          <w:color w:val="000000"/>
          <w:lang w:val="sv-SE"/>
        </w:rPr>
      </w:pPr>
      <w:r w:rsidRPr="00800D1B">
        <w:rPr>
          <w:color w:val="000000"/>
          <w:lang w:val="sv-SE"/>
        </w:rPr>
        <w:t>Insatserna har bedömts vara förenliga med principen om att inte orsaka betydande skada eftersom de har bedömts i enlighet med kommissionens tekniska vägledning om tillämpningen av principen om att inte orsaka betydande skada inom ramen för förordningen om faciliteten för återhämtning och resiliens.</w:t>
      </w:r>
    </w:p>
    <w:p w14:paraId="2D066385" w14:textId="5DFCE6AD" w:rsidR="00A77B3E" w:rsidRPr="00800D1B" w:rsidRDefault="00623E14" w:rsidP="00A71A06">
      <w:pPr>
        <w:spacing w:before="720"/>
        <w:rPr>
          <w:lang w:val="sv-SE"/>
        </w:rPr>
      </w:pPr>
      <w:bookmarkStart w:id="147" w:name="_Toc256000388"/>
      <w:r w:rsidRPr="00800D1B">
        <w:rPr>
          <w:lang w:val="sv-SE"/>
        </w:rPr>
        <w:t>Huvudsakliga målgrupper – artikel 22.3 d iii i förordningen om gemensamma bestämmelser</w:t>
      </w:r>
      <w:bookmarkEnd w:id="147"/>
    </w:p>
    <w:p w14:paraId="1D29E6AB" w14:textId="77777777" w:rsidR="00BF25EE" w:rsidRPr="00800D1B" w:rsidRDefault="00095769" w:rsidP="002F4614">
      <w:pPr>
        <w:pBdr>
          <w:top w:val="single" w:sz="4" w:space="10" w:color="auto"/>
          <w:left w:val="single" w:sz="4" w:space="4" w:color="auto"/>
          <w:bottom w:val="single" w:sz="4" w:space="10" w:color="auto"/>
          <w:right w:val="single" w:sz="4" w:space="4" w:color="auto"/>
        </w:pBdr>
        <w:spacing w:before="120" w:after="600"/>
        <w:ind w:left="101" w:right="115"/>
        <w:rPr>
          <w:color w:val="000000"/>
          <w:lang w:val="sv-SE"/>
        </w:rPr>
      </w:pPr>
      <w:r w:rsidRPr="00800D1B">
        <w:rPr>
          <w:color w:val="000000"/>
          <w:lang w:val="sv-SE"/>
        </w:rPr>
        <w:t>De huvudsakliga målgrupperna är offentliga aktörer, universitet och högskolor, forskningsinstitut och övriga forsknings- och utbildningsaktörer, små och medelstora företag, ekonomiska föreningar och civilsamhället. Särskilt fokus bör läggas på att säkerställa att insatserna bidrar till att inkludera underrepresenterade grupper samt att nå en bredd av organisationer och företag. Vid utformandet av insatser är det viktigt att använda ett jämställdhets- och mångfaldsperspektiv. </w:t>
      </w:r>
    </w:p>
    <w:p w14:paraId="2758EC1E" w14:textId="77777777" w:rsidR="00BF25EE" w:rsidRPr="00800D1B" w:rsidRDefault="00BF25EE" w:rsidP="00BF25EE">
      <w:pPr>
        <w:pBdr>
          <w:top w:val="single" w:sz="4" w:space="10" w:color="auto"/>
          <w:left w:val="single" w:sz="4" w:space="4" w:color="auto"/>
          <w:bottom w:val="single" w:sz="4" w:space="20" w:color="auto"/>
          <w:right w:val="single" w:sz="4" w:space="4" w:color="auto"/>
        </w:pBdr>
        <w:spacing w:before="360" w:after="300"/>
        <w:ind w:left="101" w:right="115"/>
        <w:rPr>
          <w:color w:val="000000"/>
          <w:lang w:val="sv-SE"/>
        </w:rPr>
        <w:sectPr w:rsidR="00BF25EE" w:rsidRPr="00800D1B" w:rsidSect="0065165D">
          <w:pgSz w:w="16838" w:h="11906" w:orient="landscape" w:code="9"/>
          <w:pgMar w:top="720" w:right="720" w:bottom="864" w:left="936" w:header="288" w:footer="72" w:gutter="0"/>
          <w:cols w:space="720"/>
          <w:noEndnote/>
          <w:docGrid w:linePitch="360"/>
        </w:sectPr>
      </w:pPr>
    </w:p>
    <w:p w14:paraId="2D06638C" w14:textId="42792735" w:rsidR="00A77B3E" w:rsidRPr="00800D1B" w:rsidRDefault="00623E14" w:rsidP="00A71A06">
      <w:pPr>
        <w:spacing w:before="1000"/>
        <w:rPr>
          <w:lang w:val="sv-SE"/>
        </w:rPr>
      </w:pPr>
      <w:bookmarkStart w:id="148" w:name="_Toc256000389"/>
      <w:r w:rsidRPr="00800D1B">
        <w:rPr>
          <w:lang w:val="sv-SE"/>
        </w:rPr>
        <w:t>Åtgärder för säkerställande av jämställdhet, inkludering och icke-diskriminering – artikel 22.3 d iv i förordningen om gemensamma bestämmelser och artikel 6 i ESF+-förordningen</w:t>
      </w:r>
      <w:bookmarkEnd w:id="148"/>
    </w:p>
    <w:p w14:paraId="57BF5EEB" w14:textId="77777777" w:rsidR="00095769" w:rsidRPr="00800D1B" w:rsidRDefault="00095769" w:rsidP="00095769">
      <w:pPr>
        <w:pBdr>
          <w:top w:val="single" w:sz="4" w:space="10" w:color="auto"/>
          <w:left w:val="single" w:sz="4" w:space="4" w:color="auto"/>
          <w:bottom w:val="single" w:sz="4" w:space="20" w:color="auto"/>
          <w:right w:val="single" w:sz="4" w:space="4" w:color="auto"/>
        </w:pBdr>
        <w:spacing w:before="120"/>
        <w:ind w:left="101" w:right="115"/>
        <w:rPr>
          <w:color w:val="000000"/>
          <w:lang w:val="sv-SE"/>
        </w:rPr>
      </w:pPr>
      <w:r w:rsidRPr="00800D1B">
        <w:rPr>
          <w:color w:val="000000"/>
          <w:lang w:val="sv-SE"/>
        </w:rPr>
        <w:t>Jämställdhet, icke- diskriminering och tillgänglighet ska genomsyra insatserna i programmet, det vill säga, jämställdhetsintegrering är ett krav. Ingen får diskrimineras på grund av kön, könsöverskridande identitet eller uttryck, etnisk tillhörighet, religion eller annan trosuppfattning, funktionsnedsättning, sexuell läggning eller ålder. Projekten ska innehålla särskilda insatser för jämställdhet även om huvudsyftet är ett annat. Det ska tydligt beskrivas förväntade resultat kopplat till jämställdhet. Vid ansökningsförfarandet genomförs en jämställdhetsanalys som synkroniseras med övriga hållbarhetsaspekter att ta hänsyn till. Analysen ska visa hur framtagandet av insatser påverkar jämställdheten och det ska finnas minst ett mål som adresserar detsamma. Detta betyder att samtliga insatser i detta särskilda mål minst möter kraven för kod 02 i tabell 8.</w:t>
      </w:r>
    </w:p>
    <w:p w14:paraId="63A94119" w14:textId="77777777" w:rsidR="00095769" w:rsidRPr="00800D1B" w:rsidRDefault="00095769" w:rsidP="00095769">
      <w:pPr>
        <w:pBdr>
          <w:top w:val="single" w:sz="4" w:space="10" w:color="auto"/>
          <w:left w:val="single" w:sz="4" w:space="4" w:color="auto"/>
          <w:bottom w:val="single" w:sz="4" w:space="20" w:color="auto"/>
          <w:right w:val="single" w:sz="4" w:space="4" w:color="auto"/>
        </w:pBdr>
        <w:spacing w:before="100"/>
        <w:ind w:left="101" w:right="115"/>
        <w:rPr>
          <w:color w:val="000000"/>
          <w:lang w:val="sv-SE"/>
        </w:rPr>
      </w:pPr>
      <w:r w:rsidRPr="00800D1B">
        <w:rPr>
          <w:color w:val="000000"/>
          <w:lang w:val="sv-SE"/>
        </w:rPr>
        <w:t>Förutom att alla insatser inom detta särskilda mål ska möta kod 02 ser vi även att flera projekt ska innehålla särskilda insatser för jämställdhet. Särskilda insatser innebär att projektets huvudsakliga mål är att förbättra jämställdhet mellan kvinnor och män. Analysen ska därmed visa hur utmaningar och problem inom jämställdhetsområdet ligger till grund varför projektet behövs och målen tar tydligt fasta på en förflyttning mot ökad jämställdhet. Projekten bidrar därmed direkt till det globala målet 5.</w:t>
      </w:r>
    </w:p>
    <w:p w14:paraId="6F335337" w14:textId="77777777" w:rsidR="00095769" w:rsidRPr="00800D1B" w:rsidRDefault="00095769" w:rsidP="00095769">
      <w:pPr>
        <w:pBdr>
          <w:top w:val="single" w:sz="4" w:space="10" w:color="auto"/>
          <w:left w:val="single" w:sz="4" w:space="4" w:color="auto"/>
          <w:bottom w:val="single" w:sz="4" w:space="20" w:color="auto"/>
          <w:right w:val="single" w:sz="4" w:space="4" w:color="auto"/>
        </w:pBdr>
        <w:spacing w:before="100"/>
        <w:ind w:left="101" w:right="115"/>
        <w:rPr>
          <w:color w:val="000000"/>
          <w:lang w:val="sv-SE"/>
        </w:rPr>
      </w:pPr>
      <w:r w:rsidRPr="00800D1B">
        <w:rPr>
          <w:color w:val="000000"/>
          <w:lang w:val="sv-SE"/>
        </w:rPr>
        <w:t>Samtliga projekt ska vid rapportering påvisa hur resultatet bidragit till att framsteg gjorts gentemot en ökad jämställdhet.</w:t>
      </w:r>
    </w:p>
    <w:p w14:paraId="2D066395" w14:textId="74E024EF" w:rsidR="00A77B3E" w:rsidRPr="00800D1B" w:rsidRDefault="00623E14" w:rsidP="00267E2F">
      <w:pPr>
        <w:spacing w:before="480" w:after="100"/>
        <w:rPr>
          <w:lang w:val="sv-SE"/>
        </w:rPr>
      </w:pPr>
      <w:bookmarkStart w:id="149" w:name="_Toc256000390"/>
      <w:r w:rsidRPr="00800D1B">
        <w:rPr>
          <w:lang w:val="sv-SE"/>
        </w:rPr>
        <w:t>Angivande av de specifika målterritorierna, inbegripet planerad användning av territoriella verktyg – artikel 22.3 d v i förordningen om gemensamma bestämmelser</w:t>
      </w:r>
      <w:bookmarkEnd w:id="149"/>
    </w:p>
    <w:p w14:paraId="55F5D8BD" w14:textId="09103561" w:rsidR="005A13CE" w:rsidRPr="00800D1B" w:rsidRDefault="005A13CE" w:rsidP="001C4055">
      <w:pPr>
        <w:pBdr>
          <w:top w:val="single" w:sz="4" w:space="10" w:color="auto"/>
          <w:left w:val="single" w:sz="4" w:space="4" w:color="auto"/>
          <w:bottom w:val="single" w:sz="4" w:space="20" w:color="auto"/>
          <w:right w:val="single" w:sz="4" w:space="4" w:color="auto"/>
          <w:between w:val="single" w:sz="4" w:space="10" w:color="auto"/>
          <w:bar w:val="single" w:sz="4" w:color="auto"/>
        </w:pBdr>
        <w:ind w:left="86"/>
        <w:rPr>
          <w:lang w:val="sv-SE"/>
        </w:rPr>
      </w:pPr>
      <w:r w:rsidRPr="00800D1B">
        <w:rPr>
          <w:lang w:val="sv-SE"/>
        </w:rPr>
        <w:t>Nej</w:t>
      </w:r>
    </w:p>
    <w:p w14:paraId="2D06639C" w14:textId="2DA36ECD" w:rsidR="00A77B3E" w:rsidRPr="00800D1B" w:rsidRDefault="00623E14" w:rsidP="00267E2F">
      <w:pPr>
        <w:spacing w:before="360" w:after="100"/>
        <w:rPr>
          <w:lang w:val="sv-SE"/>
        </w:rPr>
      </w:pPr>
      <w:bookmarkStart w:id="150" w:name="_Toc256000391"/>
      <w:r w:rsidRPr="00800D1B">
        <w:rPr>
          <w:lang w:val="sv-SE"/>
        </w:rPr>
        <w:t>Interregionala, gränsregionala och transnationella åtgärder – artikel 22.3 d vi i förordningen om gemensamma bestämmelser</w:t>
      </w:r>
      <w:bookmarkEnd w:id="150"/>
    </w:p>
    <w:p w14:paraId="19AA5339" w14:textId="323EADFF" w:rsidR="00095769" w:rsidRPr="00800D1B" w:rsidRDefault="00BF25EE" w:rsidP="00BF25EE">
      <w:pPr>
        <w:spacing w:before="360"/>
        <w:ind w:left="101" w:right="115"/>
        <w:rPr>
          <w:color w:val="000000"/>
          <w:lang w:val="sv-SE"/>
        </w:rPr>
      </w:pPr>
      <w:r w:rsidRPr="00800D1B">
        <w:rPr>
          <w:lang w:val="sv-SE"/>
        </w:rPr>
        <mc:AlternateContent>
          <mc:Choice Requires="wps">
            <w:drawing>
              <wp:anchor distT="0" distB="0" distL="114300" distR="114300" simplePos="0" relativeHeight="251678720" behindDoc="0" locked="0" layoutInCell="1" allowOverlap="1" wp14:anchorId="5F4461B2" wp14:editId="024732AD">
                <wp:simplePos x="0" y="0"/>
                <wp:positionH relativeFrom="column">
                  <wp:posOffset>-7620</wp:posOffset>
                </wp:positionH>
                <wp:positionV relativeFrom="paragraph">
                  <wp:posOffset>27940</wp:posOffset>
                </wp:positionV>
                <wp:extent cx="9616440" cy="1104900"/>
                <wp:effectExtent l="0" t="0" r="22860" b="19050"/>
                <wp:wrapNone/>
                <wp:docPr id="21" name="Rectangle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616440" cy="11049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5DA28BA" id="Rectangle 21" o:spid="_x0000_s1026" alt="&quot;&quot;" style="position:absolute;margin-left:-.6pt;margin-top:2.2pt;width:757.2pt;height:87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" filled="f" strokecolor="black [3213]" strokeweight=".5pt"/>
            </w:pict>
          </mc:Fallback>
        </mc:AlternateContent>
      </w:r>
      <w:r w:rsidR="00095769" w:rsidRPr="00800D1B">
        <w:rPr>
          <w:color w:val="000000"/>
          <w:lang w:val="sv-SE"/>
        </w:rPr>
        <w:t>En intervention får helt eller delvis genomföras i annat land, även utanför EU, under förutsättning att insatsen bidrar till det specifika målet. Samarbete med aktörer i ett eller flera andra länder kan vara integrerat i ett projekt för att stärka arbetet mot projektmålet. För att stärka arbetet mot projektmålet kan samarbete med aktörer i ett eller flera andra länder också läggas till ett redan pågående projekt i form av ett påbyggnadsprojekt. Båda alternativen kan användas för insatser i linje med exempelvis lokala och regionala klimatanpassningsstrategier. Åtgärder som särskilt kan komma i fråga är utbyte av kunskap och goda exempel samt samverkan mellan strategiskt viktiga aktörer, nätverk och plattformar. </w:t>
      </w:r>
    </w:p>
    <w:p w14:paraId="36477179" w14:textId="77777777" w:rsidR="00095769" w:rsidRPr="00800D1B" w:rsidRDefault="00095769" w:rsidP="00BF25EE">
      <w:pPr>
        <w:pBdr>
          <w:top w:val="single" w:sz="4" w:space="8" w:color="auto"/>
          <w:left w:val="single" w:sz="4" w:space="4" w:color="auto"/>
          <w:bottom w:val="single" w:sz="4" w:space="20" w:color="auto"/>
          <w:right w:val="single" w:sz="4" w:space="4" w:color="auto"/>
        </w:pBdr>
        <w:spacing w:before="840"/>
        <w:ind w:left="101" w:right="115"/>
        <w:rPr>
          <w:color w:val="000000"/>
          <w:lang w:val="sv-SE"/>
        </w:rPr>
      </w:pPr>
      <w:r w:rsidRPr="00800D1B">
        <w:rPr>
          <w:color w:val="000000"/>
          <w:lang w:val="sv-SE"/>
        </w:rPr>
        <w:t>För att stärka arbetet med att utveckla den cirkulära ekonomin i regionen kan samarbete röra nätverksbyggande och kunskapsuppbyggnad via nätverk och kluster. Exempelvis kan det handla om kompetenshöjande utbyten om hur aktörer kan använda nya metoder och processer. </w:t>
      </w:r>
    </w:p>
    <w:p w14:paraId="6DD8F889" w14:textId="77777777" w:rsidR="00095769" w:rsidRPr="00800D1B" w:rsidRDefault="00095769" w:rsidP="00BF25EE">
      <w:pPr>
        <w:pBdr>
          <w:top w:val="single" w:sz="4" w:space="8" w:color="auto"/>
          <w:left w:val="single" w:sz="4" w:space="4" w:color="auto"/>
          <w:bottom w:val="single" w:sz="4" w:space="20" w:color="auto"/>
          <w:right w:val="single" w:sz="4" w:space="4" w:color="auto"/>
        </w:pBdr>
        <w:spacing w:before="100"/>
        <w:ind w:left="101" w:right="115"/>
        <w:rPr>
          <w:color w:val="000000"/>
          <w:lang w:val="sv-SE"/>
        </w:rPr>
      </w:pPr>
      <w:r w:rsidRPr="00800D1B">
        <w:rPr>
          <w:color w:val="000000"/>
          <w:lang w:val="sv-SE"/>
        </w:rPr>
        <w:t>Inom det specifika målet kan så väl makroregionalt integrerade projekt som projekt som faller inom definitionen för den transationella komponenten genomföras. Fokus bör ligga på projekt som förstärks av gränsöverskridande och/eller tvärsektoriella insatser och där de interregionala och transnationella komponenterna förstärker projektens bidrag till att nå de globala hållbarhetsmålen. Utbyte av kunskap, expertis och finansiella resurser är viktiga komponenter för att målen ska nås.</w:t>
      </w:r>
    </w:p>
    <w:p w14:paraId="37C387D9" w14:textId="77777777" w:rsidR="00095769" w:rsidRPr="00800D1B" w:rsidRDefault="00095769" w:rsidP="00BF25EE">
      <w:pPr>
        <w:pBdr>
          <w:top w:val="single" w:sz="4" w:space="8" w:color="auto"/>
          <w:left w:val="single" w:sz="4" w:space="4" w:color="auto"/>
          <w:bottom w:val="single" w:sz="4" w:space="20" w:color="auto"/>
          <w:right w:val="single" w:sz="4" w:space="4" w:color="auto"/>
        </w:pBdr>
        <w:spacing w:before="100" w:after="300"/>
        <w:ind w:left="101" w:right="115"/>
        <w:rPr>
          <w:color w:val="000000"/>
          <w:lang w:val="sv-SE"/>
        </w:rPr>
      </w:pPr>
      <w:r w:rsidRPr="00800D1B">
        <w:rPr>
          <w:color w:val="000000"/>
          <w:lang w:val="sv-SE"/>
        </w:rPr>
        <w:t>Programmet kommer att verka för att bidra till genomförandet av EU:s klimatanpassningsstrategi och eftersträva samverkan med Östersjöprogrammets policyområde Bioeconomy. Tänkbara samverkansparter är i första hand organisationer och företag verksamma i Interreg Aurora-området.</w:t>
      </w:r>
    </w:p>
    <w:p w14:paraId="2D0663A6" w14:textId="395A1EEF" w:rsidR="00A77B3E" w:rsidRPr="00800D1B" w:rsidRDefault="00623E14" w:rsidP="00267E2F">
      <w:pPr>
        <w:spacing w:before="360" w:after="100"/>
        <w:rPr>
          <w:lang w:val="sv-SE"/>
        </w:rPr>
      </w:pPr>
      <w:bookmarkStart w:id="151" w:name="_Toc256000392"/>
      <w:r w:rsidRPr="00800D1B">
        <w:rPr>
          <w:lang w:val="sv-SE"/>
        </w:rPr>
        <w:t>Planerad användning av finansieringsinstrument – artikel 22.3 d vii i förordningen om gemensamma bestämmelser</w:t>
      </w:r>
      <w:bookmarkEnd w:id="151"/>
    </w:p>
    <w:p w14:paraId="51617979" w14:textId="6651B338" w:rsidR="005A13CE" w:rsidRPr="00800D1B" w:rsidRDefault="005A13CE" w:rsidP="001C4055">
      <w:pPr>
        <w:pBdr>
          <w:top w:val="single" w:sz="4" w:space="10" w:color="auto"/>
          <w:left w:val="single" w:sz="4" w:space="4" w:color="auto"/>
          <w:bottom w:val="single" w:sz="4" w:space="20" w:color="auto"/>
          <w:right w:val="single" w:sz="4" w:space="4" w:color="auto"/>
          <w:between w:val="single" w:sz="4" w:space="10" w:color="auto"/>
          <w:bar w:val="single" w:sz="4" w:color="auto"/>
        </w:pBdr>
        <w:ind w:left="86"/>
        <w:rPr>
          <w:lang w:val="sv-SE"/>
        </w:rPr>
      </w:pPr>
      <w:r w:rsidRPr="00800D1B">
        <w:rPr>
          <w:lang w:val="sv-SE"/>
        </w:rPr>
        <w:t>Nej</w:t>
      </w:r>
    </w:p>
    <w:p w14:paraId="2D0663A7" w14:textId="77777777" w:rsidR="00A77B3E" w:rsidRPr="00800D1B" w:rsidRDefault="00A77B3E">
      <w:pPr>
        <w:spacing w:before="100"/>
        <w:rPr>
          <w:color w:val="000000"/>
          <w:sz w:val="0"/>
          <w:lang w:val="sv-SE"/>
        </w:rPr>
      </w:pPr>
    </w:p>
    <w:p w14:paraId="2D0663AD" w14:textId="5293A761" w:rsidR="00A77B3E" w:rsidRPr="00800D1B" w:rsidRDefault="00623E14" w:rsidP="005A13CE">
      <w:pPr>
        <w:pStyle w:val="Rubrik6"/>
        <w:numPr>
          <w:ilvl w:val="4"/>
          <w:numId w:val="35"/>
        </w:numPr>
        <w:spacing w:before="240"/>
        <w:ind w:left="360"/>
      </w:pPr>
      <w:bookmarkStart w:id="152" w:name="_Toc256000393"/>
      <w:r w:rsidRPr="00800D1B">
        <w:t>Indikatorer</w:t>
      </w:r>
      <w:bookmarkEnd w:id="152"/>
    </w:p>
    <w:p w14:paraId="2D0663AE" w14:textId="77777777" w:rsidR="00A77B3E" w:rsidRPr="00800D1B" w:rsidRDefault="00A77B3E">
      <w:pPr>
        <w:spacing w:before="100"/>
        <w:rPr>
          <w:color w:val="000000"/>
          <w:sz w:val="0"/>
          <w:lang w:val="sv-SE"/>
        </w:rPr>
      </w:pPr>
    </w:p>
    <w:p w14:paraId="2D0663AF" w14:textId="77777777" w:rsidR="00A77B3E" w:rsidRPr="00800D1B" w:rsidRDefault="00623E14">
      <w:pPr>
        <w:spacing w:before="100"/>
        <w:rPr>
          <w:color w:val="000000"/>
          <w:sz w:val="0"/>
          <w:lang w:val="sv-SE"/>
        </w:rPr>
      </w:pPr>
      <w:r w:rsidRPr="00800D1B">
        <w:rPr>
          <w:color w:val="000000"/>
          <w:lang w:val="sv-SE"/>
        </w:rPr>
        <w:t>Referens: Artikel 22.3 d ii i förordningen om gemensamma bestämmelser och artikel 8 i Eruf-förordningen och förordningen om Sammanhållningsfonden</w:t>
      </w:r>
    </w:p>
    <w:p w14:paraId="2D0663B0" w14:textId="7EDAB379" w:rsidR="00A77B3E" w:rsidRPr="00800D1B" w:rsidRDefault="00623E14" w:rsidP="003D08B5">
      <w:pPr>
        <w:spacing w:before="100" w:after="100"/>
        <w:rPr>
          <w:lang w:val="sv-SE"/>
        </w:rPr>
      </w:pPr>
      <w:bookmarkStart w:id="153" w:name="_Toc256000394"/>
      <w:r w:rsidRPr="00800D1B">
        <w:rPr>
          <w:lang w:val="sv-SE"/>
        </w:rPr>
        <w:t>Tabell 2: Utfallsindikatorer</w:t>
      </w:r>
      <w:bookmarkEnd w:id="153"/>
    </w:p>
    <w:tbl>
      <w:tblPr>
        <w:tblStyle w:val="Tabellrutnt"/>
        <w:tblW w:w="5000" w:type="pct"/>
        <w:tblLook w:val="04A0" w:firstRow="1" w:lastRow="0" w:firstColumn="1" w:lastColumn="0" w:noHBand="0" w:noVBand="1"/>
        <w:tblDescription w:val="En tabell med nio kolumner: Prioritering; Specifikt mål; Fond; Regionkategori; ID; Indikator; Mätenhet; Delmål (2024); Mål (2029). Tabellen visar information om Utfallsindikatorer."/>
      </w:tblPr>
      <w:tblGrid>
        <w:gridCol w:w="1136"/>
        <w:gridCol w:w="1181"/>
        <w:gridCol w:w="626"/>
        <w:gridCol w:w="1959"/>
        <w:gridCol w:w="859"/>
        <w:gridCol w:w="5616"/>
        <w:gridCol w:w="1403"/>
        <w:gridCol w:w="1274"/>
        <w:gridCol w:w="1118"/>
      </w:tblGrid>
      <w:tr w:rsidR="003422DB" w:rsidRPr="00800D1B" w14:paraId="2D0663BB" w14:textId="77777777" w:rsidTr="00770E35">
        <w:tc>
          <w:tcPr>
            <w:tcW w:w="0" w:type="auto"/>
          </w:tcPr>
          <w:p w14:paraId="2D0663B2" w14:textId="77777777" w:rsidR="00A77B3E" w:rsidRPr="00800D1B" w:rsidRDefault="00623E14" w:rsidP="00770E35">
            <w:pPr>
              <w:spacing w:before="100" w:after="100"/>
              <w:ind w:left="-72"/>
              <w:jc w:val="center"/>
              <w:rPr>
                <w:color w:val="000000"/>
                <w:sz w:val="20"/>
                <w:lang w:val="sv-SE"/>
              </w:rPr>
            </w:pPr>
            <w:r w:rsidRPr="00800D1B">
              <w:rPr>
                <w:color w:val="000000"/>
                <w:sz w:val="20"/>
                <w:lang w:val="sv-SE"/>
              </w:rPr>
              <w:t>Prioritering</w:t>
            </w:r>
          </w:p>
        </w:tc>
        <w:tc>
          <w:tcPr>
            <w:tcW w:w="0" w:type="auto"/>
          </w:tcPr>
          <w:p w14:paraId="2D0663B3" w14:textId="77777777" w:rsidR="00A77B3E" w:rsidRPr="00800D1B" w:rsidRDefault="00623E14" w:rsidP="00770E35">
            <w:pPr>
              <w:spacing w:before="100" w:after="100"/>
              <w:ind w:left="-72"/>
              <w:jc w:val="center"/>
              <w:rPr>
                <w:color w:val="000000"/>
                <w:sz w:val="20"/>
                <w:lang w:val="sv-SE"/>
              </w:rPr>
            </w:pPr>
            <w:r w:rsidRPr="00800D1B">
              <w:rPr>
                <w:color w:val="000000"/>
                <w:sz w:val="20"/>
                <w:lang w:val="sv-SE"/>
              </w:rPr>
              <w:t>Specifikt mål</w:t>
            </w:r>
          </w:p>
        </w:tc>
        <w:tc>
          <w:tcPr>
            <w:tcW w:w="0" w:type="auto"/>
          </w:tcPr>
          <w:p w14:paraId="2D0663B4" w14:textId="77777777" w:rsidR="00A77B3E" w:rsidRPr="00800D1B" w:rsidRDefault="00623E14" w:rsidP="00770E35">
            <w:pPr>
              <w:spacing w:before="100" w:after="100"/>
              <w:ind w:left="-72"/>
              <w:jc w:val="center"/>
              <w:rPr>
                <w:color w:val="000000"/>
                <w:sz w:val="20"/>
                <w:lang w:val="sv-SE"/>
              </w:rPr>
            </w:pPr>
            <w:r w:rsidRPr="00800D1B">
              <w:rPr>
                <w:color w:val="000000"/>
                <w:sz w:val="20"/>
                <w:lang w:val="sv-SE"/>
              </w:rPr>
              <w:t>Fond</w:t>
            </w:r>
          </w:p>
        </w:tc>
        <w:tc>
          <w:tcPr>
            <w:tcW w:w="0" w:type="auto"/>
          </w:tcPr>
          <w:p w14:paraId="2D0663B5" w14:textId="77777777" w:rsidR="00A77B3E" w:rsidRPr="00800D1B" w:rsidRDefault="00623E14" w:rsidP="00770E35">
            <w:pPr>
              <w:spacing w:before="100" w:after="100"/>
              <w:ind w:left="-72"/>
              <w:jc w:val="center"/>
              <w:rPr>
                <w:color w:val="000000"/>
                <w:sz w:val="20"/>
                <w:lang w:val="sv-SE"/>
              </w:rPr>
            </w:pPr>
            <w:r w:rsidRPr="00800D1B">
              <w:rPr>
                <w:color w:val="000000"/>
                <w:sz w:val="20"/>
                <w:lang w:val="sv-SE"/>
              </w:rPr>
              <w:t>Regionkategori</w:t>
            </w:r>
          </w:p>
        </w:tc>
        <w:tc>
          <w:tcPr>
            <w:tcW w:w="0" w:type="auto"/>
          </w:tcPr>
          <w:p w14:paraId="2D0663B6" w14:textId="77777777" w:rsidR="00A77B3E" w:rsidRPr="00800D1B" w:rsidRDefault="00623E14" w:rsidP="00770E35">
            <w:pPr>
              <w:spacing w:before="100" w:after="100"/>
              <w:ind w:left="-72"/>
              <w:jc w:val="center"/>
              <w:rPr>
                <w:color w:val="000000"/>
                <w:sz w:val="20"/>
                <w:lang w:val="sv-SE"/>
              </w:rPr>
            </w:pPr>
            <w:r w:rsidRPr="00800D1B">
              <w:rPr>
                <w:color w:val="000000"/>
                <w:sz w:val="20"/>
                <w:lang w:val="sv-SE"/>
              </w:rPr>
              <w:t>ID</w:t>
            </w:r>
          </w:p>
        </w:tc>
        <w:tc>
          <w:tcPr>
            <w:tcW w:w="0" w:type="auto"/>
          </w:tcPr>
          <w:p w14:paraId="2D0663B7" w14:textId="77777777" w:rsidR="00A77B3E" w:rsidRPr="00800D1B" w:rsidRDefault="00623E14" w:rsidP="00770E35">
            <w:pPr>
              <w:spacing w:before="100" w:after="100"/>
              <w:ind w:left="-72"/>
              <w:jc w:val="center"/>
              <w:rPr>
                <w:color w:val="000000"/>
                <w:sz w:val="20"/>
                <w:lang w:val="sv-SE"/>
              </w:rPr>
            </w:pPr>
            <w:r w:rsidRPr="00800D1B">
              <w:rPr>
                <w:color w:val="000000"/>
                <w:sz w:val="20"/>
                <w:lang w:val="sv-SE"/>
              </w:rPr>
              <w:t>Indikator</w:t>
            </w:r>
          </w:p>
        </w:tc>
        <w:tc>
          <w:tcPr>
            <w:tcW w:w="0" w:type="auto"/>
          </w:tcPr>
          <w:p w14:paraId="2D0663B8" w14:textId="77777777" w:rsidR="00A77B3E" w:rsidRPr="00800D1B" w:rsidRDefault="00623E14" w:rsidP="00770E35">
            <w:pPr>
              <w:spacing w:before="100" w:after="100"/>
              <w:ind w:left="-72"/>
              <w:jc w:val="center"/>
              <w:rPr>
                <w:color w:val="000000"/>
                <w:sz w:val="20"/>
                <w:lang w:val="sv-SE"/>
              </w:rPr>
            </w:pPr>
            <w:r w:rsidRPr="00800D1B">
              <w:rPr>
                <w:color w:val="000000"/>
                <w:sz w:val="20"/>
                <w:lang w:val="sv-SE"/>
              </w:rPr>
              <w:t>Mätenhet</w:t>
            </w:r>
          </w:p>
        </w:tc>
        <w:tc>
          <w:tcPr>
            <w:tcW w:w="0" w:type="auto"/>
          </w:tcPr>
          <w:p w14:paraId="2D0663B9" w14:textId="77777777" w:rsidR="00A77B3E" w:rsidRPr="00800D1B" w:rsidRDefault="00623E14" w:rsidP="00770E35">
            <w:pPr>
              <w:spacing w:before="100" w:after="100"/>
              <w:ind w:left="-72"/>
              <w:jc w:val="center"/>
              <w:rPr>
                <w:color w:val="000000"/>
                <w:sz w:val="20"/>
                <w:lang w:val="sv-SE"/>
              </w:rPr>
            </w:pPr>
            <w:r w:rsidRPr="00800D1B">
              <w:rPr>
                <w:color w:val="000000"/>
                <w:sz w:val="20"/>
                <w:lang w:val="sv-SE"/>
              </w:rPr>
              <w:t>Delmål (2024)</w:t>
            </w:r>
          </w:p>
        </w:tc>
        <w:tc>
          <w:tcPr>
            <w:tcW w:w="0" w:type="auto"/>
          </w:tcPr>
          <w:p w14:paraId="2D0663BA" w14:textId="77777777" w:rsidR="00A77B3E" w:rsidRPr="00800D1B" w:rsidRDefault="00623E14" w:rsidP="00770E35">
            <w:pPr>
              <w:spacing w:before="100" w:after="100"/>
              <w:ind w:left="-72"/>
              <w:jc w:val="center"/>
              <w:rPr>
                <w:color w:val="000000"/>
                <w:sz w:val="20"/>
                <w:lang w:val="sv-SE"/>
              </w:rPr>
            </w:pPr>
            <w:r w:rsidRPr="00800D1B">
              <w:rPr>
                <w:color w:val="000000"/>
                <w:sz w:val="20"/>
                <w:lang w:val="sv-SE"/>
              </w:rPr>
              <w:t>Mål (2029)</w:t>
            </w:r>
          </w:p>
        </w:tc>
      </w:tr>
      <w:tr w:rsidR="003422DB" w:rsidRPr="00800D1B" w14:paraId="2D0663C5" w14:textId="77777777" w:rsidTr="00770E35">
        <w:tc>
          <w:tcPr>
            <w:tcW w:w="0" w:type="auto"/>
          </w:tcPr>
          <w:p w14:paraId="2D0663BC" w14:textId="77777777" w:rsidR="00A77B3E" w:rsidRPr="00800D1B" w:rsidRDefault="00623E14" w:rsidP="00770E35">
            <w:pPr>
              <w:spacing w:before="100" w:after="100"/>
              <w:ind w:left="-72"/>
              <w:rPr>
                <w:color w:val="000000"/>
                <w:sz w:val="20"/>
                <w:lang w:val="sv-SE"/>
              </w:rPr>
            </w:pPr>
            <w:r w:rsidRPr="00800D1B">
              <w:rPr>
                <w:color w:val="000000"/>
                <w:sz w:val="20"/>
                <w:lang w:val="sv-SE"/>
              </w:rPr>
              <w:t>4</w:t>
            </w:r>
          </w:p>
        </w:tc>
        <w:tc>
          <w:tcPr>
            <w:tcW w:w="0" w:type="auto"/>
          </w:tcPr>
          <w:p w14:paraId="2D0663BD" w14:textId="77777777" w:rsidR="00A77B3E" w:rsidRPr="00800D1B" w:rsidRDefault="00623E14" w:rsidP="00770E35">
            <w:pPr>
              <w:spacing w:before="100" w:after="100"/>
              <w:ind w:left="-72"/>
              <w:rPr>
                <w:color w:val="000000"/>
                <w:sz w:val="20"/>
                <w:lang w:val="sv-SE"/>
              </w:rPr>
            </w:pPr>
            <w:r w:rsidRPr="00800D1B">
              <w:rPr>
                <w:color w:val="000000"/>
                <w:sz w:val="20"/>
                <w:lang w:val="sv-SE"/>
              </w:rPr>
              <w:t>RSO2.6</w:t>
            </w:r>
          </w:p>
        </w:tc>
        <w:tc>
          <w:tcPr>
            <w:tcW w:w="0" w:type="auto"/>
          </w:tcPr>
          <w:p w14:paraId="2D0663BE" w14:textId="77777777" w:rsidR="00A77B3E" w:rsidRPr="00800D1B" w:rsidRDefault="00623E14" w:rsidP="00770E35">
            <w:pPr>
              <w:spacing w:before="100" w:after="100"/>
              <w:ind w:left="-72"/>
              <w:rPr>
                <w:color w:val="000000"/>
                <w:sz w:val="20"/>
                <w:lang w:val="sv-SE"/>
              </w:rPr>
            </w:pPr>
            <w:r w:rsidRPr="00800D1B">
              <w:rPr>
                <w:color w:val="000000"/>
                <w:sz w:val="20"/>
                <w:lang w:val="sv-SE"/>
              </w:rPr>
              <w:t>Eruf</w:t>
            </w:r>
          </w:p>
        </w:tc>
        <w:tc>
          <w:tcPr>
            <w:tcW w:w="0" w:type="auto"/>
          </w:tcPr>
          <w:p w14:paraId="2D0663BF" w14:textId="77777777" w:rsidR="00A77B3E" w:rsidRPr="00800D1B" w:rsidRDefault="00623E14" w:rsidP="00770E35">
            <w:pPr>
              <w:spacing w:before="100" w:after="100"/>
              <w:ind w:left="-72"/>
              <w:rPr>
                <w:color w:val="000000"/>
                <w:sz w:val="20"/>
                <w:lang w:val="sv-SE"/>
              </w:rPr>
            </w:pPr>
            <w:r w:rsidRPr="00800D1B">
              <w:rPr>
                <w:color w:val="000000"/>
                <w:sz w:val="20"/>
                <w:lang w:val="sv-SE"/>
              </w:rPr>
              <w:t>Mer utvecklade regioner</w:t>
            </w:r>
          </w:p>
        </w:tc>
        <w:tc>
          <w:tcPr>
            <w:tcW w:w="0" w:type="auto"/>
          </w:tcPr>
          <w:p w14:paraId="2D0663C0" w14:textId="77777777" w:rsidR="00A77B3E" w:rsidRPr="00800D1B" w:rsidRDefault="00623E14" w:rsidP="00770E35">
            <w:pPr>
              <w:spacing w:before="100" w:after="100"/>
              <w:ind w:left="-72"/>
              <w:rPr>
                <w:color w:val="000000"/>
                <w:sz w:val="20"/>
                <w:lang w:val="sv-SE"/>
              </w:rPr>
            </w:pPr>
            <w:r w:rsidRPr="00800D1B">
              <w:rPr>
                <w:color w:val="000000"/>
                <w:sz w:val="20"/>
                <w:lang w:val="sv-SE"/>
              </w:rPr>
              <w:t>RCO01</w:t>
            </w:r>
          </w:p>
        </w:tc>
        <w:tc>
          <w:tcPr>
            <w:tcW w:w="0" w:type="auto"/>
          </w:tcPr>
          <w:p w14:paraId="2D0663C1" w14:textId="77777777" w:rsidR="00A77B3E" w:rsidRPr="00800D1B" w:rsidRDefault="00623E14" w:rsidP="00770E35">
            <w:pPr>
              <w:spacing w:before="100" w:after="100"/>
              <w:ind w:left="-72"/>
              <w:rPr>
                <w:color w:val="000000"/>
                <w:sz w:val="20"/>
                <w:lang w:val="sv-SE"/>
              </w:rPr>
            </w:pPr>
            <w:r w:rsidRPr="00800D1B">
              <w:rPr>
                <w:color w:val="000000"/>
                <w:sz w:val="20"/>
                <w:lang w:val="sv-SE"/>
              </w:rPr>
              <w:t>Företag som får stöd (varav mikroföretag, små företag, medelstora företag, stora företag)</w:t>
            </w:r>
          </w:p>
        </w:tc>
        <w:tc>
          <w:tcPr>
            <w:tcW w:w="0" w:type="auto"/>
          </w:tcPr>
          <w:p w14:paraId="2D0663C2" w14:textId="77777777" w:rsidR="00A77B3E" w:rsidRPr="00800D1B" w:rsidRDefault="00623E14" w:rsidP="00770E35">
            <w:pPr>
              <w:spacing w:before="100" w:after="100"/>
              <w:ind w:left="-72"/>
              <w:rPr>
                <w:color w:val="000000"/>
                <w:sz w:val="20"/>
                <w:lang w:val="sv-SE"/>
              </w:rPr>
            </w:pPr>
            <w:r w:rsidRPr="00800D1B">
              <w:rPr>
                <w:color w:val="000000"/>
                <w:sz w:val="20"/>
                <w:lang w:val="sv-SE"/>
              </w:rPr>
              <w:t>företag</w:t>
            </w:r>
          </w:p>
        </w:tc>
        <w:tc>
          <w:tcPr>
            <w:tcW w:w="0" w:type="auto"/>
          </w:tcPr>
          <w:p w14:paraId="2D0663C3" w14:textId="77777777" w:rsidR="00A77B3E" w:rsidRPr="00800D1B" w:rsidRDefault="00623E14" w:rsidP="00770E35">
            <w:pPr>
              <w:spacing w:before="100" w:after="100"/>
              <w:ind w:left="-72"/>
              <w:jc w:val="right"/>
              <w:rPr>
                <w:color w:val="000000"/>
                <w:sz w:val="20"/>
                <w:lang w:val="sv-SE"/>
              </w:rPr>
            </w:pPr>
            <w:r w:rsidRPr="00800D1B">
              <w:rPr>
                <w:color w:val="000000"/>
                <w:sz w:val="20"/>
                <w:lang w:val="sv-SE"/>
              </w:rPr>
              <w:t>5,00</w:t>
            </w:r>
          </w:p>
        </w:tc>
        <w:tc>
          <w:tcPr>
            <w:tcW w:w="0" w:type="auto"/>
          </w:tcPr>
          <w:p w14:paraId="2D0663C4" w14:textId="77777777" w:rsidR="00A77B3E" w:rsidRPr="00800D1B" w:rsidRDefault="00623E14" w:rsidP="00770E35">
            <w:pPr>
              <w:spacing w:before="100" w:after="100"/>
              <w:ind w:left="-72"/>
              <w:jc w:val="right"/>
              <w:rPr>
                <w:color w:val="000000"/>
                <w:sz w:val="20"/>
                <w:lang w:val="sv-SE"/>
              </w:rPr>
            </w:pPr>
            <w:r w:rsidRPr="00800D1B">
              <w:rPr>
                <w:color w:val="000000"/>
                <w:sz w:val="20"/>
                <w:lang w:val="sv-SE"/>
              </w:rPr>
              <w:t>107,00</w:t>
            </w:r>
          </w:p>
        </w:tc>
      </w:tr>
      <w:tr w:rsidR="003422DB" w:rsidRPr="00800D1B" w14:paraId="2D0663CF" w14:textId="77777777" w:rsidTr="00770E35">
        <w:tc>
          <w:tcPr>
            <w:tcW w:w="0" w:type="auto"/>
          </w:tcPr>
          <w:p w14:paraId="2D0663C6" w14:textId="77777777" w:rsidR="00A77B3E" w:rsidRPr="00800D1B" w:rsidRDefault="00623E14" w:rsidP="00770E35">
            <w:pPr>
              <w:spacing w:before="100" w:after="100"/>
              <w:ind w:left="-72"/>
              <w:rPr>
                <w:color w:val="000000"/>
                <w:sz w:val="20"/>
                <w:lang w:val="sv-SE"/>
              </w:rPr>
            </w:pPr>
            <w:r w:rsidRPr="00800D1B">
              <w:rPr>
                <w:color w:val="000000"/>
                <w:sz w:val="20"/>
                <w:lang w:val="sv-SE"/>
              </w:rPr>
              <w:t>4</w:t>
            </w:r>
          </w:p>
        </w:tc>
        <w:tc>
          <w:tcPr>
            <w:tcW w:w="0" w:type="auto"/>
          </w:tcPr>
          <w:p w14:paraId="2D0663C7" w14:textId="77777777" w:rsidR="00A77B3E" w:rsidRPr="00800D1B" w:rsidRDefault="00623E14" w:rsidP="00770E35">
            <w:pPr>
              <w:spacing w:before="100" w:after="100"/>
              <w:ind w:left="-72"/>
              <w:rPr>
                <w:color w:val="000000"/>
                <w:sz w:val="20"/>
                <w:lang w:val="sv-SE"/>
              </w:rPr>
            </w:pPr>
            <w:r w:rsidRPr="00800D1B">
              <w:rPr>
                <w:color w:val="000000"/>
                <w:sz w:val="20"/>
                <w:lang w:val="sv-SE"/>
              </w:rPr>
              <w:t>RSO2.6</w:t>
            </w:r>
          </w:p>
        </w:tc>
        <w:tc>
          <w:tcPr>
            <w:tcW w:w="0" w:type="auto"/>
          </w:tcPr>
          <w:p w14:paraId="2D0663C8" w14:textId="77777777" w:rsidR="00A77B3E" w:rsidRPr="00800D1B" w:rsidRDefault="00623E14" w:rsidP="00770E35">
            <w:pPr>
              <w:spacing w:before="100" w:after="100"/>
              <w:ind w:left="-72"/>
              <w:rPr>
                <w:color w:val="000000"/>
                <w:sz w:val="20"/>
                <w:lang w:val="sv-SE"/>
              </w:rPr>
            </w:pPr>
            <w:r w:rsidRPr="00800D1B">
              <w:rPr>
                <w:color w:val="000000"/>
                <w:sz w:val="20"/>
                <w:lang w:val="sv-SE"/>
              </w:rPr>
              <w:t>Eruf</w:t>
            </w:r>
          </w:p>
        </w:tc>
        <w:tc>
          <w:tcPr>
            <w:tcW w:w="0" w:type="auto"/>
          </w:tcPr>
          <w:p w14:paraId="2D0663C9" w14:textId="77777777" w:rsidR="00A77B3E" w:rsidRPr="00800D1B" w:rsidRDefault="00623E14" w:rsidP="00770E35">
            <w:pPr>
              <w:spacing w:before="100" w:after="100"/>
              <w:ind w:left="-72"/>
              <w:rPr>
                <w:color w:val="000000"/>
                <w:sz w:val="20"/>
                <w:lang w:val="sv-SE"/>
              </w:rPr>
            </w:pPr>
            <w:r w:rsidRPr="00800D1B">
              <w:rPr>
                <w:color w:val="000000"/>
                <w:sz w:val="20"/>
                <w:lang w:val="sv-SE"/>
              </w:rPr>
              <w:t>Mer utvecklade regioner</w:t>
            </w:r>
          </w:p>
        </w:tc>
        <w:tc>
          <w:tcPr>
            <w:tcW w:w="0" w:type="auto"/>
          </w:tcPr>
          <w:p w14:paraId="2D0663CA" w14:textId="77777777" w:rsidR="00A77B3E" w:rsidRPr="00800D1B" w:rsidRDefault="00623E14" w:rsidP="00770E35">
            <w:pPr>
              <w:spacing w:before="100" w:after="100"/>
              <w:ind w:left="-72"/>
              <w:rPr>
                <w:color w:val="000000"/>
                <w:sz w:val="20"/>
                <w:lang w:val="sv-SE"/>
              </w:rPr>
            </w:pPr>
            <w:r w:rsidRPr="00800D1B">
              <w:rPr>
                <w:color w:val="000000"/>
                <w:sz w:val="20"/>
                <w:lang w:val="sv-SE"/>
              </w:rPr>
              <w:t>RCO04</w:t>
            </w:r>
          </w:p>
        </w:tc>
        <w:tc>
          <w:tcPr>
            <w:tcW w:w="0" w:type="auto"/>
          </w:tcPr>
          <w:p w14:paraId="2D0663CB" w14:textId="77777777" w:rsidR="00A77B3E" w:rsidRPr="00800D1B" w:rsidRDefault="00623E14" w:rsidP="00770E35">
            <w:pPr>
              <w:spacing w:before="100" w:after="100"/>
              <w:ind w:left="-72"/>
              <w:rPr>
                <w:color w:val="000000"/>
                <w:sz w:val="20"/>
                <w:lang w:val="sv-SE"/>
              </w:rPr>
            </w:pPr>
            <w:r w:rsidRPr="00800D1B">
              <w:rPr>
                <w:color w:val="000000"/>
                <w:sz w:val="20"/>
                <w:lang w:val="sv-SE"/>
              </w:rPr>
              <w:t>Företag som får icke-finansiellt stöd</w:t>
            </w:r>
          </w:p>
        </w:tc>
        <w:tc>
          <w:tcPr>
            <w:tcW w:w="0" w:type="auto"/>
          </w:tcPr>
          <w:p w14:paraId="2D0663CC" w14:textId="77777777" w:rsidR="00A77B3E" w:rsidRPr="00800D1B" w:rsidRDefault="00623E14" w:rsidP="00770E35">
            <w:pPr>
              <w:spacing w:before="100" w:after="100"/>
              <w:ind w:left="-72"/>
              <w:rPr>
                <w:color w:val="000000"/>
                <w:sz w:val="20"/>
                <w:lang w:val="sv-SE"/>
              </w:rPr>
            </w:pPr>
            <w:r w:rsidRPr="00800D1B">
              <w:rPr>
                <w:color w:val="000000"/>
                <w:sz w:val="20"/>
                <w:lang w:val="sv-SE"/>
              </w:rPr>
              <w:t>företag</w:t>
            </w:r>
          </w:p>
        </w:tc>
        <w:tc>
          <w:tcPr>
            <w:tcW w:w="0" w:type="auto"/>
          </w:tcPr>
          <w:p w14:paraId="2D0663CD" w14:textId="77777777" w:rsidR="00A77B3E" w:rsidRPr="00800D1B" w:rsidRDefault="00623E14" w:rsidP="00770E35">
            <w:pPr>
              <w:spacing w:before="100" w:after="100"/>
              <w:ind w:left="-72"/>
              <w:jc w:val="right"/>
              <w:rPr>
                <w:color w:val="000000"/>
                <w:sz w:val="20"/>
                <w:lang w:val="sv-SE"/>
              </w:rPr>
            </w:pPr>
            <w:r w:rsidRPr="00800D1B">
              <w:rPr>
                <w:color w:val="000000"/>
                <w:sz w:val="20"/>
                <w:lang w:val="sv-SE"/>
              </w:rPr>
              <w:t>5,00</w:t>
            </w:r>
          </w:p>
        </w:tc>
        <w:tc>
          <w:tcPr>
            <w:tcW w:w="0" w:type="auto"/>
          </w:tcPr>
          <w:p w14:paraId="2D0663CE" w14:textId="77777777" w:rsidR="00A77B3E" w:rsidRPr="00800D1B" w:rsidRDefault="00623E14" w:rsidP="00770E35">
            <w:pPr>
              <w:spacing w:before="100" w:after="100"/>
              <w:ind w:left="-72"/>
              <w:jc w:val="right"/>
              <w:rPr>
                <w:color w:val="000000"/>
                <w:sz w:val="20"/>
                <w:lang w:val="sv-SE"/>
              </w:rPr>
            </w:pPr>
            <w:r w:rsidRPr="00800D1B">
              <w:rPr>
                <w:color w:val="000000"/>
                <w:sz w:val="20"/>
                <w:lang w:val="sv-SE"/>
              </w:rPr>
              <w:t>107,00</w:t>
            </w:r>
          </w:p>
        </w:tc>
      </w:tr>
      <w:tr w:rsidR="003422DB" w:rsidRPr="00800D1B" w14:paraId="2D0663D9" w14:textId="77777777" w:rsidTr="00770E35">
        <w:tc>
          <w:tcPr>
            <w:tcW w:w="0" w:type="auto"/>
          </w:tcPr>
          <w:p w14:paraId="2D0663D0" w14:textId="77777777" w:rsidR="00A77B3E" w:rsidRPr="00800D1B" w:rsidRDefault="00623E14" w:rsidP="00770E35">
            <w:pPr>
              <w:spacing w:before="100" w:after="100"/>
              <w:ind w:left="-72"/>
              <w:rPr>
                <w:color w:val="000000"/>
                <w:sz w:val="20"/>
                <w:lang w:val="sv-SE"/>
              </w:rPr>
            </w:pPr>
            <w:r w:rsidRPr="00800D1B">
              <w:rPr>
                <w:color w:val="000000"/>
                <w:sz w:val="20"/>
                <w:lang w:val="sv-SE"/>
              </w:rPr>
              <w:t>4</w:t>
            </w:r>
          </w:p>
        </w:tc>
        <w:tc>
          <w:tcPr>
            <w:tcW w:w="0" w:type="auto"/>
          </w:tcPr>
          <w:p w14:paraId="2D0663D1" w14:textId="77777777" w:rsidR="00A77B3E" w:rsidRPr="00800D1B" w:rsidRDefault="00623E14" w:rsidP="00770E35">
            <w:pPr>
              <w:spacing w:before="100" w:after="100"/>
              <w:ind w:left="-72"/>
              <w:rPr>
                <w:color w:val="000000"/>
                <w:sz w:val="20"/>
                <w:lang w:val="sv-SE"/>
              </w:rPr>
            </w:pPr>
            <w:r w:rsidRPr="00800D1B">
              <w:rPr>
                <w:color w:val="000000"/>
                <w:sz w:val="20"/>
                <w:lang w:val="sv-SE"/>
              </w:rPr>
              <w:t>RSO2.6</w:t>
            </w:r>
          </w:p>
        </w:tc>
        <w:tc>
          <w:tcPr>
            <w:tcW w:w="0" w:type="auto"/>
          </w:tcPr>
          <w:p w14:paraId="2D0663D2" w14:textId="77777777" w:rsidR="00A77B3E" w:rsidRPr="00800D1B" w:rsidRDefault="00623E14" w:rsidP="00770E35">
            <w:pPr>
              <w:spacing w:before="100" w:after="100"/>
              <w:ind w:left="-72"/>
              <w:rPr>
                <w:color w:val="000000"/>
                <w:sz w:val="20"/>
                <w:lang w:val="sv-SE"/>
              </w:rPr>
            </w:pPr>
            <w:r w:rsidRPr="00800D1B">
              <w:rPr>
                <w:color w:val="000000"/>
                <w:sz w:val="20"/>
                <w:lang w:val="sv-SE"/>
              </w:rPr>
              <w:t>Eruf</w:t>
            </w:r>
          </w:p>
        </w:tc>
        <w:tc>
          <w:tcPr>
            <w:tcW w:w="0" w:type="auto"/>
          </w:tcPr>
          <w:p w14:paraId="2D0663D3" w14:textId="77777777" w:rsidR="00A77B3E" w:rsidRPr="00800D1B" w:rsidRDefault="00623E14" w:rsidP="00770E35">
            <w:pPr>
              <w:spacing w:before="100" w:after="100"/>
              <w:ind w:left="-72"/>
              <w:rPr>
                <w:color w:val="000000"/>
                <w:sz w:val="20"/>
                <w:lang w:val="sv-SE"/>
              </w:rPr>
            </w:pPr>
            <w:r w:rsidRPr="00800D1B">
              <w:rPr>
                <w:color w:val="000000"/>
                <w:sz w:val="20"/>
                <w:lang w:val="sv-SE"/>
              </w:rPr>
              <w:t>Mer utvecklade regioner</w:t>
            </w:r>
          </w:p>
        </w:tc>
        <w:tc>
          <w:tcPr>
            <w:tcW w:w="0" w:type="auto"/>
          </w:tcPr>
          <w:p w14:paraId="2D0663D4" w14:textId="77777777" w:rsidR="00A77B3E" w:rsidRPr="00800D1B" w:rsidRDefault="00623E14" w:rsidP="00770E35">
            <w:pPr>
              <w:spacing w:before="100" w:after="100"/>
              <w:ind w:left="-72"/>
              <w:rPr>
                <w:color w:val="000000"/>
                <w:sz w:val="20"/>
                <w:lang w:val="sv-SE"/>
              </w:rPr>
            </w:pPr>
            <w:r w:rsidRPr="00800D1B">
              <w:rPr>
                <w:color w:val="000000"/>
                <w:sz w:val="20"/>
                <w:lang w:val="sv-SE"/>
              </w:rPr>
              <w:t>RCO34</w:t>
            </w:r>
          </w:p>
        </w:tc>
        <w:tc>
          <w:tcPr>
            <w:tcW w:w="0" w:type="auto"/>
          </w:tcPr>
          <w:p w14:paraId="2D0663D5" w14:textId="77777777" w:rsidR="00A77B3E" w:rsidRPr="00800D1B" w:rsidRDefault="00623E14" w:rsidP="00770E35">
            <w:pPr>
              <w:spacing w:before="100" w:after="100"/>
              <w:ind w:left="-72"/>
              <w:rPr>
                <w:color w:val="000000"/>
                <w:sz w:val="20"/>
                <w:lang w:val="sv-SE"/>
              </w:rPr>
            </w:pPr>
            <w:r w:rsidRPr="00800D1B">
              <w:rPr>
                <w:color w:val="000000"/>
                <w:sz w:val="20"/>
                <w:lang w:val="sv-SE"/>
              </w:rPr>
              <w:t>Ytterligare kapacitet för avfallsåtervinning</w:t>
            </w:r>
          </w:p>
        </w:tc>
        <w:tc>
          <w:tcPr>
            <w:tcW w:w="0" w:type="auto"/>
          </w:tcPr>
          <w:p w14:paraId="2D0663D6" w14:textId="77777777" w:rsidR="00A77B3E" w:rsidRPr="00800D1B" w:rsidRDefault="00623E14" w:rsidP="00770E35">
            <w:pPr>
              <w:spacing w:before="100" w:after="100"/>
              <w:ind w:left="-72"/>
              <w:rPr>
                <w:color w:val="000000"/>
                <w:sz w:val="20"/>
                <w:lang w:val="sv-SE"/>
              </w:rPr>
            </w:pPr>
            <w:r w:rsidRPr="00800D1B">
              <w:rPr>
                <w:color w:val="000000"/>
                <w:sz w:val="20"/>
                <w:lang w:val="sv-SE"/>
              </w:rPr>
              <w:t>ton/år</w:t>
            </w:r>
          </w:p>
        </w:tc>
        <w:tc>
          <w:tcPr>
            <w:tcW w:w="0" w:type="auto"/>
          </w:tcPr>
          <w:p w14:paraId="2D0663D7" w14:textId="77777777" w:rsidR="00A77B3E" w:rsidRPr="00800D1B" w:rsidRDefault="00623E14" w:rsidP="00770E35">
            <w:pPr>
              <w:spacing w:before="100" w:after="100"/>
              <w:ind w:left="-72"/>
              <w:jc w:val="right"/>
              <w:rPr>
                <w:color w:val="000000"/>
                <w:sz w:val="20"/>
                <w:lang w:val="sv-SE"/>
              </w:rPr>
            </w:pPr>
            <w:r w:rsidRPr="00800D1B">
              <w:rPr>
                <w:color w:val="000000"/>
                <w:sz w:val="20"/>
                <w:lang w:val="sv-SE"/>
              </w:rPr>
              <w:t>25 509,00</w:t>
            </w:r>
          </w:p>
        </w:tc>
        <w:tc>
          <w:tcPr>
            <w:tcW w:w="0" w:type="auto"/>
          </w:tcPr>
          <w:p w14:paraId="2D0663D8" w14:textId="77777777" w:rsidR="00A77B3E" w:rsidRPr="00800D1B" w:rsidRDefault="00623E14" w:rsidP="00770E35">
            <w:pPr>
              <w:spacing w:before="100" w:after="100"/>
              <w:ind w:left="-72"/>
              <w:jc w:val="right"/>
              <w:rPr>
                <w:color w:val="000000"/>
                <w:sz w:val="20"/>
                <w:lang w:val="sv-SE"/>
              </w:rPr>
            </w:pPr>
            <w:r w:rsidRPr="00800D1B">
              <w:rPr>
                <w:color w:val="000000"/>
                <w:sz w:val="20"/>
                <w:lang w:val="sv-SE"/>
              </w:rPr>
              <w:t>510 188,40</w:t>
            </w:r>
          </w:p>
        </w:tc>
      </w:tr>
      <w:tr w:rsidR="003422DB" w:rsidRPr="00800D1B" w14:paraId="2D0663E3" w14:textId="77777777" w:rsidTr="00770E35">
        <w:tc>
          <w:tcPr>
            <w:tcW w:w="0" w:type="auto"/>
          </w:tcPr>
          <w:p w14:paraId="2D0663DA" w14:textId="77777777" w:rsidR="00A77B3E" w:rsidRPr="00800D1B" w:rsidRDefault="00623E14" w:rsidP="00770E35">
            <w:pPr>
              <w:spacing w:before="100" w:after="100"/>
              <w:ind w:left="-72"/>
              <w:rPr>
                <w:color w:val="000000"/>
                <w:sz w:val="20"/>
                <w:lang w:val="sv-SE"/>
              </w:rPr>
            </w:pPr>
            <w:r w:rsidRPr="00800D1B">
              <w:rPr>
                <w:color w:val="000000"/>
                <w:sz w:val="20"/>
                <w:lang w:val="sv-SE"/>
              </w:rPr>
              <w:t>4</w:t>
            </w:r>
          </w:p>
        </w:tc>
        <w:tc>
          <w:tcPr>
            <w:tcW w:w="0" w:type="auto"/>
          </w:tcPr>
          <w:p w14:paraId="2D0663DB" w14:textId="77777777" w:rsidR="00A77B3E" w:rsidRPr="00800D1B" w:rsidRDefault="00623E14" w:rsidP="00770E35">
            <w:pPr>
              <w:spacing w:before="100" w:after="100"/>
              <w:ind w:left="-72"/>
              <w:rPr>
                <w:color w:val="000000"/>
                <w:sz w:val="20"/>
                <w:lang w:val="sv-SE"/>
              </w:rPr>
            </w:pPr>
            <w:r w:rsidRPr="00800D1B">
              <w:rPr>
                <w:color w:val="000000"/>
                <w:sz w:val="20"/>
                <w:lang w:val="sv-SE"/>
              </w:rPr>
              <w:t>RSO2.6</w:t>
            </w:r>
          </w:p>
        </w:tc>
        <w:tc>
          <w:tcPr>
            <w:tcW w:w="0" w:type="auto"/>
          </w:tcPr>
          <w:p w14:paraId="2D0663DC" w14:textId="77777777" w:rsidR="00A77B3E" w:rsidRPr="00800D1B" w:rsidRDefault="00623E14" w:rsidP="00770E35">
            <w:pPr>
              <w:spacing w:before="100" w:after="100"/>
              <w:ind w:left="-72"/>
              <w:rPr>
                <w:color w:val="000000"/>
                <w:sz w:val="20"/>
                <w:lang w:val="sv-SE"/>
              </w:rPr>
            </w:pPr>
            <w:r w:rsidRPr="00800D1B">
              <w:rPr>
                <w:color w:val="000000"/>
                <w:sz w:val="20"/>
                <w:lang w:val="sv-SE"/>
              </w:rPr>
              <w:t>Eruf</w:t>
            </w:r>
          </w:p>
        </w:tc>
        <w:tc>
          <w:tcPr>
            <w:tcW w:w="0" w:type="auto"/>
          </w:tcPr>
          <w:p w14:paraId="2D0663DD" w14:textId="77777777" w:rsidR="00A77B3E" w:rsidRPr="00800D1B" w:rsidRDefault="00623E14" w:rsidP="00770E35">
            <w:pPr>
              <w:spacing w:before="100" w:after="100"/>
              <w:ind w:left="-72"/>
              <w:rPr>
                <w:color w:val="000000"/>
                <w:sz w:val="20"/>
                <w:lang w:val="sv-SE"/>
              </w:rPr>
            </w:pPr>
            <w:r w:rsidRPr="00800D1B">
              <w:rPr>
                <w:color w:val="000000"/>
                <w:sz w:val="20"/>
                <w:lang w:val="sv-SE"/>
              </w:rPr>
              <w:t>Mer utvecklade regioner</w:t>
            </w:r>
          </w:p>
        </w:tc>
        <w:tc>
          <w:tcPr>
            <w:tcW w:w="0" w:type="auto"/>
          </w:tcPr>
          <w:p w14:paraId="2D0663DE" w14:textId="77777777" w:rsidR="00A77B3E" w:rsidRPr="00800D1B" w:rsidRDefault="00623E14" w:rsidP="00770E35">
            <w:pPr>
              <w:spacing w:before="100" w:after="100"/>
              <w:ind w:left="-72"/>
              <w:rPr>
                <w:color w:val="000000"/>
                <w:sz w:val="20"/>
                <w:lang w:val="sv-SE"/>
              </w:rPr>
            </w:pPr>
            <w:r w:rsidRPr="00800D1B">
              <w:rPr>
                <w:color w:val="000000"/>
                <w:sz w:val="20"/>
                <w:lang w:val="sv-SE"/>
              </w:rPr>
              <w:t>SWO01</w:t>
            </w:r>
          </w:p>
        </w:tc>
        <w:tc>
          <w:tcPr>
            <w:tcW w:w="0" w:type="auto"/>
          </w:tcPr>
          <w:p w14:paraId="2D0663DF" w14:textId="77777777" w:rsidR="00A77B3E" w:rsidRPr="00800D1B" w:rsidRDefault="00623E14" w:rsidP="00770E35">
            <w:pPr>
              <w:spacing w:before="100" w:after="100"/>
              <w:ind w:left="-72"/>
              <w:rPr>
                <w:color w:val="000000"/>
                <w:sz w:val="20"/>
                <w:lang w:val="sv-SE"/>
              </w:rPr>
            </w:pPr>
            <w:r w:rsidRPr="00800D1B">
              <w:rPr>
                <w:color w:val="000000"/>
                <w:sz w:val="20"/>
                <w:lang w:val="sv-SE"/>
              </w:rPr>
              <w:t>Antal organisationer som får stöd</w:t>
            </w:r>
          </w:p>
        </w:tc>
        <w:tc>
          <w:tcPr>
            <w:tcW w:w="0" w:type="auto"/>
          </w:tcPr>
          <w:p w14:paraId="2D0663E0" w14:textId="77777777" w:rsidR="00A77B3E" w:rsidRPr="00800D1B" w:rsidRDefault="00623E14" w:rsidP="00770E35">
            <w:pPr>
              <w:spacing w:before="100" w:after="100"/>
              <w:ind w:left="-72"/>
              <w:rPr>
                <w:color w:val="000000"/>
                <w:sz w:val="20"/>
                <w:lang w:val="sv-SE"/>
              </w:rPr>
            </w:pPr>
            <w:r w:rsidRPr="00800D1B">
              <w:rPr>
                <w:color w:val="000000"/>
                <w:sz w:val="20"/>
                <w:lang w:val="sv-SE"/>
              </w:rPr>
              <w:t>Organisationer</w:t>
            </w:r>
          </w:p>
        </w:tc>
        <w:tc>
          <w:tcPr>
            <w:tcW w:w="0" w:type="auto"/>
          </w:tcPr>
          <w:p w14:paraId="2D0663E1" w14:textId="77777777" w:rsidR="00A77B3E" w:rsidRPr="00800D1B" w:rsidRDefault="00623E14" w:rsidP="00770E35">
            <w:pPr>
              <w:spacing w:before="100" w:after="100"/>
              <w:ind w:left="-72"/>
              <w:jc w:val="right"/>
              <w:rPr>
                <w:color w:val="000000"/>
                <w:sz w:val="20"/>
                <w:lang w:val="sv-SE"/>
              </w:rPr>
            </w:pPr>
            <w:r w:rsidRPr="00800D1B">
              <w:rPr>
                <w:color w:val="000000"/>
                <w:sz w:val="20"/>
                <w:lang w:val="sv-SE"/>
              </w:rPr>
              <w:t>1,00</w:t>
            </w:r>
          </w:p>
        </w:tc>
        <w:tc>
          <w:tcPr>
            <w:tcW w:w="0" w:type="auto"/>
          </w:tcPr>
          <w:p w14:paraId="2D0663E2" w14:textId="77777777" w:rsidR="00A77B3E" w:rsidRPr="00800D1B" w:rsidRDefault="00623E14" w:rsidP="00770E35">
            <w:pPr>
              <w:spacing w:before="100" w:after="100"/>
              <w:ind w:left="-72"/>
              <w:jc w:val="right"/>
              <w:rPr>
                <w:color w:val="000000"/>
                <w:sz w:val="20"/>
                <w:lang w:val="sv-SE"/>
              </w:rPr>
            </w:pPr>
            <w:r w:rsidRPr="00800D1B">
              <w:rPr>
                <w:color w:val="000000"/>
                <w:sz w:val="20"/>
                <w:lang w:val="sv-SE"/>
              </w:rPr>
              <w:t>10,00</w:t>
            </w:r>
          </w:p>
        </w:tc>
      </w:tr>
    </w:tbl>
    <w:p w14:paraId="2D0663E5" w14:textId="77777777" w:rsidR="00A77B3E" w:rsidRPr="00800D1B" w:rsidRDefault="00623E14" w:rsidP="00267E2F">
      <w:pPr>
        <w:spacing w:before="600"/>
        <w:rPr>
          <w:color w:val="000000"/>
          <w:sz w:val="0"/>
          <w:lang w:val="sv-SE"/>
        </w:rPr>
      </w:pPr>
      <w:r w:rsidRPr="00800D1B">
        <w:rPr>
          <w:color w:val="000000"/>
          <w:lang w:val="sv-SE"/>
        </w:rPr>
        <w:t>Referens: Artikel 22.3 d ii i förordningen om gemensamma bestämmelser</w:t>
      </w:r>
    </w:p>
    <w:p w14:paraId="2D0663E6" w14:textId="449D906E" w:rsidR="00A77B3E" w:rsidRPr="00800D1B" w:rsidRDefault="00623E14" w:rsidP="003D08B5">
      <w:pPr>
        <w:spacing w:before="100" w:after="100"/>
        <w:rPr>
          <w:lang w:val="sv-SE"/>
        </w:rPr>
      </w:pPr>
      <w:bookmarkStart w:id="154" w:name="_Toc256000395"/>
      <w:r w:rsidRPr="00800D1B">
        <w:rPr>
          <w:lang w:val="sv-SE"/>
        </w:rPr>
        <w:t>Tabell 3: Resultatindikatorer</w:t>
      </w:r>
      <w:bookmarkEnd w:id="154"/>
    </w:p>
    <w:tbl>
      <w:tblPr>
        <w:tblStyle w:val="Tabellrutnt"/>
        <w:tblW w:w="5000" w:type="pct"/>
        <w:tblLook w:val="04A0" w:firstRow="1" w:lastRow="0" w:firstColumn="1" w:lastColumn="0" w:noHBand="0" w:noVBand="1"/>
        <w:tblDescription w:val="En tabell med tolv kolumner: Prioritering; Specifikt mål; Fond; Regionkategori; ID; Indikator; Mätenhet; Utgångsvärde eller referensvärde; Referensår; Mål (2029); Datakälla; Kommentarer. Tabellen visar information om Resultatindikatorer."/>
      </w:tblPr>
      <w:tblGrid>
        <w:gridCol w:w="1082"/>
        <w:gridCol w:w="938"/>
        <w:gridCol w:w="572"/>
        <w:gridCol w:w="1510"/>
        <w:gridCol w:w="894"/>
        <w:gridCol w:w="3026"/>
        <w:gridCol w:w="1349"/>
        <w:gridCol w:w="1515"/>
        <w:gridCol w:w="1027"/>
        <w:gridCol w:w="1061"/>
        <w:gridCol w:w="927"/>
        <w:gridCol w:w="1271"/>
      </w:tblGrid>
      <w:tr w:rsidR="003422DB" w:rsidRPr="00800D1B" w14:paraId="2D0663F4" w14:textId="77777777" w:rsidTr="00093C0E">
        <w:tc>
          <w:tcPr>
            <w:tcW w:w="0" w:type="auto"/>
          </w:tcPr>
          <w:p w14:paraId="2D0663E8" w14:textId="77777777" w:rsidR="00A77B3E" w:rsidRPr="00800D1B" w:rsidRDefault="00623E14" w:rsidP="00093C0E">
            <w:pPr>
              <w:spacing w:before="100" w:after="100"/>
              <w:ind w:left="-72"/>
              <w:jc w:val="center"/>
              <w:rPr>
                <w:color w:val="000000"/>
                <w:sz w:val="20"/>
                <w:lang w:val="sv-SE"/>
              </w:rPr>
            </w:pPr>
            <w:r w:rsidRPr="00800D1B">
              <w:rPr>
                <w:color w:val="000000"/>
                <w:sz w:val="20"/>
                <w:lang w:val="sv-SE"/>
              </w:rPr>
              <w:t>Prioritering</w:t>
            </w:r>
          </w:p>
        </w:tc>
        <w:tc>
          <w:tcPr>
            <w:tcW w:w="0" w:type="auto"/>
          </w:tcPr>
          <w:p w14:paraId="2D0663E9" w14:textId="77777777" w:rsidR="00A77B3E" w:rsidRPr="00800D1B" w:rsidRDefault="00623E14" w:rsidP="00093C0E">
            <w:pPr>
              <w:spacing w:before="100" w:after="100"/>
              <w:ind w:left="-72"/>
              <w:jc w:val="center"/>
              <w:rPr>
                <w:color w:val="000000"/>
                <w:sz w:val="20"/>
                <w:lang w:val="sv-SE"/>
              </w:rPr>
            </w:pPr>
            <w:r w:rsidRPr="00800D1B">
              <w:rPr>
                <w:color w:val="000000"/>
                <w:sz w:val="20"/>
                <w:lang w:val="sv-SE"/>
              </w:rPr>
              <w:t>Specifikt mål</w:t>
            </w:r>
          </w:p>
        </w:tc>
        <w:tc>
          <w:tcPr>
            <w:tcW w:w="0" w:type="auto"/>
          </w:tcPr>
          <w:p w14:paraId="2D0663EA" w14:textId="77777777" w:rsidR="00A77B3E" w:rsidRPr="00800D1B" w:rsidRDefault="00623E14" w:rsidP="00093C0E">
            <w:pPr>
              <w:spacing w:before="100" w:after="100"/>
              <w:ind w:left="-72"/>
              <w:jc w:val="center"/>
              <w:rPr>
                <w:color w:val="000000"/>
                <w:sz w:val="20"/>
                <w:lang w:val="sv-SE"/>
              </w:rPr>
            </w:pPr>
            <w:r w:rsidRPr="00800D1B">
              <w:rPr>
                <w:color w:val="000000"/>
                <w:sz w:val="20"/>
                <w:lang w:val="sv-SE"/>
              </w:rPr>
              <w:t>Fond</w:t>
            </w:r>
          </w:p>
        </w:tc>
        <w:tc>
          <w:tcPr>
            <w:tcW w:w="0" w:type="auto"/>
          </w:tcPr>
          <w:p w14:paraId="2D0663EB" w14:textId="77777777" w:rsidR="00A77B3E" w:rsidRPr="00800D1B" w:rsidRDefault="00623E14" w:rsidP="00093C0E">
            <w:pPr>
              <w:spacing w:before="100" w:after="100"/>
              <w:ind w:left="-72"/>
              <w:jc w:val="center"/>
              <w:rPr>
                <w:color w:val="000000"/>
                <w:sz w:val="20"/>
                <w:lang w:val="sv-SE"/>
              </w:rPr>
            </w:pPr>
            <w:r w:rsidRPr="00800D1B">
              <w:rPr>
                <w:color w:val="000000"/>
                <w:sz w:val="20"/>
                <w:lang w:val="sv-SE"/>
              </w:rPr>
              <w:t>Regionkategori</w:t>
            </w:r>
          </w:p>
        </w:tc>
        <w:tc>
          <w:tcPr>
            <w:tcW w:w="0" w:type="auto"/>
          </w:tcPr>
          <w:p w14:paraId="2D0663EC" w14:textId="77777777" w:rsidR="00A77B3E" w:rsidRPr="00800D1B" w:rsidRDefault="00623E14" w:rsidP="00093C0E">
            <w:pPr>
              <w:spacing w:before="100" w:after="100"/>
              <w:ind w:left="-72"/>
              <w:jc w:val="center"/>
              <w:rPr>
                <w:color w:val="000000"/>
                <w:sz w:val="20"/>
                <w:lang w:val="sv-SE"/>
              </w:rPr>
            </w:pPr>
            <w:r w:rsidRPr="00800D1B">
              <w:rPr>
                <w:color w:val="000000"/>
                <w:sz w:val="20"/>
                <w:lang w:val="sv-SE"/>
              </w:rPr>
              <w:t>ID</w:t>
            </w:r>
          </w:p>
        </w:tc>
        <w:tc>
          <w:tcPr>
            <w:tcW w:w="0" w:type="auto"/>
          </w:tcPr>
          <w:p w14:paraId="2D0663ED" w14:textId="77777777" w:rsidR="00A77B3E" w:rsidRPr="00800D1B" w:rsidRDefault="00623E14" w:rsidP="00093C0E">
            <w:pPr>
              <w:spacing w:before="100" w:after="100"/>
              <w:ind w:left="-72"/>
              <w:jc w:val="center"/>
              <w:rPr>
                <w:color w:val="000000"/>
                <w:sz w:val="20"/>
                <w:lang w:val="sv-SE"/>
              </w:rPr>
            </w:pPr>
            <w:r w:rsidRPr="00800D1B">
              <w:rPr>
                <w:color w:val="000000"/>
                <w:sz w:val="20"/>
                <w:lang w:val="sv-SE"/>
              </w:rPr>
              <w:t>Indikator</w:t>
            </w:r>
          </w:p>
        </w:tc>
        <w:tc>
          <w:tcPr>
            <w:tcW w:w="0" w:type="auto"/>
          </w:tcPr>
          <w:p w14:paraId="2D0663EE" w14:textId="77777777" w:rsidR="00A77B3E" w:rsidRPr="00800D1B" w:rsidRDefault="00623E14" w:rsidP="00093C0E">
            <w:pPr>
              <w:spacing w:before="100" w:after="100"/>
              <w:ind w:left="-72"/>
              <w:jc w:val="center"/>
              <w:rPr>
                <w:color w:val="000000"/>
                <w:sz w:val="20"/>
                <w:lang w:val="sv-SE"/>
              </w:rPr>
            </w:pPr>
            <w:r w:rsidRPr="00800D1B">
              <w:rPr>
                <w:color w:val="000000"/>
                <w:sz w:val="20"/>
                <w:lang w:val="sv-SE"/>
              </w:rPr>
              <w:t>Mätenhet</w:t>
            </w:r>
          </w:p>
        </w:tc>
        <w:tc>
          <w:tcPr>
            <w:tcW w:w="0" w:type="auto"/>
          </w:tcPr>
          <w:p w14:paraId="2D0663EF" w14:textId="77777777" w:rsidR="00A77B3E" w:rsidRPr="00800D1B" w:rsidRDefault="00623E14" w:rsidP="00093C0E">
            <w:pPr>
              <w:spacing w:before="100" w:after="100"/>
              <w:ind w:left="-72"/>
              <w:jc w:val="center"/>
              <w:rPr>
                <w:color w:val="000000"/>
                <w:sz w:val="20"/>
                <w:lang w:val="sv-SE"/>
              </w:rPr>
            </w:pPr>
            <w:r w:rsidRPr="00800D1B">
              <w:rPr>
                <w:color w:val="000000"/>
                <w:sz w:val="20"/>
                <w:lang w:val="sv-SE"/>
              </w:rPr>
              <w:t>Utgångsvärde eller referensvärde</w:t>
            </w:r>
          </w:p>
        </w:tc>
        <w:tc>
          <w:tcPr>
            <w:tcW w:w="0" w:type="auto"/>
          </w:tcPr>
          <w:p w14:paraId="2D0663F0" w14:textId="77777777" w:rsidR="00A77B3E" w:rsidRPr="00800D1B" w:rsidRDefault="00623E14" w:rsidP="00093C0E">
            <w:pPr>
              <w:spacing w:before="100" w:after="100"/>
              <w:ind w:left="-72"/>
              <w:jc w:val="center"/>
              <w:rPr>
                <w:color w:val="000000"/>
                <w:sz w:val="20"/>
                <w:lang w:val="sv-SE"/>
              </w:rPr>
            </w:pPr>
            <w:r w:rsidRPr="00800D1B">
              <w:rPr>
                <w:color w:val="000000"/>
                <w:sz w:val="20"/>
                <w:lang w:val="sv-SE"/>
              </w:rPr>
              <w:t>Referensår</w:t>
            </w:r>
          </w:p>
        </w:tc>
        <w:tc>
          <w:tcPr>
            <w:tcW w:w="0" w:type="auto"/>
          </w:tcPr>
          <w:p w14:paraId="2D0663F1" w14:textId="77777777" w:rsidR="00A77B3E" w:rsidRPr="00800D1B" w:rsidRDefault="00623E14" w:rsidP="00093C0E">
            <w:pPr>
              <w:spacing w:before="100" w:after="100"/>
              <w:ind w:left="-72"/>
              <w:jc w:val="center"/>
              <w:rPr>
                <w:color w:val="000000"/>
                <w:sz w:val="20"/>
                <w:lang w:val="sv-SE"/>
              </w:rPr>
            </w:pPr>
            <w:r w:rsidRPr="00800D1B">
              <w:rPr>
                <w:color w:val="000000"/>
                <w:sz w:val="20"/>
                <w:lang w:val="sv-SE"/>
              </w:rPr>
              <w:t>Mål (2029)</w:t>
            </w:r>
          </w:p>
        </w:tc>
        <w:tc>
          <w:tcPr>
            <w:tcW w:w="0" w:type="auto"/>
          </w:tcPr>
          <w:p w14:paraId="2D0663F2" w14:textId="77777777" w:rsidR="00A77B3E" w:rsidRPr="00800D1B" w:rsidRDefault="00623E14" w:rsidP="00093C0E">
            <w:pPr>
              <w:spacing w:before="100" w:after="100"/>
              <w:ind w:left="-72"/>
              <w:jc w:val="center"/>
              <w:rPr>
                <w:color w:val="000000"/>
                <w:sz w:val="20"/>
                <w:lang w:val="sv-SE"/>
              </w:rPr>
            </w:pPr>
            <w:r w:rsidRPr="00800D1B">
              <w:rPr>
                <w:color w:val="000000"/>
                <w:sz w:val="20"/>
                <w:lang w:val="sv-SE"/>
              </w:rPr>
              <w:t>Datakälla</w:t>
            </w:r>
          </w:p>
        </w:tc>
        <w:tc>
          <w:tcPr>
            <w:tcW w:w="0" w:type="auto"/>
          </w:tcPr>
          <w:p w14:paraId="2D0663F3" w14:textId="77777777" w:rsidR="00A77B3E" w:rsidRPr="00800D1B" w:rsidRDefault="00623E14" w:rsidP="00093C0E">
            <w:pPr>
              <w:spacing w:before="100" w:after="100"/>
              <w:ind w:left="-72"/>
              <w:jc w:val="center"/>
              <w:rPr>
                <w:color w:val="000000"/>
                <w:sz w:val="20"/>
                <w:lang w:val="sv-SE"/>
              </w:rPr>
            </w:pPr>
            <w:r w:rsidRPr="00800D1B">
              <w:rPr>
                <w:color w:val="000000"/>
                <w:sz w:val="20"/>
                <w:lang w:val="sv-SE"/>
              </w:rPr>
              <w:t>Kommentarer</w:t>
            </w:r>
          </w:p>
        </w:tc>
      </w:tr>
      <w:tr w:rsidR="003422DB" w:rsidRPr="00800D1B" w14:paraId="2D066401" w14:textId="77777777" w:rsidTr="00093C0E">
        <w:tc>
          <w:tcPr>
            <w:tcW w:w="0" w:type="auto"/>
          </w:tcPr>
          <w:p w14:paraId="2D0663F5" w14:textId="77777777" w:rsidR="00A77B3E" w:rsidRPr="00800D1B" w:rsidRDefault="00623E14" w:rsidP="00093C0E">
            <w:pPr>
              <w:spacing w:before="100" w:after="100"/>
              <w:ind w:left="-72"/>
              <w:rPr>
                <w:color w:val="000000"/>
                <w:sz w:val="20"/>
                <w:lang w:val="sv-SE"/>
              </w:rPr>
            </w:pPr>
            <w:r w:rsidRPr="00800D1B">
              <w:rPr>
                <w:color w:val="000000"/>
                <w:sz w:val="20"/>
                <w:lang w:val="sv-SE"/>
              </w:rPr>
              <w:t>4</w:t>
            </w:r>
          </w:p>
        </w:tc>
        <w:tc>
          <w:tcPr>
            <w:tcW w:w="0" w:type="auto"/>
          </w:tcPr>
          <w:p w14:paraId="2D0663F6" w14:textId="77777777" w:rsidR="00A77B3E" w:rsidRPr="00800D1B" w:rsidRDefault="00623E14" w:rsidP="00093C0E">
            <w:pPr>
              <w:spacing w:before="100" w:after="100"/>
              <w:ind w:left="-72"/>
              <w:rPr>
                <w:color w:val="000000"/>
                <w:sz w:val="20"/>
                <w:lang w:val="sv-SE"/>
              </w:rPr>
            </w:pPr>
            <w:r w:rsidRPr="00800D1B">
              <w:rPr>
                <w:color w:val="000000"/>
                <w:sz w:val="20"/>
                <w:lang w:val="sv-SE"/>
              </w:rPr>
              <w:t>RSO2.6</w:t>
            </w:r>
          </w:p>
        </w:tc>
        <w:tc>
          <w:tcPr>
            <w:tcW w:w="0" w:type="auto"/>
          </w:tcPr>
          <w:p w14:paraId="2D0663F7" w14:textId="77777777" w:rsidR="00A77B3E" w:rsidRPr="00800D1B" w:rsidRDefault="00623E14" w:rsidP="00093C0E">
            <w:pPr>
              <w:spacing w:before="100" w:after="100"/>
              <w:ind w:left="-72"/>
              <w:rPr>
                <w:color w:val="000000"/>
                <w:sz w:val="20"/>
                <w:lang w:val="sv-SE"/>
              </w:rPr>
            </w:pPr>
            <w:r w:rsidRPr="00800D1B">
              <w:rPr>
                <w:color w:val="000000"/>
                <w:sz w:val="20"/>
                <w:lang w:val="sv-SE"/>
              </w:rPr>
              <w:t>Eruf</w:t>
            </w:r>
          </w:p>
        </w:tc>
        <w:tc>
          <w:tcPr>
            <w:tcW w:w="0" w:type="auto"/>
          </w:tcPr>
          <w:p w14:paraId="2D0663F8" w14:textId="77777777" w:rsidR="00A77B3E" w:rsidRPr="00800D1B" w:rsidRDefault="00623E14" w:rsidP="00093C0E">
            <w:pPr>
              <w:spacing w:before="100" w:after="100"/>
              <w:ind w:left="-72"/>
              <w:rPr>
                <w:color w:val="000000"/>
                <w:sz w:val="20"/>
                <w:lang w:val="sv-SE"/>
              </w:rPr>
            </w:pPr>
            <w:r w:rsidRPr="00800D1B">
              <w:rPr>
                <w:color w:val="000000"/>
                <w:sz w:val="20"/>
                <w:lang w:val="sv-SE"/>
              </w:rPr>
              <w:t>Mer utvecklade regioner</w:t>
            </w:r>
          </w:p>
        </w:tc>
        <w:tc>
          <w:tcPr>
            <w:tcW w:w="0" w:type="auto"/>
          </w:tcPr>
          <w:p w14:paraId="2D0663F9" w14:textId="77777777" w:rsidR="00A77B3E" w:rsidRPr="00800D1B" w:rsidRDefault="00623E14" w:rsidP="00093C0E">
            <w:pPr>
              <w:spacing w:before="100" w:after="100"/>
              <w:ind w:left="-72"/>
              <w:rPr>
                <w:color w:val="000000"/>
                <w:sz w:val="20"/>
                <w:lang w:val="sv-SE"/>
              </w:rPr>
            </w:pPr>
            <w:r w:rsidRPr="00800D1B">
              <w:rPr>
                <w:color w:val="000000"/>
                <w:sz w:val="20"/>
                <w:lang w:val="sv-SE"/>
              </w:rPr>
              <w:t>RCR03</w:t>
            </w:r>
          </w:p>
        </w:tc>
        <w:tc>
          <w:tcPr>
            <w:tcW w:w="0" w:type="auto"/>
          </w:tcPr>
          <w:p w14:paraId="2D0663FA" w14:textId="77777777" w:rsidR="00A77B3E" w:rsidRPr="00800D1B" w:rsidRDefault="00623E14" w:rsidP="00093C0E">
            <w:pPr>
              <w:spacing w:before="100" w:after="100"/>
              <w:ind w:left="-72"/>
              <w:rPr>
                <w:color w:val="000000"/>
                <w:sz w:val="20"/>
                <w:lang w:val="sv-SE"/>
              </w:rPr>
            </w:pPr>
            <w:r w:rsidRPr="00800D1B">
              <w:rPr>
                <w:color w:val="000000"/>
                <w:sz w:val="20"/>
                <w:lang w:val="sv-SE"/>
              </w:rPr>
              <w:t>Små och medelstora företag (SMF) som inför produkt- eller processinnovationer</w:t>
            </w:r>
          </w:p>
        </w:tc>
        <w:tc>
          <w:tcPr>
            <w:tcW w:w="0" w:type="auto"/>
          </w:tcPr>
          <w:p w14:paraId="2D0663FB" w14:textId="77777777" w:rsidR="00A77B3E" w:rsidRPr="00800D1B" w:rsidRDefault="00623E14" w:rsidP="00093C0E">
            <w:pPr>
              <w:spacing w:before="100" w:after="100"/>
              <w:ind w:left="-72"/>
              <w:rPr>
                <w:color w:val="000000"/>
                <w:sz w:val="20"/>
                <w:lang w:val="sv-SE"/>
              </w:rPr>
            </w:pPr>
            <w:r w:rsidRPr="00800D1B">
              <w:rPr>
                <w:color w:val="000000"/>
                <w:sz w:val="20"/>
                <w:lang w:val="sv-SE"/>
              </w:rPr>
              <w:t>företag</w:t>
            </w:r>
          </w:p>
        </w:tc>
        <w:tc>
          <w:tcPr>
            <w:tcW w:w="0" w:type="auto"/>
          </w:tcPr>
          <w:p w14:paraId="2D0663FC" w14:textId="77777777" w:rsidR="00A77B3E" w:rsidRPr="00800D1B" w:rsidRDefault="00623E14" w:rsidP="00093C0E">
            <w:pPr>
              <w:spacing w:before="100" w:after="100"/>
              <w:ind w:left="-72"/>
              <w:jc w:val="right"/>
              <w:rPr>
                <w:color w:val="000000"/>
                <w:sz w:val="20"/>
                <w:lang w:val="sv-SE"/>
              </w:rPr>
            </w:pPr>
            <w:r w:rsidRPr="00800D1B">
              <w:rPr>
                <w:color w:val="000000"/>
                <w:sz w:val="20"/>
                <w:lang w:val="sv-SE"/>
              </w:rPr>
              <w:t>0,00</w:t>
            </w:r>
          </w:p>
        </w:tc>
        <w:tc>
          <w:tcPr>
            <w:tcW w:w="0" w:type="auto"/>
          </w:tcPr>
          <w:p w14:paraId="2D0663FD" w14:textId="77777777" w:rsidR="00A77B3E" w:rsidRPr="00800D1B" w:rsidRDefault="00623E14" w:rsidP="00093C0E">
            <w:pPr>
              <w:spacing w:before="100" w:after="100"/>
              <w:ind w:left="-72"/>
              <w:jc w:val="center"/>
              <w:rPr>
                <w:color w:val="000000"/>
                <w:sz w:val="20"/>
                <w:lang w:val="sv-SE"/>
              </w:rPr>
            </w:pPr>
            <w:r w:rsidRPr="00800D1B">
              <w:rPr>
                <w:color w:val="000000"/>
                <w:sz w:val="20"/>
                <w:lang w:val="sv-SE"/>
              </w:rPr>
              <w:t>2021</w:t>
            </w:r>
          </w:p>
        </w:tc>
        <w:tc>
          <w:tcPr>
            <w:tcW w:w="0" w:type="auto"/>
          </w:tcPr>
          <w:p w14:paraId="2D0663FE" w14:textId="77777777" w:rsidR="00A77B3E" w:rsidRPr="00800D1B" w:rsidRDefault="00623E14" w:rsidP="00093C0E">
            <w:pPr>
              <w:spacing w:before="100" w:after="100"/>
              <w:ind w:left="-72"/>
              <w:jc w:val="right"/>
              <w:rPr>
                <w:color w:val="000000"/>
                <w:sz w:val="20"/>
                <w:lang w:val="sv-SE"/>
              </w:rPr>
            </w:pPr>
            <w:r w:rsidRPr="00800D1B">
              <w:rPr>
                <w:color w:val="000000"/>
                <w:sz w:val="20"/>
                <w:lang w:val="sv-SE"/>
              </w:rPr>
              <w:t>4,00</w:t>
            </w:r>
          </w:p>
        </w:tc>
        <w:tc>
          <w:tcPr>
            <w:tcW w:w="0" w:type="auto"/>
          </w:tcPr>
          <w:p w14:paraId="2D0663FF" w14:textId="77777777" w:rsidR="00A77B3E" w:rsidRPr="00800D1B" w:rsidRDefault="00623E14" w:rsidP="00093C0E">
            <w:pPr>
              <w:spacing w:before="100" w:after="100"/>
              <w:ind w:left="-72"/>
              <w:rPr>
                <w:color w:val="000000"/>
                <w:sz w:val="20"/>
                <w:lang w:val="sv-SE"/>
              </w:rPr>
            </w:pPr>
            <w:r w:rsidRPr="00800D1B">
              <w:rPr>
                <w:color w:val="000000"/>
                <w:sz w:val="20"/>
                <w:lang w:val="sv-SE"/>
              </w:rPr>
              <w:t>Projekt</w:t>
            </w:r>
          </w:p>
        </w:tc>
        <w:tc>
          <w:tcPr>
            <w:tcW w:w="0" w:type="auto"/>
          </w:tcPr>
          <w:p w14:paraId="2D066400" w14:textId="77777777" w:rsidR="00A77B3E" w:rsidRPr="00800D1B" w:rsidRDefault="00A77B3E" w:rsidP="00093C0E">
            <w:pPr>
              <w:spacing w:before="100" w:after="100"/>
              <w:ind w:left="-72"/>
              <w:rPr>
                <w:color w:val="000000"/>
                <w:sz w:val="20"/>
                <w:lang w:val="sv-SE"/>
              </w:rPr>
            </w:pPr>
          </w:p>
        </w:tc>
      </w:tr>
      <w:tr w:rsidR="003422DB" w:rsidRPr="00800D1B" w14:paraId="2D06640E" w14:textId="77777777" w:rsidTr="00093C0E">
        <w:tc>
          <w:tcPr>
            <w:tcW w:w="0" w:type="auto"/>
          </w:tcPr>
          <w:p w14:paraId="2D066402" w14:textId="77777777" w:rsidR="00A77B3E" w:rsidRPr="00800D1B" w:rsidRDefault="00623E14" w:rsidP="00093C0E">
            <w:pPr>
              <w:spacing w:before="100" w:after="100"/>
              <w:ind w:left="-72"/>
              <w:rPr>
                <w:color w:val="000000"/>
                <w:sz w:val="20"/>
                <w:lang w:val="sv-SE"/>
              </w:rPr>
            </w:pPr>
            <w:r w:rsidRPr="00800D1B">
              <w:rPr>
                <w:color w:val="000000"/>
                <w:sz w:val="20"/>
                <w:lang w:val="sv-SE"/>
              </w:rPr>
              <w:t>4</w:t>
            </w:r>
          </w:p>
        </w:tc>
        <w:tc>
          <w:tcPr>
            <w:tcW w:w="0" w:type="auto"/>
          </w:tcPr>
          <w:p w14:paraId="2D066403" w14:textId="77777777" w:rsidR="00A77B3E" w:rsidRPr="00800D1B" w:rsidRDefault="00623E14" w:rsidP="00093C0E">
            <w:pPr>
              <w:spacing w:before="100" w:after="100"/>
              <w:ind w:left="-72"/>
              <w:rPr>
                <w:color w:val="000000"/>
                <w:sz w:val="20"/>
                <w:lang w:val="sv-SE"/>
              </w:rPr>
            </w:pPr>
            <w:r w:rsidRPr="00800D1B">
              <w:rPr>
                <w:color w:val="000000"/>
                <w:sz w:val="20"/>
                <w:lang w:val="sv-SE"/>
              </w:rPr>
              <w:t>RSO2.6</w:t>
            </w:r>
          </w:p>
        </w:tc>
        <w:tc>
          <w:tcPr>
            <w:tcW w:w="0" w:type="auto"/>
          </w:tcPr>
          <w:p w14:paraId="2D066404" w14:textId="77777777" w:rsidR="00A77B3E" w:rsidRPr="00800D1B" w:rsidRDefault="00623E14" w:rsidP="00093C0E">
            <w:pPr>
              <w:spacing w:before="100" w:after="100"/>
              <w:ind w:left="-72"/>
              <w:rPr>
                <w:color w:val="000000"/>
                <w:sz w:val="20"/>
                <w:lang w:val="sv-SE"/>
              </w:rPr>
            </w:pPr>
            <w:r w:rsidRPr="00800D1B">
              <w:rPr>
                <w:color w:val="000000"/>
                <w:sz w:val="20"/>
                <w:lang w:val="sv-SE"/>
              </w:rPr>
              <w:t>Eruf</w:t>
            </w:r>
          </w:p>
        </w:tc>
        <w:tc>
          <w:tcPr>
            <w:tcW w:w="0" w:type="auto"/>
          </w:tcPr>
          <w:p w14:paraId="2D066405" w14:textId="77777777" w:rsidR="00A77B3E" w:rsidRPr="00800D1B" w:rsidRDefault="00623E14" w:rsidP="00093C0E">
            <w:pPr>
              <w:spacing w:before="100" w:after="100"/>
              <w:ind w:left="-72"/>
              <w:rPr>
                <w:color w:val="000000"/>
                <w:sz w:val="20"/>
                <w:lang w:val="sv-SE"/>
              </w:rPr>
            </w:pPr>
            <w:r w:rsidRPr="00800D1B">
              <w:rPr>
                <w:color w:val="000000"/>
                <w:sz w:val="20"/>
                <w:lang w:val="sv-SE"/>
              </w:rPr>
              <w:t>Mer utvecklade regioner</w:t>
            </w:r>
          </w:p>
        </w:tc>
        <w:tc>
          <w:tcPr>
            <w:tcW w:w="0" w:type="auto"/>
          </w:tcPr>
          <w:p w14:paraId="2D066406" w14:textId="77777777" w:rsidR="00A77B3E" w:rsidRPr="00800D1B" w:rsidRDefault="00623E14" w:rsidP="00093C0E">
            <w:pPr>
              <w:spacing w:before="100" w:after="100"/>
              <w:ind w:left="-72"/>
              <w:rPr>
                <w:color w:val="000000"/>
                <w:sz w:val="20"/>
                <w:lang w:val="sv-SE"/>
              </w:rPr>
            </w:pPr>
            <w:r w:rsidRPr="00800D1B">
              <w:rPr>
                <w:color w:val="000000"/>
                <w:sz w:val="20"/>
                <w:lang w:val="sv-SE"/>
              </w:rPr>
              <w:t>RCR04</w:t>
            </w:r>
          </w:p>
        </w:tc>
        <w:tc>
          <w:tcPr>
            <w:tcW w:w="0" w:type="auto"/>
          </w:tcPr>
          <w:p w14:paraId="2D066407" w14:textId="77777777" w:rsidR="00A77B3E" w:rsidRPr="00800D1B" w:rsidRDefault="00623E14" w:rsidP="00093C0E">
            <w:pPr>
              <w:spacing w:before="100" w:after="100"/>
              <w:ind w:left="-72"/>
              <w:rPr>
                <w:color w:val="000000"/>
                <w:sz w:val="20"/>
                <w:lang w:val="sv-SE"/>
              </w:rPr>
            </w:pPr>
            <w:r w:rsidRPr="00800D1B">
              <w:rPr>
                <w:color w:val="000000"/>
                <w:sz w:val="20"/>
                <w:lang w:val="sv-SE"/>
              </w:rPr>
              <w:t>Små och medelstora företag som inför marknadsförings- eller organisationsinnovationer</w:t>
            </w:r>
          </w:p>
        </w:tc>
        <w:tc>
          <w:tcPr>
            <w:tcW w:w="0" w:type="auto"/>
          </w:tcPr>
          <w:p w14:paraId="2D066408" w14:textId="77777777" w:rsidR="00A77B3E" w:rsidRPr="00800D1B" w:rsidRDefault="00623E14" w:rsidP="00093C0E">
            <w:pPr>
              <w:spacing w:before="100" w:after="100"/>
              <w:ind w:left="-72"/>
              <w:rPr>
                <w:color w:val="000000"/>
                <w:sz w:val="20"/>
                <w:lang w:val="sv-SE"/>
              </w:rPr>
            </w:pPr>
            <w:r w:rsidRPr="00800D1B">
              <w:rPr>
                <w:color w:val="000000"/>
                <w:sz w:val="20"/>
                <w:lang w:val="sv-SE"/>
              </w:rPr>
              <w:t>företag</w:t>
            </w:r>
          </w:p>
        </w:tc>
        <w:tc>
          <w:tcPr>
            <w:tcW w:w="0" w:type="auto"/>
          </w:tcPr>
          <w:p w14:paraId="2D066409" w14:textId="77777777" w:rsidR="00A77B3E" w:rsidRPr="00800D1B" w:rsidRDefault="00623E14" w:rsidP="00093C0E">
            <w:pPr>
              <w:spacing w:before="100" w:after="100"/>
              <w:ind w:left="-72"/>
              <w:jc w:val="right"/>
              <w:rPr>
                <w:color w:val="000000"/>
                <w:sz w:val="20"/>
                <w:lang w:val="sv-SE"/>
              </w:rPr>
            </w:pPr>
            <w:r w:rsidRPr="00800D1B">
              <w:rPr>
                <w:color w:val="000000"/>
                <w:sz w:val="20"/>
                <w:lang w:val="sv-SE"/>
              </w:rPr>
              <w:t>0,00</w:t>
            </w:r>
          </w:p>
        </w:tc>
        <w:tc>
          <w:tcPr>
            <w:tcW w:w="0" w:type="auto"/>
          </w:tcPr>
          <w:p w14:paraId="2D06640A" w14:textId="77777777" w:rsidR="00A77B3E" w:rsidRPr="00800D1B" w:rsidRDefault="00623E14" w:rsidP="00093C0E">
            <w:pPr>
              <w:spacing w:before="100" w:after="100"/>
              <w:ind w:left="-72"/>
              <w:jc w:val="center"/>
              <w:rPr>
                <w:color w:val="000000"/>
                <w:sz w:val="20"/>
                <w:lang w:val="sv-SE"/>
              </w:rPr>
            </w:pPr>
            <w:r w:rsidRPr="00800D1B">
              <w:rPr>
                <w:color w:val="000000"/>
                <w:sz w:val="20"/>
                <w:lang w:val="sv-SE"/>
              </w:rPr>
              <w:t>2021</w:t>
            </w:r>
          </w:p>
        </w:tc>
        <w:tc>
          <w:tcPr>
            <w:tcW w:w="0" w:type="auto"/>
          </w:tcPr>
          <w:p w14:paraId="2D06640B" w14:textId="77777777" w:rsidR="00A77B3E" w:rsidRPr="00800D1B" w:rsidRDefault="00623E14" w:rsidP="00093C0E">
            <w:pPr>
              <w:spacing w:before="100" w:after="100"/>
              <w:ind w:left="-72"/>
              <w:jc w:val="right"/>
              <w:rPr>
                <w:color w:val="000000"/>
                <w:sz w:val="20"/>
                <w:lang w:val="sv-SE"/>
              </w:rPr>
            </w:pPr>
            <w:r w:rsidRPr="00800D1B">
              <w:rPr>
                <w:color w:val="000000"/>
                <w:sz w:val="20"/>
                <w:lang w:val="sv-SE"/>
              </w:rPr>
              <w:t>4,00</w:t>
            </w:r>
          </w:p>
        </w:tc>
        <w:tc>
          <w:tcPr>
            <w:tcW w:w="0" w:type="auto"/>
          </w:tcPr>
          <w:p w14:paraId="2D06640C" w14:textId="77777777" w:rsidR="00A77B3E" w:rsidRPr="00800D1B" w:rsidRDefault="00623E14" w:rsidP="00093C0E">
            <w:pPr>
              <w:spacing w:before="100" w:after="100"/>
              <w:ind w:left="-72"/>
              <w:rPr>
                <w:color w:val="000000"/>
                <w:sz w:val="20"/>
                <w:lang w:val="sv-SE"/>
              </w:rPr>
            </w:pPr>
            <w:r w:rsidRPr="00800D1B">
              <w:rPr>
                <w:color w:val="000000"/>
                <w:sz w:val="20"/>
                <w:lang w:val="sv-SE"/>
              </w:rPr>
              <w:t>Projekt</w:t>
            </w:r>
          </w:p>
        </w:tc>
        <w:tc>
          <w:tcPr>
            <w:tcW w:w="0" w:type="auto"/>
          </w:tcPr>
          <w:p w14:paraId="2D06640D" w14:textId="77777777" w:rsidR="00A77B3E" w:rsidRPr="00800D1B" w:rsidRDefault="00A77B3E" w:rsidP="00093C0E">
            <w:pPr>
              <w:spacing w:before="100" w:after="100"/>
              <w:ind w:left="-72"/>
              <w:rPr>
                <w:color w:val="000000"/>
                <w:sz w:val="20"/>
                <w:lang w:val="sv-SE"/>
              </w:rPr>
            </w:pPr>
          </w:p>
        </w:tc>
      </w:tr>
      <w:tr w:rsidR="003422DB" w:rsidRPr="00800D1B" w14:paraId="2D06641B" w14:textId="77777777" w:rsidTr="00093C0E">
        <w:tc>
          <w:tcPr>
            <w:tcW w:w="0" w:type="auto"/>
          </w:tcPr>
          <w:p w14:paraId="2D06640F" w14:textId="77777777" w:rsidR="00A77B3E" w:rsidRPr="00800D1B" w:rsidRDefault="00623E14" w:rsidP="00093C0E">
            <w:pPr>
              <w:spacing w:before="100" w:after="100"/>
              <w:ind w:left="-72"/>
              <w:rPr>
                <w:color w:val="000000"/>
                <w:sz w:val="20"/>
                <w:lang w:val="sv-SE"/>
              </w:rPr>
            </w:pPr>
            <w:r w:rsidRPr="00800D1B">
              <w:rPr>
                <w:color w:val="000000"/>
                <w:sz w:val="20"/>
                <w:lang w:val="sv-SE"/>
              </w:rPr>
              <w:t>4</w:t>
            </w:r>
          </w:p>
        </w:tc>
        <w:tc>
          <w:tcPr>
            <w:tcW w:w="0" w:type="auto"/>
          </w:tcPr>
          <w:p w14:paraId="2D066410" w14:textId="77777777" w:rsidR="00A77B3E" w:rsidRPr="00800D1B" w:rsidRDefault="00623E14" w:rsidP="00093C0E">
            <w:pPr>
              <w:spacing w:before="100" w:after="100"/>
              <w:ind w:left="-72"/>
              <w:rPr>
                <w:color w:val="000000"/>
                <w:sz w:val="20"/>
                <w:lang w:val="sv-SE"/>
              </w:rPr>
            </w:pPr>
            <w:r w:rsidRPr="00800D1B">
              <w:rPr>
                <w:color w:val="000000"/>
                <w:sz w:val="20"/>
                <w:lang w:val="sv-SE"/>
              </w:rPr>
              <w:t>RSO2.6</w:t>
            </w:r>
          </w:p>
        </w:tc>
        <w:tc>
          <w:tcPr>
            <w:tcW w:w="0" w:type="auto"/>
          </w:tcPr>
          <w:p w14:paraId="2D066411" w14:textId="77777777" w:rsidR="00A77B3E" w:rsidRPr="00800D1B" w:rsidRDefault="00623E14" w:rsidP="00093C0E">
            <w:pPr>
              <w:spacing w:before="100" w:after="100"/>
              <w:ind w:left="-72"/>
              <w:rPr>
                <w:color w:val="000000"/>
                <w:sz w:val="20"/>
                <w:lang w:val="sv-SE"/>
              </w:rPr>
            </w:pPr>
            <w:r w:rsidRPr="00800D1B">
              <w:rPr>
                <w:color w:val="000000"/>
                <w:sz w:val="20"/>
                <w:lang w:val="sv-SE"/>
              </w:rPr>
              <w:t>Eruf</w:t>
            </w:r>
          </w:p>
        </w:tc>
        <w:tc>
          <w:tcPr>
            <w:tcW w:w="0" w:type="auto"/>
          </w:tcPr>
          <w:p w14:paraId="2D066412" w14:textId="77777777" w:rsidR="00A77B3E" w:rsidRPr="00800D1B" w:rsidRDefault="00623E14" w:rsidP="00093C0E">
            <w:pPr>
              <w:spacing w:before="100" w:after="100"/>
              <w:ind w:left="-72"/>
              <w:rPr>
                <w:color w:val="000000"/>
                <w:sz w:val="20"/>
                <w:lang w:val="sv-SE"/>
              </w:rPr>
            </w:pPr>
            <w:r w:rsidRPr="00800D1B">
              <w:rPr>
                <w:color w:val="000000"/>
                <w:sz w:val="20"/>
                <w:lang w:val="sv-SE"/>
              </w:rPr>
              <w:t>Mer utvecklade regioner</w:t>
            </w:r>
          </w:p>
        </w:tc>
        <w:tc>
          <w:tcPr>
            <w:tcW w:w="0" w:type="auto"/>
          </w:tcPr>
          <w:p w14:paraId="2D066413" w14:textId="77777777" w:rsidR="00A77B3E" w:rsidRPr="00800D1B" w:rsidRDefault="00623E14" w:rsidP="00093C0E">
            <w:pPr>
              <w:spacing w:before="100" w:after="100"/>
              <w:ind w:left="-72"/>
              <w:rPr>
                <w:color w:val="000000"/>
                <w:sz w:val="20"/>
                <w:lang w:val="sv-SE"/>
              </w:rPr>
            </w:pPr>
            <w:r w:rsidRPr="00800D1B">
              <w:rPr>
                <w:color w:val="000000"/>
                <w:sz w:val="20"/>
                <w:lang w:val="sv-SE"/>
              </w:rPr>
              <w:t>RCR05</w:t>
            </w:r>
          </w:p>
        </w:tc>
        <w:tc>
          <w:tcPr>
            <w:tcW w:w="0" w:type="auto"/>
          </w:tcPr>
          <w:p w14:paraId="2D066414" w14:textId="77777777" w:rsidR="00A77B3E" w:rsidRPr="00800D1B" w:rsidRDefault="00623E14" w:rsidP="00093C0E">
            <w:pPr>
              <w:spacing w:before="100" w:after="100"/>
              <w:ind w:left="-72"/>
              <w:rPr>
                <w:color w:val="000000"/>
                <w:sz w:val="20"/>
                <w:lang w:val="sv-SE"/>
              </w:rPr>
            </w:pPr>
            <w:r w:rsidRPr="00800D1B">
              <w:rPr>
                <w:color w:val="000000"/>
                <w:sz w:val="20"/>
                <w:lang w:val="sv-SE"/>
              </w:rPr>
              <w:t>Små och medelstora företag som gör innovationer inom företaget</w:t>
            </w:r>
          </w:p>
        </w:tc>
        <w:tc>
          <w:tcPr>
            <w:tcW w:w="0" w:type="auto"/>
          </w:tcPr>
          <w:p w14:paraId="2D066415" w14:textId="77777777" w:rsidR="00A77B3E" w:rsidRPr="00800D1B" w:rsidRDefault="00623E14" w:rsidP="00093C0E">
            <w:pPr>
              <w:spacing w:before="100" w:after="100"/>
              <w:ind w:left="-72"/>
              <w:rPr>
                <w:color w:val="000000"/>
                <w:sz w:val="20"/>
                <w:lang w:val="sv-SE"/>
              </w:rPr>
            </w:pPr>
            <w:r w:rsidRPr="00800D1B">
              <w:rPr>
                <w:color w:val="000000"/>
                <w:sz w:val="20"/>
                <w:lang w:val="sv-SE"/>
              </w:rPr>
              <w:t>företag</w:t>
            </w:r>
          </w:p>
        </w:tc>
        <w:tc>
          <w:tcPr>
            <w:tcW w:w="0" w:type="auto"/>
          </w:tcPr>
          <w:p w14:paraId="2D066416" w14:textId="77777777" w:rsidR="00A77B3E" w:rsidRPr="00800D1B" w:rsidRDefault="00623E14" w:rsidP="00093C0E">
            <w:pPr>
              <w:spacing w:before="100" w:after="100"/>
              <w:ind w:left="-72"/>
              <w:jc w:val="right"/>
              <w:rPr>
                <w:color w:val="000000"/>
                <w:sz w:val="20"/>
                <w:lang w:val="sv-SE"/>
              </w:rPr>
            </w:pPr>
            <w:r w:rsidRPr="00800D1B">
              <w:rPr>
                <w:color w:val="000000"/>
                <w:sz w:val="20"/>
                <w:lang w:val="sv-SE"/>
              </w:rPr>
              <w:t>0,00</w:t>
            </w:r>
          </w:p>
        </w:tc>
        <w:tc>
          <w:tcPr>
            <w:tcW w:w="0" w:type="auto"/>
          </w:tcPr>
          <w:p w14:paraId="2D066417" w14:textId="77777777" w:rsidR="00A77B3E" w:rsidRPr="00800D1B" w:rsidRDefault="00623E14" w:rsidP="00093C0E">
            <w:pPr>
              <w:spacing w:before="100" w:after="100"/>
              <w:ind w:left="-72"/>
              <w:jc w:val="center"/>
              <w:rPr>
                <w:color w:val="000000"/>
                <w:sz w:val="20"/>
                <w:lang w:val="sv-SE"/>
              </w:rPr>
            </w:pPr>
            <w:r w:rsidRPr="00800D1B">
              <w:rPr>
                <w:color w:val="000000"/>
                <w:sz w:val="20"/>
                <w:lang w:val="sv-SE"/>
              </w:rPr>
              <w:t>2021</w:t>
            </w:r>
          </w:p>
        </w:tc>
        <w:tc>
          <w:tcPr>
            <w:tcW w:w="0" w:type="auto"/>
          </w:tcPr>
          <w:p w14:paraId="2D066418" w14:textId="77777777" w:rsidR="00A77B3E" w:rsidRPr="00800D1B" w:rsidRDefault="00623E14" w:rsidP="00093C0E">
            <w:pPr>
              <w:spacing w:before="100" w:after="100"/>
              <w:ind w:left="-72"/>
              <w:jc w:val="right"/>
              <w:rPr>
                <w:color w:val="000000"/>
                <w:sz w:val="20"/>
                <w:lang w:val="sv-SE"/>
              </w:rPr>
            </w:pPr>
            <w:r w:rsidRPr="00800D1B">
              <w:rPr>
                <w:color w:val="000000"/>
                <w:sz w:val="20"/>
                <w:lang w:val="sv-SE"/>
              </w:rPr>
              <w:t>6,00</w:t>
            </w:r>
          </w:p>
        </w:tc>
        <w:tc>
          <w:tcPr>
            <w:tcW w:w="0" w:type="auto"/>
          </w:tcPr>
          <w:p w14:paraId="2D066419" w14:textId="77777777" w:rsidR="00A77B3E" w:rsidRPr="00800D1B" w:rsidRDefault="00623E14" w:rsidP="00093C0E">
            <w:pPr>
              <w:spacing w:before="100" w:after="100"/>
              <w:ind w:left="-72"/>
              <w:rPr>
                <w:color w:val="000000"/>
                <w:sz w:val="20"/>
                <w:lang w:val="sv-SE"/>
              </w:rPr>
            </w:pPr>
            <w:r w:rsidRPr="00800D1B">
              <w:rPr>
                <w:color w:val="000000"/>
                <w:sz w:val="20"/>
                <w:lang w:val="sv-SE"/>
              </w:rPr>
              <w:t>Projekt</w:t>
            </w:r>
          </w:p>
        </w:tc>
        <w:tc>
          <w:tcPr>
            <w:tcW w:w="0" w:type="auto"/>
          </w:tcPr>
          <w:p w14:paraId="2D06641A" w14:textId="77777777" w:rsidR="00A77B3E" w:rsidRPr="00800D1B" w:rsidRDefault="00A77B3E" w:rsidP="00093C0E">
            <w:pPr>
              <w:spacing w:before="100" w:after="100"/>
              <w:ind w:left="-72"/>
              <w:rPr>
                <w:color w:val="000000"/>
                <w:sz w:val="20"/>
                <w:lang w:val="sv-SE"/>
              </w:rPr>
            </w:pPr>
          </w:p>
        </w:tc>
      </w:tr>
      <w:tr w:rsidR="003422DB" w:rsidRPr="00800D1B" w14:paraId="2D066428" w14:textId="77777777" w:rsidTr="00093C0E">
        <w:tc>
          <w:tcPr>
            <w:tcW w:w="0" w:type="auto"/>
          </w:tcPr>
          <w:p w14:paraId="2D06641C" w14:textId="77777777" w:rsidR="00A77B3E" w:rsidRPr="00800D1B" w:rsidRDefault="00623E14" w:rsidP="00093C0E">
            <w:pPr>
              <w:spacing w:before="100" w:after="100"/>
              <w:ind w:left="-72"/>
              <w:rPr>
                <w:color w:val="000000"/>
                <w:sz w:val="20"/>
                <w:lang w:val="sv-SE"/>
              </w:rPr>
            </w:pPr>
            <w:r w:rsidRPr="00800D1B">
              <w:rPr>
                <w:color w:val="000000"/>
                <w:sz w:val="20"/>
                <w:lang w:val="sv-SE"/>
              </w:rPr>
              <w:t>4</w:t>
            </w:r>
          </w:p>
        </w:tc>
        <w:tc>
          <w:tcPr>
            <w:tcW w:w="0" w:type="auto"/>
          </w:tcPr>
          <w:p w14:paraId="2D06641D" w14:textId="77777777" w:rsidR="00A77B3E" w:rsidRPr="00800D1B" w:rsidRDefault="00623E14" w:rsidP="00093C0E">
            <w:pPr>
              <w:spacing w:before="100" w:after="100"/>
              <w:ind w:left="-72"/>
              <w:rPr>
                <w:color w:val="000000"/>
                <w:sz w:val="20"/>
                <w:lang w:val="sv-SE"/>
              </w:rPr>
            </w:pPr>
            <w:r w:rsidRPr="00800D1B">
              <w:rPr>
                <w:color w:val="000000"/>
                <w:sz w:val="20"/>
                <w:lang w:val="sv-SE"/>
              </w:rPr>
              <w:t>RSO2.6</w:t>
            </w:r>
          </w:p>
        </w:tc>
        <w:tc>
          <w:tcPr>
            <w:tcW w:w="0" w:type="auto"/>
          </w:tcPr>
          <w:p w14:paraId="2D06641E" w14:textId="77777777" w:rsidR="00A77B3E" w:rsidRPr="00800D1B" w:rsidRDefault="00623E14" w:rsidP="00093C0E">
            <w:pPr>
              <w:spacing w:before="100" w:after="100"/>
              <w:ind w:left="-72"/>
              <w:rPr>
                <w:color w:val="000000"/>
                <w:sz w:val="20"/>
                <w:lang w:val="sv-SE"/>
              </w:rPr>
            </w:pPr>
            <w:r w:rsidRPr="00800D1B">
              <w:rPr>
                <w:color w:val="000000"/>
                <w:sz w:val="20"/>
                <w:lang w:val="sv-SE"/>
              </w:rPr>
              <w:t>Eruf</w:t>
            </w:r>
          </w:p>
        </w:tc>
        <w:tc>
          <w:tcPr>
            <w:tcW w:w="0" w:type="auto"/>
          </w:tcPr>
          <w:p w14:paraId="2D06641F" w14:textId="77777777" w:rsidR="00A77B3E" w:rsidRPr="00800D1B" w:rsidRDefault="00623E14" w:rsidP="00093C0E">
            <w:pPr>
              <w:spacing w:before="100" w:after="100"/>
              <w:ind w:left="-72"/>
              <w:rPr>
                <w:color w:val="000000"/>
                <w:sz w:val="20"/>
                <w:lang w:val="sv-SE"/>
              </w:rPr>
            </w:pPr>
            <w:r w:rsidRPr="00800D1B">
              <w:rPr>
                <w:color w:val="000000"/>
                <w:sz w:val="20"/>
                <w:lang w:val="sv-SE"/>
              </w:rPr>
              <w:t>Mer utvecklade regioner</w:t>
            </w:r>
          </w:p>
        </w:tc>
        <w:tc>
          <w:tcPr>
            <w:tcW w:w="0" w:type="auto"/>
          </w:tcPr>
          <w:p w14:paraId="2D066420" w14:textId="77777777" w:rsidR="00A77B3E" w:rsidRPr="00800D1B" w:rsidRDefault="00623E14" w:rsidP="00093C0E">
            <w:pPr>
              <w:spacing w:before="100" w:after="100"/>
              <w:ind w:left="-72"/>
              <w:rPr>
                <w:color w:val="000000"/>
                <w:sz w:val="20"/>
                <w:lang w:val="sv-SE"/>
              </w:rPr>
            </w:pPr>
            <w:r w:rsidRPr="00800D1B">
              <w:rPr>
                <w:color w:val="000000"/>
                <w:sz w:val="20"/>
                <w:lang w:val="sv-SE"/>
              </w:rPr>
              <w:t>RCR47</w:t>
            </w:r>
          </w:p>
        </w:tc>
        <w:tc>
          <w:tcPr>
            <w:tcW w:w="0" w:type="auto"/>
          </w:tcPr>
          <w:p w14:paraId="2D066421" w14:textId="77777777" w:rsidR="00A77B3E" w:rsidRPr="00800D1B" w:rsidRDefault="00623E14" w:rsidP="00093C0E">
            <w:pPr>
              <w:spacing w:before="100" w:after="100"/>
              <w:ind w:left="-72"/>
              <w:rPr>
                <w:color w:val="000000"/>
                <w:sz w:val="20"/>
                <w:lang w:val="sv-SE"/>
              </w:rPr>
            </w:pPr>
            <w:r w:rsidRPr="00800D1B">
              <w:rPr>
                <w:color w:val="000000"/>
                <w:sz w:val="20"/>
                <w:lang w:val="sv-SE"/>
              </w:rPr>
              <w:t>Avfall som återvinns</w:t>
            </w:r>
          </w:p>
        </w:tc>
        <w:tc>
          <w:tcPr>
            <w:tcW w:w="0" w:type="auto"/>
          </w:tcPr>
          <w:p w14:paraId="2D066422" w14:textId="77777777" w:rsidR="00A77B3E" w:rsidRPr="00800D1B" w:rsidRDefault="00623E14" w:rsidP="00093C0E">
            <w:pPr>
              <w:spacing w:before="100" w:after="100"/>
              <w:ind w:left="-72"/>
              <w:rPr>
                <w:color w:val="000000"/>
                <w:sz w:val="20"/>
                <w:lang w:val="sv-SE"/>
              </w:rPr>
            </w:pPr>
            <w:r w:rsidRPr="00800D1B">
              <w:rPr>
                <w:color w:val="000000"/>
                <w:sz w:val="20"/>
                <w:lang w:val="sv-SE"/>
              </w:rPr>
              <w:t>ton/år</w:t>
            </w:r>
          </w:p>
        </w:tc>
        <w:tc>
          <w:tcPr>
            <w:tcW w:w="0" w:type="auto"/>
          </w:tcPr>
          <w:p w14:paraId="2D066423" w14:textId="77777777" w:rsidR="00A77B3E" w:rsidRPr="00800D1B" w:rsidRDefault="00623E14" w:rsidP="00093C0E">
            <w:pPr>
              <w:spacing w:before="100" w:after="100"/>
              <w:ind w:left="-72"/>
              <w:jc w:val="right"/>
              <w:rPr>
                <w:color w:val="000000"/>
                <w:sz w:val="20"/>
                <w:lang w:val="sv-SE"/>
              </w:rPr>
            </w:pPr>
            <w:r w:rsidRPr="00800D1B">
              <w:rPr>
                <w:color w:val="000000"/>
                <w:sz w:val="20"/>
                <w:lang w:val="sv-SE"/>
              </w:rPr>
              <w:t>0,00</w:t>
            </w:r>
          </w:p>
        </w:tc>
        <w:tc>
          <w:tcPr>
            <w:tcW w:w="0" w:type="auto"/>
          </w:tcPr>
          <w:p w14:paraId="2D066424" w14:textId="77777777" w:rsidR="00A77B3E" w:rsidRPr="00800D1B" w:rsidRDefault="00623E14" w:rsidP="00093C0E">
            <w:pPr>
              <w:spacing w:before="100" w:after="100"/>
              <w:ind w:left="-72"/>
              <w:jc w:val="center"/>
              <w:rPr>
                <w:color w:val="000000"/>
                <w:sz w:val="20"/>
                <w:lang w:val="sv-SE"/>
              </w:rPr>
            </w:pPr>
            <w:r w:rsidRPr="00800D1B">
              <w:rPr>
                <w:color w:val="000000"/>
                <w:sz w:val="20"/>
                <w:lang w:val="sv-SE"/>
              </w:rPr>
              <w:t>2021</w:t>
            </w:r>
          </w:p>
        </w:tc>
        <w:tc>
          <w:tcPr>
            <w:tcW w:w="0" w:type="auto"/>
          </w:tcPr>
          <w:p w14:paraId="2D066425" w14:textId="77777777" w:rsidR="00A77B3E" w:rsidRPr="00800D1B" w:rsidRDefault="00623E14" w:rsidP="00093C0E">
            <w:pPr>
              <w:spacing w:before="100" w:after="100"/>
              <w:ind w:left="-72"/>
              <w:jc w:val="right"/>
              <w:rPr>
                <w:color w:val="000000"/>
                <w:sz w:val="20"/>
                <w:lang w:val="sv-SE"/>
              </w:rPr>
            </w:pPr>
            <w:r w:rsidRPr="00800D1B">
              <w:rPr>
                <w:color w:val="000000"/>
                <w:sz w:val="20"/>
                <w:lang w:val="sv-SE"/>
              </w:rPr>
              <w:t>255 094,20</w:t>
            </w:r>
          </w:p>
        </w:tc>
        <w:tc>
          <w:tcPr>
            <w:tcW w:w="0" w:type="auto"/>
          </w:tcPr>
          <w:p w14:paraId="2D066426" w14:textId="77777777" w:rsidR="00A77B3E" w:rsidRPr="00800D1B" w:rsidRDefault="00623E14" w:rsidP="00093C0E">
            <w:pPr>
              <w:spacing w:before="100" w:after="100"/>
              <w:ind w:left="-72"/>
              <w:rPr>
                <w:color w:val="000000"/>
                <w:sz w:val="20"/>
                <w:lang w:val="sv-SE"/>
              </w:rPr>
            </w:pPr>
            <w:r w:rsidRPr="00800D1B">
              <w:rPr>
                <w:color w:val="000000"/>
                <w:sz w:val="20"/>
                <w:lang w:val="sv-SE"/>
              </w:rPr>
              <w:t>Projekt</w:t>
            </w:r>
          </w:p>
        </w:tc>
        <w:tc>
          <w:tcPr>
            <w:tcW w:w="0" w:type="auto"/>
          </w:tcPr>
          <w:p w14:paraId="2D066427" w14:textId="77777777" w:rsidR="00A77B3E" w:rsidRPr="00800D1B" w:rsidRDefault="00A77B3E" w:rsidP="00093C0E">
            <w:pPr>
              <w:spacing w:before="100" w:after="100"/>
              <w:ind w:left="-72"/>
              <w:rPr>
                <w:color w:val="000000"/>
                <w:sz w:val="20"/>
                <w:lang w:val="sv-SE"/>
              </w:rPr>
            </w:pPr>
          </w:p>
        </w:tc>
      </w:tr>
      <w:tr w:rsidR="003422DB" w:rsidRPr="00800D1B" w14:paraId="2D066435" w14:textId="77777777" w:rsidTr="00093C0E">
        <w:tc>
          <w:tcPr>
            <w:tcW w:w="0" w:type="auto"/>
          </w:tcPr>
          <w:p w14:paraId="2D066429" w14:textId="77777777" w:rsidR="00A77B3E" w:rsidRPr="00800D1B" w:rsidRDefault="00623E14" w:rsidP="00093C0E">
            <w:pPr>
              <w:spacing w:before="100" w:after="100"/>
              <w:ind w:left="-72"/>
              <w:rPr>
                <w:color w:val="000000"/>
                <w:sz w:val="20"/>
                <w:lang w:val="sv-SE"/>
              </w:rPr>
            </w:pPr>
            <w:r w:rsidRPr="00800D1B">
              <w:rPr>
                <w:color w:val="000000"/>
                <w:sz w:val="20"/>
                <w:lang w:val="sv-SE"/>
              </w:rPr>
              <w:t>4</w:t>
            </w:r>
          </w:p>
        </w:tc>
        <w:tc>
          <w:tcPr>
            <w:tcW w:w="0" w:type="auto"/>
          </w:tcPr>
          <w:p w14:paraId="2D06642A" w14:textId="77777777" w:rsidR="00A77B3E" w:rsidRPr="00800D1B" w:rsidRDefault="00623E14" w:rsidP="00093C0E">
            <w:pPr>
              <w:spacing w:before="100" w:after="100"/>
              <w:ind w:left="-72"/>
              <w:rPr>
                <w:color w:val="000000"/>
                <w:sz w:val="20"/>
                <w:lang w:val="sv-SE"/>
              </w:rPr>
            </w:pPr>
            <w:r w:rsidRPr="00800D1B">
              <w:rPr>
                <w:color w:val="000000"/>
                <w:sz w:val="20"/>
                <w:lang w:val="sv-SE"/>
              </w:rPr>
              <w:t>RSO2.6</w:t>
            </w:r>
          </w:p>
        </w:tc>
        <w:tc>
          <w:tcPr>
            <w:tcW w:w="0" w:type="auto"/>
          </w:tcPr>
          <w:p w14:paraId="2D06642B" w14:textId="77777777" w:rsidR="00A77B3E" w:rsidRPr="00800D1B" w:rsidRDefault="00623E14" w:rsidP="00093C0E">
            <w:pPr>
              <w:spacing w:before="100" w:after="100"/>
              <w:ind w:left="-72"/>
              <w:rPr>
                <w:color w:val="000000"/>
                <w:sz w:val="20"/>
                <w:lang w:val="sv-SE"/>
              </w:rPr>
            </w:pPr>
            <w:r w:rsidRPr="00800D1B">
              <w:rPr>
                <w:color w:val="000000"/>
                <w:sz w:val="20"/>
                <w:lang w:val="sv-SE"/>
              </w:rPr>
              <w:t>Eruf</w:t>
            </w:r>
          </w:p>
        </w:tc>
        <w:tc>
          <w:tcPr>
            <w:tcW w:w="0" w:type="auto"/>
          </w:tcPr>
          <w:p w14:paraId="2D06642C" w14:textId="77777777" w:rsidR="00A77B3E" w:rsidRPr="00800D1B" w:rsidRDefault="00623E14" w:rsidP="00093C0E">
            <w:pPr>
              <w:spacing w:before="100" w:after="100"/>
              <w:ind w:left="-72"/>
              <w:rPr>
                <w:color w:val="000000"/>
                <w:sz w:val="20"/>
                <w:lang w:val="sv-SE"/>
              </w:rPr>
            </w:pPr>
            <w:r w:rsidRPr="00800D1B">
              <w:rPr>
                <w:color w:val="000000"/>
                <w:sz w:val="20"/>
                <w:lang w:val="sv-SE"/>
              </w:rPr>
              <w:t>Mer utvecklade regioner</w:t>
            </w:r>
          </w:p>
        </w:tc>
        <w:tc>
          <w:tcPr>
            <w:tcW w:w="0" w:type="auto"/>
          </w:tcPr>
          <w:p w14:paraId="2D06642D" w14:textId="77777777" w:rsidR="00A77B3E" w:rsidRPr="00800D1B" w:rsidRDefault="00623E14" w:rsidP="00093C0E">
            <w:pPr>
              <w:spacing w:before="100" w:after="100"/>
              <w:ind w:left="-72"/>
              <w:rPr>
                <w:color w:val="000000"/>
                <w:sz w:val="20"/>
                <w:lang w:val="sv-SE"/>
              </w:rPr>
            </w:pPr>
            <w:r w:rsidRPr="00800D1B">
              <w:rPr>
                <w:color w:val="000000"/>
                <w:sz w:val="20"/>
                <w:lang w:val="sv-SE"/>
              </w:rPr>
              <w:t>SWR01b</w:t>
            </w:r>
          </w:p>
        </w:tc>
        <w:tc>
          <w:tcPr>
            <w:tcW w:w="0" w:type="auto"/>
          </w:tcPr>
          <w:p w14:paraId="2D06642E" w14:textId="77777777" w:rsidR="00A77B3E" w:rsidRPr="00800D1B" w:rsidRDefault="00623E14" w:rsidP="00093C0E">
            <w:pPr>
              <w:spacing w:before="100" w:after="100"/>
              <w:ind w:left="-72"/>
              <w:rPr>
                <w:color w:val="000000"/>
                <w:sz w:val="20"/>
                <w:lang w:val="sv-SE"/>
              </w:rPr>
            </w:pPr>
            <w:r w:rsidRPr="00800D1B">
              <w:rPr>
                <w:color w:val="000000"/>
                <w:sz w:val="20"/>
                <w:lang w:val="sv-SE"/>
              </w:rPr>
              <w:t>SMF som utvecklar cirkulära produkter processer och affärsmodeller</w:t>
            </w:r>
          </w:p>
        </w:tc>
        <w:tc>
          <w:tcPr>
            <w:tcW w:w="0" w:type="auto"/>
          </w:tcPr>
          <w:p w14:paraId="2D06642F" w14:textId="77777777" w:rsidR="00A77B3E" w:rsidRPr="00800D1B" w:rsidRDefault="00623E14" w:rsidP="00093C0E">
            <w:pPr>
              <w:spacing w:before="100" w:after="100"/>
              <w:ind w:left="-72"/>
              <w:rPr>
                <w:color w:val="000000"/>
                <w:sz w:val="20"/>
                <w:lang w:val="sv-SE"/>
              </w:rPr>
            </w:pPr>
            <w:r w:rsidRPr="00800D1B">
              <w:rPr>
                <w:color w:val="000000"/>
                <w:sz w:val="20"/>
                <w:lang w:val="sv-SE"/>
              </w:rPr>
              <w:t>Företag</w:t>
            </w:r>
          </w:p>
        </w:tc>
        <w:tc>
          <w:tcPr>
            <w:tcW w:w="0" w:type="auto"/>
          </w:tcPr>
          <w:p w14:paraId="2D066430" w14:textId="77777777" w:rsidR="00A77B3E" w:rsidRPr="00800D1B" w:rsidRDefault="00623E14" w:rsidP="00093C0E">
            <w:pPr>
              <w:spacing w:before="100" w:after="100"/>
              <w:ind w:left="-72"/>
              <w:jc w:val="right"/>
              <w:rPr>
                <w:color w:val="000000"/>
                <w:sz w:val="20"/>
                <w:lang w:val="sv-SE"/>
              </w:rPr>
            </w:pPr>
            <w:r w:rsidRPr="00800D1B">
              <w:rPr>
                <w:color w:val="000000"/>
                <w:sz w:val="20"/>
                <w:lang w:val="sv-SE"/>
              </w:rPr>
              <w:t>0,00</w:t>
            </w:r>
          </w:p>
        </w:tc>
        <w:tc>
          <w:tcPr>
            <w:tcW w:w="0" w:type="auto"/>
          </w:tcPr>
          <w:p w14:paraId="2D066431" w14:textId="77777777" w:rsidR="00A77B3E" w:rsidRPr="00800D1B" w:rsidRDefault="00623E14" w:rsidP="00093C0E">
            <w:pPr>
              <w:spacing w:before="100" w:after="100"/>
              <w:ind w:left="-72"/>
              <w:jc w:val="center"/>
              <w:rPr>
                <w:color w:val="000000"/>
                <w:sz w:val="20"/>
                <w:lang w:val="sv-SE"/>
              </w:rPr>
            </w:pPr>
            <w:r w:rsidRPr="00800D1B">
              <w:rPr>
                <w:color w:val="000000"/>
                <w:sz w:val="20"/>
                <w:lang w:val="sv-SE"/>
              </w:rPr>
              <w:t>2021</w:t>
            </w:r>
          </w:p>
        </w:tc>
        <w:tc>
          <w:tcPr>
            <w:tcW w:w="0" w:type="auto"/>
          </w:tcPr>
          <w:p w14:paraId="2D066432" w14:textId="77777777" w:rsidR="00A77B3E" w:rsidRPr="00800D1B" w:rsidRDefault="00623E14" w:rsidP="00093C0E">
            <w:pPr>
              <w:spacing w:before="100" w:after="100"/>
              <w:ind w:left="-72"/>
              <w:jc w:val="right"/>
              <w:rPr>
                <w:color w:val="000000"/>
                <w:sz w:val="20"/>
                <w:lang w:val="sv-SE"/>
              </w:rPr>
            </w:pPr>
            <w:r w:rsidRPr="00800D1B">
              <w:rPr>
                <w:color w:val="000000"/>
                <w:sz w:val="20"/>
                <w:lang w:val="sv-SE"/>
              </w:rPr>
              <w:t>48,00</w:t>
            </w:r>
          </w:p>
        </w:tc>
        <w:tc>
          <w:tcPr>
            <w:tcW w:w="0" w:type="auto"/>
          </w:tcPr>
          <w:p w14:paraId="2D066433" w14:textId="77777777" w:rsidR="00A77B3E" w:rsidRPr="00800D1B" w:rsidRDefault="00623E14" w:rsidP="00093C0E">
            <w:pPr>
              <w:spacing w:before="100" w:after="100"/>
              <w:ind w:left="-72"/>
              <w:rPr>
                <w:color w:val="000000"/>
                <w:sz w:val="20"/>
                <w:lang w:val="sv-SE"/>
              </w:rPr>
            </w:pPr>
            <w:r w:rsidRPr="00800D1B">
              <w:rPr>
                <w:color w:val="000000"/>
                <w:sz w:val="20"/>
                <w:lang w:val="sv-SE"/>
              </w:rPr>
              <w:t>Projekt</w:t>
            </w:r>
          </w:p>
        </w:tc>
        <w:tc>
          <w:tcPr>
            <w:tcW w:w="0" w:type="auto"/>
          </w:tcPr>
          <w:p w14:paraId="2D066434" w14:textId="77777777" w:rsidR="00A77B3E" w:rsidRPr="00800D1B" w:rsidRDefault="00A77B3E" w:rsidP="00093C0E">
            <w:pPr>
              <w:spacing w:before="100" w:after="100"/>
              <w:ind w:left="-72"/>
              <w:rPr>
                <w:color w:val="000000"/>
                <w:sz w:val="20"/>
                <w:lang w:val="sv-SE"/>
              </w:rPr>
            </w:pPr>
          </w:p>
        </w:tc>
      </w:tr>
      <w:tr w:rsidR="003422DB" w:rsidRPr="00800D1B" w14:paraId="2D066442" w14:textId="77777777" w:rsidTr="00093C0E">
        <w:tc>
          <w:tcPr>
            <w:tcW w:w="0" w:type="auto"/>
          </w:tcPr>
          <w:p w14:paraId="2D066436" w14:textId="77777777" w:rsidR="00A77B3E" w:rsidRPr="00800D1B" w:rsidRDefault="00623E14" w:rsidP="00093C0E">
            <w:pPr>
              <w:spacing w:before="100" w:after="100"/>
              <w:ind w:left="-72"/>
              <w:rPr>
                <w:color w:val="000000"/>
                <w:sz w:val="20"/>
                <w:lang w:val="sv-SE"/>
              </w:rPr>
            </w:pPr>
            <w:r w:rsidRPr="00800D1B">
              <w:rPr>
                <w:color w:val="000000"/>
                <w:sz w:val="20"/>
                <w:lang w:val="sv-SE"/>
              </w:rPr>
              <w:t>4</w:t>
            </w:r>
          </w:p>
        </w:tc>
        <w:tc>
          <w:tcPr>
            <w:tcW w:w="0" w:type="auto"/>
          </w:tcPr>
          <w:p w14:paraId="2D066437" w14:textId="77777777" w:rsidR="00A77B3E" w:rsidRPr="00800D1B" w:rsidRDefault="00623E14" w:rsidP="00093C0E">
            <w:pPr>
              <w:spacing w:before="100" w:after="100"/>
              <w:ind w:left="-72"/>
              <w:rPr>
                <w:color w:val="000000"/>
                <w:sz w:val="20"/>
                <w:lang w:val="sv-SE"/>
              </w:rPr>
            </w:pPr>
            <w:r w:rsidRPr="00800D1B">
              <w:rPr>
                <w:color w:val="000000"/>
                <w:sz w:val="20"/>
                <w:lang w:val="sv-SE"/>
              </w:rPr>
              <w:t>RSO2.6</w:t>
            </w:r>
          </w:p>
        </w:tc>
        <w:tc>
          <w:tcPr>
            <w:tcW w:w="0" w:type="auto"/>
          </w:tcPr>
          <w:p w14:paraId="2D066438" w14:textId="77777777" w:rsidR="00A77B3E" w:rsidRPr="00800D1B" w:rsidRDefault="00623E14" w:rsidP="00093C0E">
            <w:pPr>
              <w:spacing w:before="100" w:after="100"/>
              <w:ind w:left="-72"/>
              <w:rPr>
                <w:color w:val="000000"/>
                <w:sz w:val="20"/>
                <w:lang w:val="sv-SE"/>
              </w:rPr>
            </w:pPr>
            <w:r w:rsidRPr="00800D1B">
              <w:rPr>
                <w:color w:val="000000"/>
                <w:sz w:val="20"/>
                <w:lang w:val="sv-SE"/>
              </w:rPr>
              <w:t>Eruf</w:t>
            </w:r>
          </w:p>
        </w:tc>
        <w:tc>
          <w:tcPr>
            <w:tcW w:w="0" w:type="auto"/>
          </w:tcPr>
          <w:p w14:paraId="2D066439" w14:textId="77777777" w:rsidR="00A77B3E" w:rsidRPr="00800D1B" w:rsidRDefault="00623E14" w:rsidP="00093C0E">
            <w:pPr>
              <w:spacing w:before="100" w:after="100"/>
              <w:ind w:left="-72"/>
              <w:rPr>
                <w:color w:val="000000"/>
                <w:sz w:val="20"/>
                <w:lang w:val="sv-SE"/>
              </w:rPr>
            </w:pPr>
            <w:r w:rsidRPr="00800D1B">
              <w:rPr>
                <w:color w:val="000000"/>
                <w:sz w:val="20"/>
                <w:lang w:val="sv-SE"/>
              </w:rPr>
              <w:t>Mer utvecklade regioner</w:t>
            </w:r>
          </w:p>
        </w:tc>
        <w:tc>
          <w:tcPr>
            <w:tcW w:w="0" w:type="auto"/>
          </w:tcPr>
          <w:p w14:paraId="2D06643A" w14:textId="77777777" w:rsidR="00A77B3E" w:rsidRPr="00800D1B" w:rsidRDefault="00623E14" w:rsidP="00093C0E">
            <w:pPr>
              <w:spacing w:before="100" w:after="100"/>
              <w:ind w:left="-72"/>
              <w:rPr>
                <w:color w:val="000000"/>
                <w:sz w:val="20"/>
                <w:lang w:val="sv-SE"/>
              </w:rPr>
            </w:pPr>
            <w:r w:rsidRPr="00800D1B">
              <w:rPr>
                <w:color w:val="000000"/>
                <w:sz w:val="20"/>
                <w:lang w:val="sv-SE"/>
              </w:rPr>
              <w:t>SWR02</w:t>
            </w:r>
          </w:p>
        </w:tc>
        <w:tc>
          <w:tcPr>
            <w:tcW w:w="0" w:type="auto"/>
          </w:tcPr>
          <w:p w14:paraId="2D06643B" w14:textId="77777777" w:rsidR="00A77B3E" w:rsidRPr="00800D1B" w:rsidRDefault="00623E14" w:rsidP="00093C0E">
            <w:pPr>
              <w:spacing w:before="100" w:after="100"/>
              <w:ind w:left="-72"/>
              <w:rPr>
                <w:color w:val="000000"/>
                <w:sz w:val="20"/>
                <w:lang w:val="sv-SE"/>
              </w:rPr>
            </w:pPr>
            <w:r w:rsidRPr="00800D1B">
              <w:rPr>
                <w:color w:val="000000"/>
                <w:sz w:val="20"/>
                <w:lang w:val="sv-SE"/>
              </w:rPr>
              <w:t xml:space="preserve">Antal organisationer som utvecklar produkter, processer och tjänster </w:t>
            </w:r>
          </w:p>
        </w:tc>
        <w:tc>
          <w:tcPr>
            <w:tcW w:w="0" w:type="auto"/>
          </w:tcPr>
          <w:p w14:paraId="2D06643C" w14:textId="77777777" w:rsidR="00A77B3E" w:rsidRPr="00800D1B" w:rsidRDefault="00623E14" w:rsidP="00093C0E">
            <w:pPr>
              <w:spacing w:before="100" w:after="100"/>
              <w:ind w:left="-72"/>
              <w:rPr>
                <w:color w:val="000000"/>
                <w:sz w:val="20"/>
                <w:lang w:val="sv-SE"/>
              </w:rPr>
            </w:pPr>
            <w:r w:rsidRPr="00800D1B">
              <w:rPr>
                <w:color w:val="000000"/>
                <w:sz w:val="20"/>
                <w:lang w:val="sv-SE"/>
              </w:rPr>
              <w:t>Organisationer</w:t>
            </w:r>
          </w:p>
        </w:tc>
        <w:tc>
          <w:tcPr>
            <w:tcW w:w="0" w:type="auto"/>
          </w:tcPr>
          <w:p w14:paraId="2D06643D" w14:textId="77777777" w:rsidR="00A77B3E" w:rsidRPr="00800D1B" w:rsidRDefault="00623E14" w:rsidP="00093C0E">
            <w:pPr>
              <w:spacing w:before="100" w:after="100"/>
              <w:ind w:left="-72"/>
              <w:jc w:val="right"/>
              <w:rPr>
                <w:color w:val="000000"/>
                <w:sz w:val="20"/>
                <w:lang w:val="sv-SE"/>
              </w:rPr>
            </w:pPr>
            <w:r w:rsidRPr="00800D1B">
              <w:rPr>
                <w:color w:val="000000"/>
                <w:sz w:val="20"/>
                <w:lang w:val="sv-SE"/>
              </w:rPr>
              <w:t>0,00</w:t>
            </w:r>
          </w:p>
        </w:tc>
        <w:tc>
          <w:tcPr>
            <w:tcW w:w="0" w:type="auto"/>
          </w:tcPr>
          <w:p w14:paraId="2D06643E" w14:textId="77777777" w:rsidR="00A77B3E" w:rsidRPr="00800D1B" w:rsidRDefault="00623E14" w:rsidP="00093C0E">
            <w:pPr>
              <w:spacing w:before="100" w:after="100"/>
              <w:ind w:left="-72"/>
              <w:jc w:val="center"/>
              <w:rPr>
                <w:color w:val="000000"/>
                <w:sz w:val="20"/>
                <w:lang w:val="sv-SE"/>
              </w:rPr>
            </w:pPr>
            <w:r w:rsidRPr="00800D1B">
              <w:rPr>
                <w:color w:val="000000"/>
                <w:sz w:val="20"/>
                <w:lang w:val="sv-SE"/>
              </w:rPr>
              <w:t>2021</w:t>
            </w:r>
          </w:p>
        </w:tc>
        <w:tc>
          <w:tcPr>
            <w:tcW w:w="0" w:type="auto"/>
          </w:tcPr>
          <w:p w14:paraId="2D06643F" w14:textId="77777777" w:rsidR="00A77B3E" w:rsidRPr="00800D1B" w:rsidRDefault="00623E14" w:rsidP="00093C0E">
            <w:pPr>
              <w:spacing w:before="100" w:after="100"/>
              <w:ind w:left="-72"/>
              <w:jc w:val="right"/>
              <w:rPr>
                <w:color w:val="000000"/>
                <w:sz w:val="20"/>
                <w:lang w:val="sv-SE"/>
              </w:rPr>
            </w:pPr>
            <w:r w:rsidRPr="00800D1B">
              <w:rPr>
                <w:color w:val="000000"/>
                <w:sz w:val="20"/>
                <w:lang w:val="sv-SE"/>
              </w:rPr>
              <w:t>10,00</w:t>
            </w:r>
          </w:p>
        </w:tc>
        <w:tc>
          <w:tcPr>
            <w:tcW w:w="0" w:type="auto"/>
          </w:tcPr>
          <w:p w14:paraId="2D066440" w14:textId="77777777" w:rsidR="00A77B3E" w:rsidRPr="00800D1B" w:rsidRDefault="00623E14" w:rsidP="00093C0E">
            <w:pPr>
              <w:spacing w:before="100" w:after="100"/>
              <w:ind w:left="-72"/>
              <w:rPr>
                <w:color w:val="000000"/>
                <w:sz w:val="20"/>
                <w:lang w:val="sv-SE"/>
              </w:rPr>
            </w:pPr>
            <w:r w:rsidRPr="00800D1B">
              <w:rPr>
                <w:color w:val="000000"/>
                <w:sz w:val="20"/>
                <w:lang w:val="sv-SE"/>
              </w:rPr>
              <w:t>Projekt</w:t>
            </w:r>
          </w:p>
        </w:tc>
        <w:tc>
          <w:tcPr>
            <w:tcW w:w="0" w:type="auto"/>
          </w:tcPr>
          <w:p w14:paraId="2D066441" w14:textId="77777777" w:rsidR="00A77B3E" w:rsidRPr="00800D1B" w:rsidRDefault="00A77B3E" w:rsidP="00093C0E">
            <w:pPr>
              <w:spacing w:before="100" w:after="100"/>
              <w:ind w:left="-72"/>
              <w:rPr>
                <w:color w:val="000000"/>
                <w:sz w:val="20"/>
                <w:lang w:val="sv-SE"/>
              </w:rPr>
            </w:pPr>
          </w:p>
        </w:tc>
      </w:tr>
    </w:tbl>
    <w:p w14:paraId="2D066444" w14:textId="7B438A07" w:rsidR="00A77B3E" w:rsidRPr="00800D1B" w:rsidRDefault="00623E14" w:rsidP="00267E2F">
      <w:pPr>
        <w:pStyle w:val="Rubrik6"/>
        <w:numPr>
          <w:ilvl w:val="4"/>
          <w:numId w:val="36"/>
        </w:numPr>
        <w:spacing w:before="300"/>
        <w:ind w:left="360"/>
      </w:pPr>
      <w:bookmarkStart w:id="155" w:name="_Toc256000396"/>
      <w:r w:rsidRPr="00800D1B">
        <w:t>Preliminär fördelning av anslagna (EU-)medel efter interventionstyp</w:t>
      </w:r>
      <w:bookmarkEnd w:id="155"/>
    </w:p>
    <w:p w14:paraId="2D066445" w14:textId="77777777" w:rsidR="00A77B3E" w:rsidRPr="00800D1B" w:rsidRDefault="00A77B3E">
      <w:pPr>
        <w:spacing w:before="100"/>
        <w:rPr>
          <w:color w:val="000000"/>
          <w:sz w:val="0"/>
          <w:lang w:val="sv-SE"/>
        </w:rPr>
      </w:pPr>
    </w:p>
    <w:p w14:paraId="2D066446" w14:textId="77777777" w:rsidR="00A77B3E" w:rsidRPr="00800D1B" w:rsidRDefault="00623E14">
      <w:pPr>
        <w:spacing w:before="100"/>
        <w:rPr>
          <w:color w:val="000000"/>
          <w:sz w:val="0"/>
          <w:lang w:val="sv-SE"/>
        </w:rPr>
      </w:pPr>
      <w:r w:rsidRPr="00800D1B">
        <w:rPr>
          <w:color w:val="000000"/>
          <w:lang w:val="sv-SE"/>
        </w:rPr>
        <w:t>Referens: artikel 22.3 d viii i förordningen om gemensamma bestämmelser</w:t>
      </w:r>
    </w:p>
    <w:p w14:paraId="2D066447" w14:textId="11569374" w:rsidR="00A77B3E" w:rsidRPr="00800D1B" w:rsidRDefault="00623E14" w:rsidP="00267E2F">
      <w:pPr>
        <w:spacing w:before="100" w:after="100"/>
        <w:rPr>
          <w:lang w:val="sv-SE"/>
        </w:rPr>
      </w:pPr>
      <w:bookmarkStart w:id="156" w:name="_Toc256000397"/>
      <w:r w:rsidRPr="00800D1B">
        <w:rPr>
          <w:lang w:val="sv-SE"/>
        </w:rPr>
        <w:t>Tabell 4: Dimension 1 – interventionsområde</w:t>
      </w:r>
      <w:bookmarkEnd w:id="156"/>
    </w:p>
    <w:p w14:paraId="2D066448" w14:textId="77777777" w:rsidR="00A77B3E" w:rsidRPr="00800D1B" w:rsidRDefault="00A77B3E">
      <w:pPr>
        <w:spacing w:before="100"/>
        <w:rPr>
          <w:color w:val="000000"/>
          <w:sz w:val="0"/>
          <w:lang w:val="sv-SE"/>
        </w:rPr>
      </w:pPr>
    </w:p>
    <w:tbl>
      <w:tblPr>
        <w:tblStyle w:val="Tabellrutnt"/>
        <w:tblW w:w="5000" w:type="pct"/>
        <w:tblLook w:val="04A0" w:firstRow="1" w:lastRow="0" w:firstColumn="1" w:lastColumn="0" w:noHBand="0" w:noVBand="1"/>
        <w:tblDescription w:val="En tabell med sex kolumner: Prioritering; Specifikt mål; Fond; Regionkategori; Kod; Belopp (euro). Tabellen visar information om interventionsområde."/>
      </w:tblPr>
      <w:tblGrid>
        <w:gridCol w:w="1146"/>
        <w:gridCol w:w="1218"/>
        <w:gridCol w:w="700"/>
        <w:gridCol w:w="2029"/>
        <w:gridCol w:w="8754"/>
        <w:gridCol w:w="1325"/>
      </w:tblGrid>
      <w:tr w:rsidR="003422DB" w:rsidRPr="00800D1B" w14:paraId="2D06644F" w14:textId="77777777" w:rsidTr="00770E35">
        <w:tc>
          <w:tcPr>
            <w:tcW w:w="0" w:type="auto"/>
          </w:tcPr>
          <w:p w14:paraId="2D066449" w14:textId="77777777" w:rsidR="00A77B3E" w:rsidRPr="00800D1B" w:rsidRDefault="00623E14" w:rsidP="00770E35">
            <w:pPr>
              <w:spacing w:before="100" w:after="100"/>
              <w:ind w:left="-72"/>
              <w:jc w:val="center"/>
              <w:rPr>
                <w:color w:val="000000"/>
                <w:sz w:val="20"/>
                <w:lang w:val="sv-SE"/>
              </w:rPr>
            </w:pPr>
            <w:r w:rsidRPr="00800D1B">
              <w:rPr>
                <w:color w:val="000000"/>
                <w:sz w:val="20"/>
                <w:lang w:val="sv-SE"/>
              </w:rPr>
              <w:t>Prioritering</w:t>
            </w:r>
          </w:p>
        </w:tc>
        <w:tc>
          <w:tcPr>
            <w:tcW w:w="0" w:type="auto"/>
          </w:tcPr>
          <w:p w14:paraId="2D06644A" w14:textId="77777777" w:rsidR="00A77B3E" w:rsidRPr="00800D1B" w:rsidRDefault="00623E14" w:rsidP="00770E35">
            <w:pPr>
              <w:spacing w:before="100" w:after="100"/>
              <w:ind w:left="-72"/>
              <w:jc w:val="center"/>
              <w:rPr>
                <w:color w:val="000000"/>
                <w:sz w:val="20"/>
                <w:lang w:val="sv-SE"/>
              </w:rPr>
            </w:pPr>
            <w:r w:rsidRPr="00800D1B">
              <w:rPr>
                <w:color w:val="000000"/>
                <w:sz w:val="20"/>
                <w:lang w:val="sv-SE"/>
              </w:rPr>
              <w:t>Specifikt mål</w:t>
            </w:r>
          </w:p>
        </w:tc>
        <w:tc>
          <w:tcPr>
            <w:tcW w:w="0" w:type="auto"/>
          </w:tcPr>
          <w:p w14:paraId="2D06644B" w14:textId="77777777" w:rsidR="00A77B3E" w:rsidRPr="00800D1B" w:rsidRDefault="00623E14" w:rsidP="00770E35">
            <w:pPr>
              <w:spacing w:before="100" w:after="100"/>
              <w:ind w:left="-72"/>
              <w:jc w:val="center"/>
              <w:rPr>
                <w:color w:val="000000"/>
                <w:sz w:val="20"/>
                <w:lang w:val="sv-SE"/>
              </w:rPr>
            </w:pPr>
            <w:r w:rsidRPr="00800D1B">
              <w:rPr>
                <w:color w:val="000000"/>
                <w:sz w:val="20"/>
                <w:lang w:val="sv-SE"/>
              </w:rPr>
              <w:t>Fond</w:t>
            </w:r>
          </w:p>
        </w:tc>
        <w:tc>
          <w:tcPr>
            <w:tcW w:w="0" w:type="auto"/>
          </w:tcPr>
          <w:p w14:paraId="2D06644C" w14:textId="77777777" w:rsidR="00A77B3E" w:rsidRPr="00800D1B" w:rsidRDefault="00623E14" w:rsidP="00770E35">
            <w:pPr>
              <w:spacing w:before="100" w:after="100"/>
              <w:ind w:left="-72"/>
              <w:jc w:val="center"/>
              <w:rPr>
                <w:color w:val="000000"/>
                <w:sz w:val="20"/>
                <w:lang w:val="sv-SE"/>
              </w:rPr>
            </w:pPr>
            <w:r w:rsidRPr="00800D1B">
              <w:rPr>
                <w:color w:val="000000"/>
                <w:sz w:val="20"/>
                <w:lang w:val="sv-SE"/>
              </w:rPr>
              <w:t>Regionkategori</w:t>
            </w:r>
          </w:p>
        </w:tc>
        <w:tc>
          <w:tcPr>
            <w:tcW w:w="0" w:type="auto"/>
          </w:tcPr>
          <w:p w14:paraId="2D06644D" w14:textId="77777777" w:rsidR="00A77B3E" w:rsidRPr="00800D1B" w:rsidRDefault="00623E14" w:rsidP="00770E35">
            <w:pPr>
              <w:spacing w:before="100" w:after="100"/>
              <w:ind w:left="-72"/>
              <w:jc w:val="center"/>
              <w:rPr>
                <w:color w:val="000000"/>
                <w:sz w:val="20"/>
                <w:lang w:val="sv-SE"/>
              </w:rPr>
            </w:pPr>
            <w:r w:rsidRPr="00800D1B">
              <w:rPr>
                <w:color w:val="000000"/>
                <w:sz w:val="20"/>
                <w:lang w:val="sv-SE"/>
              </w:rPr>
              <w:t>Kod</w:t>
            </w:r>
          </w:p>
        </w:tc>
        <w:tc>
          <w:tcPr>
            <w:tcW w:w="0" w:type="auto"/>
          </w:tcPr>
          <w:p w14:paraId="2D06644E" w14:textId="77777777" w:rsidR="00A77B3E" w:rsidRPr="00800D1B" w:rsidRDefault="00623E14" w:rsidP="00770E35">
            <w:pPr>
              <w:spacing w:before="100" w:after="100"/>
              <w:ind w:left="-72"/>
              <w:jc w:val="center"/>
              <w:rPr>
                <w:color w:val="000000"/>
                <w:sz w:val="20"/>
                <w:lang w:val="sv-SE"/>
              </w:rPr>
            </w:pPr>
            <w:r w:rsidRPr="00800D1B">
              <w:rPr>
                <w:color w:val="000000"/>
                <w:sz w:val="20"/>
                <w:lang w:val="sv-SE"/>
              </w:rPr>
              <w:t>Belopp (euro)</w:t>
            </w:r>
          </w:p>
        </w:tc>
      </w:tr>
      <w:tr w:rsidR="003422DB" w:rsidRPr="00800D1B" w14:paraId="2D066456" w14:textId="77777777" w:rsidTr="00770E35">
        <w:tc>
          <w:tcPr>
            <w:tcW w:w="0" w:type="auto"/>
          </w:tcPr>
          <w:p w14:paraId="2D066450" w14:textId="77777777" w:rsidR="00A77B3E" w:rsidRPr="00800D1B" w:rsidRDefault="00623E14" w:rsidP="00770E35">
            <w:pPr>
              <w:spacing w:before="100" w:after="100"/>
              <w:ind w:left="-72"/>
              <w:rPr>
                <w:color w:val="000000"/>
                <w:sz w:val="20"/>
                <w:lang w:val="sv-SE"/>
              </w:rPr>
            </w:pPr>
            <w:r w:rsidRPr="00800D1B">
              <w:rPr>
                <w:color w:val="000000"/>
                <w:sz w:val="20"/>
                <w:lang w:val="sv-SE"/>
              </w:rPr>
              <w:t>4</w:t>
            </w:r>
          </w:p>
        </w:tc>
        <w:tc>
          <w:tcPr>
            <w:tcW w:w="0" w:type="auto"/>
          </w:tcPr>
          <w:p w14:paraId="2D066451" w14:textId="77777777" w:rsidR="00A77B3E" w:rsidRPr="00800D1B" w:rsidRDefault="00623E14" w:rsidP="00770E35">
            <w:pPr>
              <w:spacing w:before="100" w:after="100"/>
              <w:ind w:left="-72"/>
              <w:rPr>
                <w:color w:val="000000"/>
                <w:sz w:val="20"/>
                <w:lang w:val="sv-SE"/>
              </w:rPr>
            </w:pPr>
            <w:r w:rsidRPr="00800D1B">
              <w:rPr>
                <w:color w:val="000000"/>
                <w:sz w:val="20"/>
                <w:lang w:val="sv-SE"/>
              </w:rPr>
              <w:t>RSO2.6</w:t>
            </w:r>
          </w:p>
        </w:tc>
        <w:tc>
          <w:tcPr>
            <w:tcW w:w="0" w:type="auto"/>
          </w:tcPr>
          <w:p w14:paraId="2D066452" w14:textId="77777777" w:rsidR="00A77B3E" w:rsidRPr="00800D1B" w:rsidRDefault="00623E14" w:rsidP="00770E35">
            <w:pPr>
              <w:spacing w:before="100" w:after="100"/>
              <w:ind w:left="-72"/>
              <w:rPr>
                <w:color w:val="000000"/>
                <w:sz w:val="20"/>
                <w:lang w:val="sv-SE"/>
              </w:rPr>
            </w:pPr>
            <w:r w:rsidRPr="00800D1B">
              <w:rPr>
                <w:color w:val="000000"/>
                <w:sz w:val="20"/>
                <w:lang w:val="sv-SE"/>
              </w:rPr>
              <w:t>Eruf</w:t>
            </w:r>
          </w:p>
        </w:tc>
        <w:tc>
          <w:tcPr>
            <w:tcW w:w="0" w:type="auto"/>
          </w:tcPr>
          <w:p w14:paraId="2D066453" w14:textId="77777777" w:rsidR="00A77B3E" w:rsidRPr="00800D1B" w:rsidRDefault="00623E14" w:rsidP="00770E35">
            <w:pPr>
              <w:spacing w:before="100" w:after="100"/>
              <w:ind w:left="-72"/>
              <w:rPr>
                <w:color w:val="000000"/>
                <w:sz w:val="20"/>
                <w:lang w:val="sv-SE"/>
              </w:rPr>
            </w:pPr>
            <w:r w:rsidRPr="00800D1B">
              <w:rPr>
                <w:color w:val="000000"/>
                <w:sz w:val="20"/>
                <w:lang w:val="sv-SE"/>
              </w:rPr>
              <w:t>Mer utvecklade regioner</w:t>
            </w:r>
          </w:p>
        </w:tc>
        <w:tc>
          <w:tcPr>
            <w:tcW w:w="0" w:type="auto"/>
          </w:tcPr>
          <w:p w14:paraId="2D066454" w14:textId="77777777" w:rsidR="00A77B3E" w:rsidRPr="00800D1B" w:rsidRDefault="00623E14" w:rsidP="00770E35">
            <w:pPr>
              <w:spacing w:before="100" w:after="100"/>
              <w:ind w:left="-72"/>
              <w:rPr>
                <w:color w:val="000000"/>
                <w:sz w:val="20"/>
                <w:lang w:val="sv-SE"/>
              </w:rPr>
            </w:pPr>
            <w:r w:rsidRPr="00800D1B">
              <w:rPr>
                <w:color w:val="000000"/>
                <w:sz w:val="20"/>
                <w:lang w:val="sv-SE"/>
              </w:rPr>
              <w:t>030. Forsknings- och innovationsprocesser, tekniköverföring och samarbete mellan företag med inriktning på en cirkulär ekonomi</w:t>
            </w:r>
          </w:p>
        </w:tc>
        <w:tc>
          <w:tcPr>
            <w:tcW w:w="0" w:type="auto"/>
          </w:tcPr>
          <w:p w14:paraId="2D066455" w14:textId="77777777" w:rsidR="00A77B3E" w:rsidRPr="00800D1B" w:rsidRDefault="00623E14" w:rsidP="00770E35">
            <w:pPr>
              <w:spacing w:before="100" w:after="100"/>
              <w:ind w:left="-72"/>
              <w:jc w:val="right"/>
              <w:rPr>
                <w:color w:val="000000"/>
                <w:sz w:val="20"/>
                <w:lang w:val="sv-SE"/>
              </w:rPr>
            </w:pPr>
            <w:r w:rsidRPr="00800D1B">
              <w:rPr>
                <w:color w:val="000000"/>
                <w:sz w:val="20"/>
                <w:lang w:val="sv-SE"/>
              </w:rPr>
              <w:t>991 911,00</w:t>
            </w:r>
          </w:p>
        </w:tc>
      </w:tr>
      <w:tr w:rsidR="003422DB" w:rsidRPr="00800D1B" w14:paraId="2D06645D" w14:textId="77777777" w:rsidTr="00770E35">
        <w:tc>
          <w:tcPr>
            <w:tcW w:w="0" w:type="auto"/>
          </w:tcPr>
          <w:p w14:paraId="2D066457" w14:textId="77777777" w:rsidR="00A77B3E" w:rsidRPr="00800D1B" w:rsidRDefault="00623E14" w:rsidP="00770E35">
            <w:pPr>
              <w:spacing w:before="100" w:after="100"/>
              <w:ind w:left="-72"/>
              <w:rPr>
                <w:color w:val="000000"/>
                <w:sz w:val="20"/>
                <w:lang w:val="sv-SE"/>
              </w:rPr>
            </w:pPr>
            <w:r w:rsidRPr="00800D1B">
              <w:rPr>
                <w:color w:val="000000"/>
                <w:sz w:val="20"/>
                <w:lang w:val="sv-SE"/>
              </w:rPr>
              <w:t>4</w:t>
            </w:r>
          </w:p>
        </w:tc>
        <w:tc>
          <w:tcPr>
            <w:tcW w:w="0" w:type="auto"/>
          </w:tcPr>
          <w:p w14:paraId="2D066458" w14:textId="77777777" w:rsidR="00A77B3E" w:rsidRPr="00800D1B" w:rsidRDefault="00623E14" w:rsidP="00770E35">
            <w:pPr>
              <w:spacing w:before="100" w:after="100"/>
              <w:ind w:left="-72"/>
              <w:rPr>
                <w:color w:val="000000"/>
                <w:sz w:val="20"/>
                <w:lang w:val="sv-SE"/>
              </w:rPr>
            </w:pPr>
            <w:r w:rsidRPr="00800D1B">
              <w:rPr>
                <w:color w:val="000000"/>
                <w:sz w:val="20"/>
                <w:lang w:val="sv-SE"/>
              </w:rPr>
              <w:t>RSO2.6</w:t>
            </w:r>
          </w:p>
        </w:tc>
        <w:tc>
          <w:tcPr>
            <w:tcW w:w="0" w:type="auto"/>
          </w:tcPr>
          <w:p w14:paraId="2D066459" w14:textId="77777777" w:rsidR="00A77B3E" w:rsidRPr="00800D1B" w:rsidRDefault="00623E14" w:rsidP="00770E35">
            <w:pPr>
              <w:spacing w:before="100" w:after="100"/>
              <w:ind w:left="-72"/>
              <w:rPr>
                <w:color w:val="000000"/>
                <w:sz w:val="20"/>
                <w:lang w:val="sv-SE"/>
              </w:rPr>
            </w:pPr>
            <w:r w:rsidRPr="00800D1B">
              <w:rPr>
                <w:color w:val="000000"/>
                <w:sz w:val="20"/>
                <w:lang w:val="sv-SE"/>
              </w:rPr>
              <w:t>Eruf</w:t>
            </w:r>
          </w:p>
        </w:tc>
        <w:tc>
          <w:tcPr>
            <w:tcW w:w="0" w:type="auto"/>
          </w:tcPr>
          <w:p w14:paraId="2D06645A" w14:textId="77777777" w:rsidR="00A77B3E" w:rsidRPr="00800D1B" w:rsidRDefault="00623E14" w:rsidP="00770E35">
            <w:pPr>
              <w:spacing w:before="100" w:after="100"/>
              <w:ind w:left="-72"/>
              <w:rPr>
                <w:color w:val="000000"/>
                <w:sz w:val="20"/>
                <w:lang w:val="sv-SE"/>
              </w:rPr>
            </w:pPr>
            <w:r w:rsidRPr="00800D1B">
              <w:rPr>
                <w:color w:val="000000"/>
                <w:sz w:val="20"/>
                <w:lang w:val="sv-SE"/>
              </w:rPr>
              <w:t>Mer utvecklade regioner</w:t>
            </w:r>
          </w:p>
        </w:tc>
        <w:tc>
          <w:tcPr>
            <w:tcW w:w="0" w:type="auto"/>
          </w:tcPr>
          <w:p w14:paraId="2D06645B" w14:textId="77777777" w:rsidR="00A77B3E" w:rsidRPr="00800D1B" w:rsidRDefault="00623E14" w:rsidP="00770E35">
            <w:pPr>
              <w:spacing w:before="100" w:after="100"/>
              <w:ind w:left="-72"/>
              <w:rPr>
                <w:color w:val="000000"/>
                <w:sz w:val="20"/>
                <w:lang w:val="sv-SE"/>
              </w:rPr>
            </w:pPr>
            <w:r w:rsidRPr="00800D1B">
              <w:rPr>
                <w:color w:val="000000"/>
                <w:sz w:val="20"/>
                <w:lang w:val="sv-SE"/>
              </w:rPr>
              <w:t>070. Kommersiell, industriell avfallshantering: restavfall och farligt avfall</w:t>
            </w:r>
          </w:p>
        </w:tc>
        <w:tc>
          <w:tcPr>
            <w:tcW w:w="0" w:type="auto"/>
          </w:tcPr>
          <w:p w14:paraId="2D06645C" w14:textId="77777777" w:rsidR="00A77B3E" w:rsidRPr="00800D1B" w:rsidRDefault="00623E14" w:rsidP="00770E35">
            <w:pPr>
              <w:spacing w:before="100" w:after="100"/>
              <w:ind w:left="-72"/>
              <w:jc w:val="right"/>
              <w:rPr>
                <w:color w:val="000000"/>
                <w:sz w:val="20"/>
                <w:lang w:val="sv-SE"/>
              </w:rPr>
            </w:pPr>
            <w:r w:rsidRPr="00800D1B">
              <w:rPr>
                <w:color w:val="000000"/>
                <w:sz w:val="20"/>
                <w:lang w:val="sv-SE"/>
              </w:rPr>
              <w:t>991 911,00</w:t>
            </w:r>
          </w:p>
        </w:tc>
      </w:tr>
      <w:tr w:rsidR="003422DB" w:rsidRPr="00800D1B" w14:paraId="2D066464" w14:textId="77777777" w:rsidTr="00770E35">
        <w:tc>
          <w:tcPr>
            <w:tcW w:w="0" w:type="auto"/>
          </w:tcPr>
          <w:p w14:paraId="2D06645E" w14:textId="77777777" w:rsidR="00A77B3E" w:rsidRPr="00800D1B" w:rsidRDefault="00623E14" w:rsidP="00770E35">
            <w:pPr>
              <w:spacing w:before="100" w:after="100"/>
              <w:ind w:left="-72"/>
              <w:rPr>
                <w:color w:val="000000"/>
                <w:sz w:val="20"/>
                <w:lang w:val="sv-SE"/>
              </w:rPr>
            </w:pPr>
            <w:r w:rsidRPr="00800D1B">
              <w:rPr>
                <w:color w:val="000000"/>
                <w:sz w:val="20"/>
                <w:lang w:val="sv-SE"/>
              </w:rPr>
              <w:t>4</w:t>
            </w:r>
          </w:p>
        </w:tc>
        <w:tc>
          <w:tcPr>
            <w:tcW w:w="0" w:type="auto"/>
          </w:tcPr>
          <w:p w14:paraId="2D06645F" w14:textId="77777777" w:rsidR="00A77B3E" w:rsidRPr="00800D1B" w:rsidRDefault="00623E14" w:rsidP="00770E35">
            <w:pPr>
              <w:spacing w:before="100" w:after="100"/>
              <w:ind w:left="-72"/>
              <w:rPr>
                <w:color w:val="000000"/>
                <w:sz w:val="20"/>
                <w:lang w:val="sv-SE"/>
              </w:rPr>
            </w:pPr>
            <w:r w:rsidRPr="00800D1B">
              <w:rPr>
                <w:color w:val="000000"/>
                <w:sz w:val="20"/>
                <w:lang w:val="sv-SE"/>
              </w:rPr>
              <w:t>RSO2.6</w:t>
            </w:r>
          </w:p>
        </w:tc>
        <w:tc>
          <w:tcPr>
            <w:tcW w:w="0" w:type="auto"/>
          </w:tcPr>
          <w:p w14:paraId="2D066460" w14:textId="77777777" w:rsidR="00A77B3E" w:rsidRPr="00800D1B" w:rsidRDefault="00623E14" w:rsidP="00770E35">
            <w:pPr>
              <w:spacing w:before="100" w:after="100"/>
              <w:ind w:left="-72"/>
              <w:rPr>
                <w:color w:val="000000"/>
                <w:sz w:val="20"/>
                <w:lang w:val="sv-SE"/>
              </w:rPr>
            </w:pPr>
            <w:r w:rsidRPr="00800D1B">
              <w:rPr>
                <w:color w:val="000000"/>
                <w:sz w:val="20"/>
                <w:lang w:val="sv-SE"/>
              </w:rPr>
              <w:t>Eruf</w:t>
            </w:r>
          </w:p>
        </w:tc>
        <w:tc>
          <w:tcPr>
            <w:tcW w:w="0" w:type="auto"/>
          </w:tcPr>
          <w:p w14:paraId="2D066461" w14:textId="77777777" w:rsidR="00A77B3E" w:rsidRPr="00800D1B" w:rsidRDefault="00623E14" w:rsidP="00770E35">
            <w:pPr>
              <w:spacing w:before="100" w:after="100"/>
              <w:ind w:left="-72"/>
              <w:rPr>
                <w:color w:val="000000"/>
                <w:sz w:val="20"/>
                <w:lang w:val="sv-SE"/>
              </w:rPr>
            </w:pPr>
            <w:r w:rsidRPr="00800D1B">
              <w:rPr>
                <w:color w:val="000000"/>
                <w:sz w:val="20"/>
                <w:lang w:val="sv-SE"/>
              </w:rPr>
              <w:t>Mer utvecklade regioner</w:t>
            </w:r>
          </w:p>
        </w:tc>
        <w:tc>
          <w:tcPr>
            <w:tcW w:w="0" w:type="auto"/>
          </w:tcPr>
          <w:p w14:paraId="2D066462" w14:textId="77777777" w:rsidR="00A77B3E" w:rsidRPr="00800D1B" w:rsidRDefault="00623E14" w:rsidP="00770E35">
            <w:pPr>
              <w:spacing w:before="100" w:after="100"/>
              <w:ind w:left="-72"/>
              <w:rPr>
                <w:color w:val="000000"/>
                <w:sz w:val="20"/>
                <w:lang w:val="sv-SE"/>
              </w:rPr>
            </w:pPr>
            <w:r w:rsidRPr="00800D1B">
              <w:rPr>
                <w:color w:val="000000"/>
                <w:sz w:val="20"/>
                <w:lang w:val="sv-SE"/>
              </w:rPr>
              <w:t>072. Främjande av användningen av återvunnet material som råvara i överensstämmelse med effektivitetskriterier</w:t>
            </w:r>
          </w:p>
        </w:tc>
        <w:tc>
          <w:tcPr>
            <w:tcW w:w="0" w:type="auto"/>
          </w:tcPr>
          <w:p w14:paraId="2D066463" w14:textId="77777777" w:rsidR="00A77B3E" w:rsidRPr="00800D1B" w:rsidRDefault="00623E14" w:rsidP="00770E35">
            <w:pPr>
              <w:spacing w:before="100" w:after="100"/>
              <w:ind w:left="-72"/>
              <w:jc w:val="right"/>
              <w:rPr>
                <w:color w:val="000000"/>
                <w:sz w:val="20"/>
                <w:lang w:val="sv-SE"/>
              </w:rPr>
            </w:pPr>
            <w:r w:rsidRPr="00800D1B">
              <w:rPr>
                <w:color w:val="000000"/>
                <w:sz w:val="20"/>
                <w:lang w:val="sv-SE"/>
              </w:rPr>
              <w:t>6 943 379,00</w:t>
            </w:r>
          </w:p>
        </w:tc>
      </w:tr>
      <w:tr w:rsidR="003422DB" w:rsidRPr="00800D1B" w14:paraId="2D06646B" w14:textId="77777777" w:rsidTr="00770E35">
        <w:tc>
          <w:tcPr>
            <w:tcW w:w="0" w:type="auto"/>
          </w:tcPr>
          <w:p w14:paraId="2D066465" w14:textId="77777777" w:rsidR="00A77B3E" w:rsidRPr="00800D1B" w:rsidRDefault="00623E14" w:rsidP="00770E35">
            <w:pPr>
              <w:spacing w:before="100" w:after="100"/>
              <w:ind w:left="-72"/>
              <w:rPr>
                <w:color w:val="000000"/>
                <w:sz w:val="20"/>
                <w:lang w:val="sv-SE"/>
              </w:rPr>
            </w:pPr>
            <w:r w:rsidRPr="00800D1B">
              <w:rPr>
                <w:color w:val="000000"/>
                <w:sz w:val="20"/>
                <w:lang w:val="sv-SE"/>
              </w:rPr>
              <w:t>4</w:t>
            </w:r>
          </w:p>
        </w:tc>
        <w:tc>
          <w:tcPr>
            <w:tcW w:w="0" w:type="auto"/>
          </w:tcPr>
          <w:p w14:paraId="2D066466" w14:textId="77777777" w:rsidR="00A77B3E" w:rsidRPr="00800D1B" w:rsidRDefault="00623E14" w:rsidP="00770E35">
            <w:pPr>
              <w:spacing w:before="100" w:after="100"/>
              <w:ind w:left="-72"/>
              <w:rPr>
                <w:color w:val="000000"/>
                <w:sz w:val="20"/>
                <w:lang w:val="sv-SE"/>
              </w:rPr>
            </w:pPr>
            <w:r w:rsidRPr="00800D1B">
              <w:rPr>
                <w:color w:val="000000"/>
                <w:sz w:val="20"/>
                <w:lang w:val="sv-SE"/>
              </w:rPr>
              <w:t>RSO2.6</w:t>
            </w:r>
          </w:p>
        </w:tc>
        <w:tc>
          <w:tcPr>
            <w:tcW w:w="0" w:type="auto"/>
          </w:tcPr>
          <w:p w14:paraId="2D066467" w14:textId="77777777" w:rsidR="00A77B3E" w:rsidRPr="00800D1B" w:rsidRDefault="00623E14" w:rsidP="00770E35">
            <w:pPr>
              <w:spacing w:before="100" w:after="100"/>
              <w:ind w:left="-72"/>
              <w:rPr>
                <w:color w:val="000000"/>
                <w:sz w:val="20"/>
                <w:lang w:val="sv-SE"/>
              </w:rPr>
            </w:pPr>
            <w:r w:rsidRPr="00800D1B">
              <w:rPr>
                <w:color w:val="000000"/>
                <w:sz w:val="20"/>
                <w:lang w:val="sv-SE"/>
              </w:rPr>
              <w:t>Eruf</w:t>
            </w:r>
          </w:p>
        </w:tc>
        <w:tc>
          <w:tcPr>
            <w:tcW w:w="0" w:type="auto"/>
          </w:tcPr>
          <w:p w14:paraId="2D066468" w14:textId="77777777" w:rsidR="00A77B3E" w:rsidRPr="00800D1B" w:rsidRDefault="00623E14" w:rsidP="00770E35">
            <w:pPr>
              <w:spacing w:before="100" w:after="100"/>
              <w:ind w:left="-72"/>
              <w:rPr>
                <w:color w:val="000000"/>
                <w:sz w:val="20"/>
                <w:lang w:val="sv-SE"/>
              </w:rPr>
            </w:pPr>
            <w:r w:rsidRPr="00800D1B">
              <w:rPr>
                <w:color w:val="000000"/>
                <w:sz w:val="20"/>
                <w:lang w:val="sv-SE"/>
              </w:rPr>
              <w:t>Mer utvecklade regioner</w:t>
            </w:r>
          </w:p>
        </w:tc>
        <w:tc>
          <w:tcPr>
            <w:tcW w:w="0" w:type="auto"/>
          </w:tcPr>
          <w:p w14:paraId="2D066469" w14:textId="77777777" w:rsidR="00A77B3E" w:rsidRPr="00800D1B" w:rsidRDefault="00623E14" w:rsidP="00770E35">
            <w:pPr>
              <w:spacing w:before="100" w:after="100"/>
              <w:ind w:left="-72"/>
              <w:rPr>
                <w:color w:val="000000"/>
                <w:sz w:val="20"/>
                <w:lang w:val="sv-SE"/>
              </w:rPr>
            </w:pPr>
            <w:r w:rsidRPr="00800D1B">
              <w:rPr>
                <w:color w:val="000000"/>
                <w:sz w:val="20"/>
                <w:lang w:val="sv-SE"/>
              </w:rPr>
              <w:t>075. Stöd till miljövänliga produktionsprocesser och resurseffektivitet i små och medelstora företag</w:t>
            </w:r>
          </w:p>
        </w:tc>
        <w:tc>
          <w:tcPr>
            <w:tcW w:w="0" w:type="auto"/>
          </w:tcPr>
          <w:p w14:paraId="2D06646A" w14:textId="77777777" w:rsidR="00A77B3E" w:rsidRPr="00800D1B" w:rsidRDefault="00623E14" w:rsidP="00770E35">
            <w:pPr>
              <w:spacing w:before="100" w:after="100"/>
              <w:ind w:left="-72"/>
              <w:jc w:val="right"/>
              <w:rPr>
                <w:color w:val="000000"/>
                <w:sz w:val="20"/>
                <w:lang w:val="sv-SE"/>
              </w:rPr>
            </w:pPr>
            <w:r w:rsidRPr="00800D1B">
              <w:rPr>
                <w:color w:val="000000"/>
                <w:sz w:val="20"/>
                <w:lang w:val="sv-SE"/>
              </w:rPr>
              <w:t>991 911,00</w:t>
            </w:r>
          </w:p>
        </w:tc>
      </w:tr>
      <w:tr w:rsidR="003422DB" w:rsidRPr="00800D1B" w14:paraId="2D066472" w14:textId="77777777" w:rsidTr="00770E35">
        <w:tc>
          <w:tcPr>
            <w:tcW w:w="0" w:type="auto"/>
          </w:tcPr>
          <w:p w14:paraId="2D06646C" w14:textId="77777777" w:rsidR="00A77B3E" w:rsidRPr="00800D1B" w:rsidRDefault="00623E14" w:rsidP="00770E35">
            <w:pPr>
              <w:spacing w:before="100" w:after="100"/>
              <w:ind w:left="-72"/>
              <w:rPr>
                <w:color w:val="000000"/>
                <w:sz w:val="20"/>
                <w:lang w:val="sv-SE"/>
              </w:rPr>
            </w:pPr>
            <w:r w:rsidRPr="00800D1B">
              <w:rPr>
                <w:color w:val="000000"/>
                <w:sz w:val="20"/>
                <w:lang w:val="sv-SE"/>
              </w:rPr>
              <w:t>4</w:t>
            </w:r>
          </w:p>
        </w:tc>
        <w:tc>
          <w:tcPr>
            <w:tcW w:w="0" w:type="auto"/>
          </w:tcPr>
          <w:p w14:paraId="2D06646D" w14:textId="77777777" w:rsidR="00A77B3E" w:rsidRPr="00800D1B" w:rsidRDefault="00623E14" w:rsidP="00770E35">
            <w:pPr>
              <w:spacing w:before="100" w:after="100"/>
              <w:ind w:left="-72"/>
              <w:rPr>
                <w:color w:val="000000"/>
                <w:sz w:val="20"/>
                <w:lang w:val="sv-SE"/>
              </w:rPr>
            </w:pPr>
            <w:r w:rsidRPr="00800D1B">
              <w:rPr>
                <w:color w:val="000000"/>
                <w:sz w:val="20"/>
                <w:lang w:val="sv-SE"/>
              </w:rPr>
              <w:t>RSO2.6</w:t>
            </w:r>
          </w:p>
        </w:tc>
        <w:tc>
          <w:tcPr>
            <w:tcW w:w="0" w:type="auto"/>
          </w:tcPr>
          <w:p w14:paraId="2D06646E" w14:textId="77777777" w:rsidR="00A77B3E" w:rsidRPr="00800D1B" w:rsidRDefault="00623E14" w:rsidP="00770E35">
            <w:pPr>
              <w:spacing w:before="100" w:after="100"/>
              <w:ind w:left="-72"/>
              <w:rPr>
                <w:color w:val="000000"/>
                <w:sz w:val="20"/>
                <w:lang w:val="sv-SE"/>
              </w:rPr>
            </w:pPr>
            <w:r w:rsidRPr="00800D1B">
              <w:rPr>
                <w:color w:val="000000"/>
                <w:sz w:val="20"/>
                <w:lang w:val="sv-SE"/>
              </w:rPr>
              <w:t>Totalt</w:t>
            </w:r>
          </w:p>
        </w:tc>
        <w:tc>
          <w:tcPr>
            <w:tcW w:w="0" w:type="auto"/>
          </w:tcPr>
          <w:p w14:paraId="2D06646F" w14:textId="77777777" w:rsidR="00A77B3E" w:rsidRPr="00800D1B" w:rsidRDefault="00A77B3E" w:rsidP="00770E35">
            <w:pPr>
              <w:spacing w:before="100" w:after="100"/>
              <w:ind w:left="-72"/>
              <w:rPr>
                <w:color w:val="000000"/>
                <w:sz w:val="20"/>
                <w:lang w:val="sv-SE"/>
              </w:rPr>
            </w:pPr>
          </w:p>
        </w:tc>
        <w:tc>
          <w:tcPr>
            <w:tcW w:w="0" w:type="auto"/>
          </w:tcPr>
          <w:p w14:paraId="2D066470" w14:textId="77777777" w:rsidR="00A77B3E" w:rsidRPr="00800D1B" w:rsidRDefault="00A77B3E" w:rsidP="00770E35">
            <w:pPr>
              <w:spacing w:before="100" w:after="100"/>
              <w:ind w:left="-72"/>
              <w:rPr>
                <w:color w:val="000000"/>
                <w:sz w:val="20"/>
                <w:lang w:val="sv-SE"/>
              </w:rPr>
            </w:pPr>
          </w:p>
        </w:tc>
        <w:tc>
          <w:tcPr>
            <w:tcW w:w="0" w:type="auto"/>
          </w:tcPr>
          <w:p w14:paraId="2D066471" w14:textId="77777777" w:rsidR="00A77B3E" w:rsidRPr="00800D1B" w:rsidRDefault="00623E14" w:rsidP="00770E35">
            <w:pPr>
              <w:spacing w:before="100" w:after="100"/>
              <w:ind w:left="-72"/>
              <w:jc w:val="right"/>
              <w:rPr>
                <w:color w:val="000000"/>
                <w:sz w:val="20"/>
                <w:lang w:val="sv-SE"/>
              </w:rPr>
            </w:pPr>
            <w:r w:rsidRPr="00800D1B">
              <w:rPr>
                <w:color w:val="000000"/>
                <w:sz w:val="20"/>
                <w:lang w:val="sv-SE"/>
              </w:rPr>
              <w:t>9 919 112,00</w:t>
            </w:r>
          </w:p>
        </w:tc>
      </w:tr>
    </w:tbl>
    <w:p w14:paraId="2D066474" w14:textId="08CD4C2E" w:rsidR="00A77B3E" w:rsidRPr="00800D1B" w:rsidRDefault="00623E14" w:rsidP="009B5EF9">
      <w:pPr>
        <w:spacing w:before="360" w:after="100"/>
        <w:rPr>
          <w:lang w:val="sv-SE"/>
        </w:rPr>
      </w:pPr>
      <w:bookmarkStart w:id="157" w:name="_Toc256000398"/>
      <w:r w:rsidRPr="00800D1B">
        <w:rPr>
          <w:lang w:val="sv-SE"/>
        </w:rPr>
        <w:t>Tabell 5: Dimension 2 – finansieringsform</w:t>
      </w:r>
      <w:bookmarkEnd w:id="157"/>
    </w:p>
    <w:p w14:paraId="2D066475" w14:textId="77777777" w:rsidR="00A77B3E" w:rsidRPr="00800D1B" w:rsidRDefault="00A77B3E">
      <w:pPr>
        <w:spacing w:before="100"/>
        <w:rPr>
          <w:color w:val="000000"/>
          <w:sz w:val="0"/>
          <w:lang w:val="sv-SE"/>
        </w:rPr>
      </w:pPr>
    </w:p>
    <w:tbl>
      <w:tblPr>
        <w:tblStyle w:val="Tabellrutnt"/>
        <w:tblW w:w="5000" w:type="pct"/>
        <w:tblLook w:val="04A0" w:firstRow="1" w:lastRow="0" w:firstColumn="1" w:lastColumn="0" w:noHBand="0" w:noVBand="1"/>
        <w:tblDescription w:val="En tabell med sex kolumner: Prioritering; Specifikt mål; Fond; Regionkategori; Kod; Belopp (euro). Tabellen visar information om finansieringsform."/>
      </w:tblPr>
      <w:tblGrid>
        <w:gridCol w:w="2283"/>
        <w:gridCol w:w="2519"/>
        <w:gridCol w:w="1357"/>
        <w:gridCol w:w="4267"/>
        <w:gridCol w:w="2139"/>
        <w:gridCol w:w="2607"/>
      </w:tblGrid>
      <w:tr w:rsidR="003422DB" w:rsidRPr="00800D1B" w14:paraId="2D06647C" w14:textId="77777777" w:rsidTr="00770E35">
        <w:tc>
          <w:tcPr>
            <w:tcW w:w="0" w:type="auto"/>
          </w:tcPr>
          <w:p w14:paraId="2D066476" w14:textId="77777777" w:rsidR="00A77B3E" w:rsidRPr="00800D1B" w:rsidRDefault="00623E14" w:rsidP="00770E35">
            <w:pPr>
              <w:spacing w:before="100" w:after="100"/>
              <w:ind w:left="-72"/>
              <w:jc w:val="center"/>
              <w:rPr>
                <w:color w:val="000000"/>
                <w:sz w:val="20"/>
                <w:lang w:val="sv-SE"/>
              </w:rPr>
            </w:pPr>
            <w:r w:rsidRPr="00800D1B">
              <w:rPr>
                <w:color w:val="000000"/>
                <w:sz w:val="20"/>
                <w:lang w:val="sv-SE"/>
              </w:rPr>
              <w:t>Prioritering</w:t>
            </w:r>
          </w:p>
        </w:tc>
        <w:tc>
          <w:tcPr>
            <w:tcW w:w="0" w:type="auto"/>
          </w:tcPr>
          <w:p w14:paraId="2D066477" w14:textId="77777777" w:rsidR="00A77B3E" w:rsidRPr="00800D1B" w:rsidRDefault="00623E14">
            <w:pPr>
              <w:spacing w:before="100"/>
              <w:jc w:val="center"/>
              <w:rPr>
                <w:color w:val="000000"/>
                <w:sz w:val="20"/>
                <w:lang w:val="sv-SE"/>
              </w:rPr>
            </w:pPr>
            <w:r w:rsidRPr="00800D1B">
              <w:rPr>
                <w:color w:val="000000"/>
                <w:sz w:val="20"/>
                <w:lang w:val="sv-SE"/>
              </w:rPr>
              <w:t>Specifikt mål</w:t>
            </w:r>
          </w:p>
        </w:tc>
        <w:tc>
          <w:tcPr>
            <w:tcW w:w="0" w:type="auto"/>
          </w:tcPr>
          <w:p w14:paraId="2D066478" w14:textId="77777777" w:rsidR="00A77B3E" w:rsidRPr="00800D1B" w:rsidRDefault="00623E14">
            <w:pPr>
              <w:spacing w:before="100"/>
              <w:jc w:val="center"/>
              <w:rPr>
                <w:color w:val="000000"/>
                <w:sz w:val="20"/>
                <w:lang w:val="sv-SE"/>
              </w:rPr>
            </w:pPr>
            <w:r w:rsidRPr="00800D1B">
              <w:rPr>
                <w:color w:val="000000"/>
                <w:sz w:val="20"/>
                <w:lang w:val="sv-SE"/>
              </w:rPr>
              <w:t>Fond</w:t>
            </w:r>
          </w:p>
        </w:tc>
        <w:tc>
          <w:tcPr>
            <w:tcW w:w="0" w:type="auto"/>
          </w:tcPr>
          <w:p w14:paraId="2D066479" w14:textId="77777777" w:rsidR="00A77B3E" w:rsidRPr="00800D1B" w:rsidRDefault="00623E14">
            <w:pPr>
              <w:spacing w:before="100"/>
              <w:jc w:val="center"/>
              <w:rPr>
                <w:color w:val="000000"/>
                <w:sz w:val="20"/>
                <w:lang w:val="sv-SE"/>
              </w:rPr>
            </w:pPr>
            <w:r w:rsidRPr="00800D1B">
              <w:rPr>
                <w:color w:val="000000"/>
                <w:sz w:val="20"/>
                <w:lang w:val="sv-SE"/>
              </w:rPr>
              <w:t>Regionkategori</w:t>
            </w:r>
          </w:p>
        </w:tc>
        <w:tc>
          <w:tcPr>
            <w:tcW w:w="0" w:type="auto"/>
          </w:tcPr>
          <w:p w14:paraId="2D06647A" w14:textId="77777777" w:rsidR="00A77B3E" w:rsidRPr="00800D1B" w:rsidRDefault="00623E14">
            <w:pPr>
              <w:spacing w:before="100"/>
              <w:jc w:val="center"/>
              <w:rPr>
                <w:color w:val="000000"/>
                <w:sz w:val="20"/>
                <w:lang w:val="sv-SE"/>
              </w:rPr>
            </w:pPr>
            <w:r w:rsidRPr="00800D1B">
              <w:rPr>
                <w:color w:val="000000"/>
                <w:sz w:val="20"/>
                <w:lang w:val="sv-SE"/>
              </w:rPr>
              <w:t>Kod</w:t>
            </w:r>
          </w:p>
        </w:tc>
        <w:tc>
          <w:tcPr>
            <w:tcW w:w="0" w:type="auto"/>
          </w:tcPr>
          <w:p w14:paraId="2D06647B" w14:textId="77777777" w:rsidR="00A77B3E" w:rsidRPr="00800D1B" w:rsidRDefault="00623E14">
            <w:pPr>
              <w:spacing w:before="100"/>
              <w:jc w:val="center"/>
              <w:rPr>
                <w:color w:val="000000"/>
                <w:sz w:val="20"/>
                <w:lang w:val="sv-SE"/>
              </w:rPr>
            </w:pPr>
            <w:r w:rsidRPr="00800D1B">
              <w:rPr>
                <w:color w:val="000000"/>
                <w:sz w:val="20"/>
                <w:lang w:val="sv-SE"/>
              </w:rPr>
              <w:t>Belopp (euro)</w:t>
            </w:r>
          </w:p>
        </w:tc>
      </w:tr>
      <w:tr w:rsidR="003422DB" w:rsidRPr="00800D1B" w14:paraId="2D066483" w14:textId="77777777" w:rsidTr="00770E35">
        <w:tc>
          <w:tcPr>
            <w:tcW w:w="0" w:type="auto"/>
          </w:tcPr>
          <w:p w14:paraId="2D06647D" w14:textId="77777777" w:rsidR="00A77B3E" w:rsidRPr="00800D1B" w:rsidRDefault="00623E14">
            <w:pPr>
              <w:spacing w:before="100"/>
              <w:rPr>
                <w:color w:val="000000"/>
                <w:sz w:val="20"/>
                <w:lang w:val="sv-SE"/>
              </w:rPr>
            </w:pPr>
            <w:r w:rsidRPr="00800D1B">
              <w:rPr>
                <w:color w:val="000000"/>
                <w:sz w:val="20"/>
                <w:lang w:val="sv-SE"/>
              </w:rPr>
              <w:t>4</w:t>
            </w:r>
          </w:p>
        </w:tc>
        <w:tc>
          <w:tcPr>
            <w:tcW w:w="0" w:type="auto"/>
          </w:tcPr>
          <w:p w14:paraId="2D06647E" w14:textId="77777777" w:rsidR="00A77B3E" w:rsidRPr="00800D1B" w:rsidRDefault="00623E14">
            <w:pPr>
              <w:spacing w:before="100"/>
              <w:rPr>
                <w:color w:val="000000"/>
                <w:sz w:val="20"/>
                <w:lang w:val="sv-SE"/>
              </w:rPr>
            </w:pPr>
            <w:r w:rsidRPr="00800D1B">
              <w:rPr>
                <w:color w:val="000000"/>
                <w:sz w:val="20"/>
                <w:lang w:val="sv-SE"/>
              </w:rPr>
              <w:t>RSO2.6</w:t>
            </w:r>
          </w:p>
        </w:tc>
        <w:tc>
          <w:tcPr>
            <w:tcW w:w="0" w:type="auto"/>
          </w:tcPr>
          <w:p w14:paraId="2D06647F" w14:textId="77777777" w:rsidR="00A77B3E" w:rsidRPr="00800D1B" w:rsidRDefault="00623E14">
            <w:pPr>
              <w:spacing w:before="100"/>
              <w:rPr>
                <w:color w:val="000000"/>
                <w:sz w:val="20"/>
                <w:lang w:val="sv-SE"/>
              </w:rPr>
            </w:pPr>
            <w:r w:rsidRPr="00800D1B">
              <w:rPr>
                <w:color w:val="000000"/>
                <w:sz w:val="20"/>
                <w:lang w:val="sv-SE"/>
              </w:rPr>
              <w:t>Eruf</w:t>
            </w:r>
          </w:p>
        </w:tc>
        <w:tc>
          <w:tcPr>
            <w:tcW w:w="0" w:type="auto"/>
          </w:tcPr>
          <w:p w14:paraId="2D066480" w14:textId="77777777" w:rsidR="00A77B3E" w:rsidRPr="00800D1B" w:rsidRDefault="00623E14">
            <w:pPr>
              <w:spacing w:before="100"/>
              <w:rPr>
                <w:color w:val="000000"/>
                <w:sz w:val="20"/>
                <w:lang w:val="sv-SE"/>
              </w:rPr>
            </w:pPr>
            <w:r w:rsidRPr="00800D1B">
              <w:rPr>
                <w:color w:val="000000"/>
                <w:sz w:val="20"/>
                <w:lang w:val="sv-SE"/>
              </w:rPr>
              <w:t>Mer utvecklade regioner</w:t>
            </w:r>
          </w:p>
        </w:tc>
        <w:tc>
          <w:tcPr>
            <w:tcW w:w="0" w:type="auto"/>
          </w:tcPr>
          <w:p w14:paraId="2D066481" w14:textId="77777777" w:rsidR="00A77B3E" w:rsidRPr="00800D1B" w:rsidRDefault="00623E14">
            <w:pPr>
              <w:spacing w:before="100"/>
              <w:rPr>
                <w:color w:val="000000"/>
                <w:sz w:val="20"/>
                <w:lang w:val="sv-SE"/>
              </w:rPr>
            </w:pPr>
            <w:r w:rsidRPr="00800D1B">
              <w:rPr>
                <w:color w:val="000000"/>
                <w:sz w:val="20"/>
                <w:lang w:val="sv-SE"/>
              </w:rPr>
              <w:t>01. Bevilja</w:t>
            </w:r>
          </w:p>
        </w:tc>
        <w:tc>
          <w:tcPr>
            <w:tcW w:w="0" w:type="auto"/>
          </w:tcPr>
          <w:p w14:paraId="2D066482" w14:textId="77777777" w:rsidR="00A77B3E" w:rsidRPr="00800D1B" w:rsidRDefault="00623E14">
            <w:pPr>
              <w:spacing w:before="100"/>
              <w:jc w:val="right"/>
              <w:rPr>
                <w:color w:val="000000"/>
                <w:sz w:val="20"/>
                <w:lang w:val="sv-SE"/>
              </w:rPr>
            </w:pPr>
            <w:r w:rsidRPr="00800D1B">
              <w:rPr>
                <w:color w:val="000000"/>
                <w:sz w:val="20"/>
                <w:lang w:val="sv-SE"/>
              </w:rPr>
              <w:t>9 919 112,00</w:t>
            </w:r>
          </w:p>
        </w:tc>
      </w:tr>
      <w:tr w:rsidR="003422DB" w:rsidRPr="00800D1B" w14:paraId="2D06648A" w14:textId="77777777" w:rsidTr="00770E35">
        <w:tc>
          <w:tcPr>
            <w:tcW w:w="0" w:type="auto"/>
          </w:tcPr>
          <w:p w14:paraId="2D066484" w14:textId="77777777" w:rsidR="00A77B3E" w:rsidRPr="00800D1B" w:rsidRDefault="00623E14">
            <w:pPr>
              <w:spacing w:before="100"/>
              <w:rPr>
                <w:color w:val="000000"/>
                <w:sz w:val="20"/>
                <w:lang w:val="sv-SE"/>
              </w:rPr>
            </w:pPr>
            <w:r w:rsidRPr="00800D1B">
              <w:rPr>
                <w:color w:val="000000"/>
                <w:sz w:val="20"/>
                <w:lang w:val="sv-SE"/>
              </w:rPr>
              <w:t>4</w:t>
            </w:r>
          </w:p>
        </w:tc>
        <w:tc>
          <w:tcPr>
            <w:tcW w:w="0" w:type="auto"/>
          </w:tcPr>
          <w:p w14:paraId="2D066485" w14:textId="77777777" w:rsidR="00A77B3E" w:rsidRPr="00800D1B" w:rsidRDefault="00623E14">
            <w:pPr>
              <w:spacing w:before="100"/>
              <w:rPr>
                <w:color w:val="000000"/>
                <w:sz w:val="20"/>
                <w:lang w:val="sv-SE"/>
              </w:rPr>
            </w:pPr>
            <w:r w:rsidRPr="00800D1B">
              <w:rPr>
                <w:color w:val="000000"/>
                <w:sz w:val="20"/>
                <w:lang w:val="sv-SE"/>
              </w:rPr>
              <w:t>RSO2.6</w:t>
            </w:r>
          </w:p>
        </w:tc>
        <w:tc>
          <w:tcPr>
            <w:tcW w:w="0" w:type="auto"/>
          </w:tcPr>
          <w:p w14:paraId="2D066486" w14:textId="77777777" w:rsidR="00A77B3E" w:rsidRPr="00800D1B" w:rsidRDefault="00623E14">
            <w:pPr>
              <w:spacing w:before="100"/>
              <w:rPr>
                <w:color w:val="000000"/>
                <w:sz w:val="20"/>
                <w:lang w:val="sv-SE"/>
              </w:rPr>
            </w:pPr>
            <w:r w:rsidRPr="00800D1B">
              <w:rPr>
                <w:color w:val="000000"/>
                <w:sz w:val="20"/>
                <w:lang w:val="sv-SE"/>
              </w:rPr>
              <w:t>Totalt</w:t>
            </w:r>
          </w:p>
        </w:tc>
        <w:tc>
          <w:tcPr>
            <w:tcW w:w="0" w:type="auto"/>
          </w:tcPr>
          <w:p w14:paraId="2D066487" w14:textId="77777777" w:rsidR="00A77B3E" w:rsidRPr="00800D1B" w:rsidRDefault="00A77B3E">
            <w:pPr>
              <w:spacing w:before="100"/>
              <w:rPr>
                <w:color w:val="000000"/>
                <w:sz w:val="20"/>
                <w:lang w:val="sv-SE"/>
              </w:rPr>
            </w:pPr>
          </w:p>
        </w:tc>
        <w:tc>
          <w:tcPr>
            <w:tcW w:w="0" w:type="auto"/>
          </w:tcPr>
          <w:p w14:paraId="2D066488" w14:textId="77777777" w:rsidR="00A77B3E" w:rsidRPr="00800D1B" w:rsidRDefault="00A77B3E">
            <w:pPr>
              <w:spacing w:before="100"/>
              <w:rPr>
                <w:color w:val="000000"/>
                <w:sz w:val="20"/>
                <w:lang w:val="sv-SE"/>
              </w:rPr>
            </w:pPr>
          </w:p>
        </w:tc>
        <w:tc>
          <w:tcPr>
            <w:tcW w:w="0" w:type="auto"/>
          </w:tcPr>
          <w:p w14:paraId="2D066489" w14:textId="77777777" w:rsidR="00A77B3E" w:rsidRPr="00800D1B" w:rsidRDefault="00623E14">
            <w:pPr>
              <w:spacing w:before="100"/>
              <w:jc w:val="right"/>
              <w:rPr>
                <w:color w:val="000000"/>
                <w:sz w:val="20"/>
                <w:lang w:val="sv-SE"/>
              </w:rPr>
            </w:pPr>
            <w:r w:rsidRPr="00800D1B">
              <w:rPr>
                <w:color w:val="000000"/>
                <w:sz w:val="20"/>
                <w:lang w:val="sv-SE"/>
              </w:rPr>
              <w:t>9 919 112,00</w:t>
            </w:r>
          </w:p>
        </w:tc>
      </w:tr>
    </w:tbl>
    <w:p w14:paraId="2D06648C" w14:textId="0B83F188" w:rsidR="00A77B3E" w:rsidRPr="00800D1B" w:rsidRDefault="00623E14" w:rsidP="009B5EF9">
      <w:pPr>
        <w:spacing w:before="360" w:after="100"/>
        <w:rPr>
          <w:lang w:val="sv-SE"/>
        </w:rPr>
      </w:pPr>
      <w:bookmarkStart w:id="158" w:name="_Toc256000399"/>
      <w:r w:rsidRPr="00800D1B">
        <w:rPr>
          <w:lang w:val="sv-SE"/>
        </w:rPr>
        <w:t>Tabell 6: Dimension 3 – territoriell genomförandemetod och territoriellt fokus</w:t>
      </w:r>
      <w:bookmarkEnd w:id="158"/>
    </w:p>
    <w:p w14:paraId="2D06648D" w14:textId="77777777" w:rsidR="00A77B3E" w:rsidRPr="00800D1B" w:rsidRDefault="00A77B3E">
      <w:pPr>
        <w:spacing w:before="100"/>
        <w:rPr>
          <w:color w:val="000000"/>
          <w:sz w:val="0"/>
          <w:lang w:val="sv-SE"/>
        </w:rPr>
      </w:pPr>
    </w:p>
    <w:tbl>
      <w:tblPr>
        <w:tblStyle w:val="Tabellrutnt"/>
        <w:tblW w:w="5000" w:type="pct"/>
        <w:tblLook w:val="04A0" w:firstRow="1" w:lastRow="0" w:firstColumn="1" w:lastColumn="0" w:noHBand="0" w:noVBand="1"/>
        <w:tblDescription w:val="En tabell med sex kolumner: Prioritering; Specifikt mål; Fond; Regionkategori; Kod; Belopp (euro). Tabellen visar information om territoriell genomförandemetod och territoriellt fokus."/>
      </w:tblPr>
      <w:tblGrid>
        <w:gridCol w:w="1572"/>
        <w:gridCol w:w="1772"/>
        <w:gridCol w:w="972"/>
        <w:gridCol w:w="2975"/>
        <w:gridCol w:w="6049"/>
        <w:gridCol w:w="1832"/>
      </w:tblGrid>
      <w:tr w:rsidR="003422DB" w:rsidRPr="00800D1B" w14:paraId="2D066494" w14:textId="77777777" w:rsidTr="00770E35">
        <w:tc>
          <w:tcPr>
            <w:tcW w:w="0" w:type="auto"/>
          </w:tcPr>
          <w:p w14:paraId="2D06648E" w14:textId="77777777" w:rsidR="00A77B3E" w:rsidRPr="00800D1B" w:rsidRDefault="00623E14" w:rsidP="00770E35">
            <w:pPr>
              <w:spacing w:before="100" w:after="100"/>
              <w:ind w:left="-72"/>
              <w:jc w:val="center"/>
              <w:rPr>
                <w:color w:val="000000"/>
                <w:sz w:val="20"/>
                <w:lang w:val="sv-SE"/>
              </w:rPr>
            </w:pPr>
            <w:r w:rsidRPr="00800D1B">
              <w:rPr>
                <w:color w:val="000000"/>
                <w:sz w:val="20"/>
                <w:lang w:val="sv-SE"/>
              </w:rPr>
              <w:t>Prioritering</w:t>
            </w:r>
          </w:p>
        </w:tc>
        <w:tc>
          <w:tcPr>
            <w:tcW w:w="0" w:type="auto"/>
          </w:tcPr>
          <w:p w14:paraId="2D06648F" w14:textId="77777777" w:rsidR="00A77B3E" w:rsidRPr="00800D1B" w:rsidRDefault="00623E14" w:rsidP="00770E35">
            <w:pPr>
              <w:spacing w:before="100" w:after="100"/>
              <w:ind w:left="-72"/>
              <w:jc w:val="center"/>
              <w:rPr>
                <w:color w:val="000000"/>
                <w:sz w:val="20"/>
                <w:lang w:val="sv-SE"/>
              </w:rPr>
            </w:pPr>
            <w:r w:rsidRPr="00800D1B">
              <w:rPr>
                <w:color w:val="000000"/>
                <w:sz w:val="20"/>
                <w:lang w:val="sv-SE"/>
              </w:rPr>
              <w:t>Specifikt mål</w:t>
            </w:r>
          </w:p>
        </w:tc>
        <w:tc>
          <w:tcPr>
            <w:tcW w:w="0" w:type="auto"/>
          </w:tcPr>
          <w:p w14:paraId="2D066490" w14:textId="77777777" w:rsidR="00A77B3E" w:rsidRPr="00800D1B" w:rsidRDefault="00623E14" w:rsidP="00770E35">
            <w:pPr>
              <w:spacing w:before="100" w:after="100"/>
              <w:ind w:left="-72"/>
              <w:jc w:val="center"/>
              <w:rPr>
                <w:color w:val="000000"/>
                <w:sz w:val="20"/>
                <w:lang w:val="sv-SE"/>
              </w:rPr>
            </w:pPr>
            <w:r w:rsidRPr="00800D1B">
              <w:rPr>
                <w:color w:val="000000"/>
                <w:sz w:val="20"/>
                <w:lang w:val="sv-SE"/>
              </w:rPr>
              <w:t>Fond</w:t>
            </w:r>
          </w:p>
        </w:tc>
        <w:tc>
          <w:tcPr>
            <w:tcW w:w="0" w:type="auto"/>
          </w:tcPr>
          <w:p w14:paraId="2D066491" w14:textId="77777777" w:rsidR="00A77B3E" w:rsidRPr="00800D1B" w:rsidRDefault="00623E14" w:rsidP="00770E35">
            <w:pPr>
              <w:spacing w:before="100" w:after="100"/>
              <w:ind w:left="-72"/>
              <w:jc w:val="center"/>
              <w:rPr>
                <w:color w:val="000000"/>
                <w:sz w:val="20"/>
                <w:lang w:val="sv-SE"/>
              </w:rPr>
            </w:pPr>
            <w:r w:rsidRPr="00800D1B">
              <w:rPr>
                <w:color w:val="000000"/>
                <w:sz w:val="20"/>
                <w:lang w:val="sv-SE"/>
              </w:rPr>
              <w:t>Regionkategori</w:t>
            </w:r>
          </w:p>
        </w:tc>
        <w:tc>
          <w:tcPr>
            <w:tcW w:w="0" w:type="auto"/>
          </w:tcPr>
          <w:p w14:paraId="2D066492" w14:textId="77777777" w:rsidR="00A77B3E" w:rsidRPr="00800D1B" w:rsidRDefault="00623E14" w:rsidP="00770E35">
            <w:pPr>
              <w:spacing w:before="100" w:after="100"/>
              <w:ind w:left="-72"/>
              <w:jc w:val="center"/>
              <w:rPr>
                <w:color w:val="000000"/>
                <w:sz w:val="20"/>
                <w:lang w:val="sv-SE"/>
              </w:rPr>
            </w:pPr>
            <w:r w:rsidRPr="00800D1B">
              <w:rPr>
                <w:color w:val="000000"/>
                <w:sz w:val="20"/>
                <w:lang w:val="sv-SE"/>
              </w:rPr>
              <w:t>Kod</w:t>
            </w:r>
          </w:p>
        </w:tc>
        <w:tc>
          <w:tcPr>
            <w:tcW w:w="0" w:type="auto"/>
          </w:tcPr>
          <w:p w14:paraId="2D066493" w14:textId="77777777" w:rsidR="00A77B3E" w:rsidRPr="00800D1B" w:rsidRDefault="00623E14" w:rsidP="00770E35">
            <w:pPr>
              <w:spacing w:before="100" w:after="100"/>
              <w:ind w:left="-72"/>
              <w:jc w:val="center"/>
              <w:rPr>
                <w:color w:val="000000"/>
                <w:sz w:val="20"/>
                <w:lang w:val="sv-SE"/>
              </w:rPr>
            </w:pPr>
            <w:r w:rsidRPr="00800D1B">
              <w:rPr>
                <w:color w:val="000000"/>
                <w:sz w:val="20"/>
                <w:lang w:val="sv-SE"/>
              </w:rPr>
              <w:t>Belopp (euro)</w:t>
            </w:r>
          </w:p>
        </w:tc>
      </w:tr>
      <w:tr w:rsidR="003422DB" w:rsidRPr="00800D1B" w14:paraId="2D06649B" w14:textId="77777777" w:rsidTr="00770E35">
        <w:tc>
          <w:tcPr>
            <w:tcW w:w="0" w:type="auto"/>
          </w:tcPr>
          <w:p w14:paraId="2D066495" w14:textId="77777777" w:rsidR="00A77B3E" w:rsidRPr="00800D1B" w:rsidRDefault="00623E14" w:rsidP="00770E35">
            <w:pPr>
              <w:spacing w:before="100" w:after="100"/>
              <w:ind w:left="-72"/>
              <w:rPr>
                <w:color w:val="000000"/>
                <w:sz w:val="20"/>
                <w:lang w:val="sv-SE"/>
              </w:rPr>
            </w:pPr>
            <w:r w:rsidRPr="00800D1B">
              <w:rPr>
                <w:color w:val="000000"/>
                <w:sz w:val="20"/>
                <w:lang w:val="sv-SE"/>
              </w:rPr>
              <w:t>4</w:t>
            </w:r>
          </w:p>
        </w:tc>
        <w:tc>
          <w:tcPr>
            <w:tcW w:w="0" w:type="auto"/>
          </w:tcPr>
          <w:p w14:paraId="2D066496" w14:textId="77777777" w:rsidR="00A77B3E" w:rsidRPr="00800D1B" w:rsidRDefault="00623E14" w:rsidP="00770E35">
            <w:pPr>
              <w:spacing w:before="100" w:after="100"/>
              <w:ind w:left="-72"/>
              <w:rPr>
                <w:color w:val="000000"/>
                <w:sz w:val="20"/>
                <w:lang w:val="sv-SE"/>
              </w:rPr>
            </w:pPr>
            <w:r w:rsidRPr="00800D1B">
              <w:rPr>
                <w:color w:val="000000"/>
                <w:sz w:val="20"/>
                <w:lang w:val="sv-SE"/>
              </w:rPr>
              <w:t>RSO2.6</w:t>
            </w:r>
          </w:p>
        </w:tc>
        <w:tc>
          <w:tcPr>
            <w:tcW w:w="0" w:type="auto"/>
          </w:tcPr>
          <w:p w14:paraId="2D066497" w14:textId="77777777" w:rsidR="00A77B3E" w:rsidRPr="00800D1B" w:rsidRDefault="00623E14" w:rsidP="00770E35">
            <w:pPr>
              <w:spacing w:before="100" w:after="100"/>
              <w:ind w:left="-72"/>
              <w:rPr>
                <w:color w:val="000000"/>
                <w:sz w:val="20"/>
                <w:lang w:val="sv-SE"/>
              </w:rPr>
            </w:pPr>
            <w:r w:rsidRPr="00800D1B">
              <w:rPr>
                <w:color w:val="000000"/>
                <w:sz w:val="20"/>
                <w:lang w:val="sv-SE"/>
              </w:rPr>
              <w:t>Eruf</w:t>
            </w:r>
          </w:p>
        </w:tc>
        <w:tc>
          <w:tcPr>
            <w:tcW w:w="0" w:type="auto"/>
          </w:tcPr>
          <w:p w14:paraId="2D066498" w14:textId="77777777" w:rsidR="00A77B3E" w:rsidRPr="00800D1B" w:rsidRDefault="00623E14" w:rsidP="00770E35">
            <w:pPr>
              <w:spacing w:before="100" w:after="100"/>
              <w:ind w:left="-72"/>
              <w:rPr>
                <w:color w:val="000000"/>
                <w:sz w:val="20"/>
                <w:lang w:val="sv-SE"/>
              </w:rPr>
            </w:pPr>
            <w:r w:rsidRPr="00800D1B">
              <w:rPr>
                <w:color w:val="000000"/>
                <w:sz w:val="20"/>
                <w:lang w:val="sv-SE"/>
              </w:rPr>
              <w:t>Mer utvecklade regioner</w:t>
            </w:r>
          </w:p>
        </w:tc>
        <w:tc>
          <w:tcPr>
            <w:tcW w:w="0" w:type="auto"/>
          </w:tcPr>
          <w:p w14:paraId="2D066499" w14:textId="77777777" w:rsidR="00A77B3E" w:rsidRPr="00800D1B" w:rsidRDefault="00623E14" w:rsidP="00770E35">
            <w:pPr>
              <w:spacing w:before="100" w:after="100"/>
              <w:ind w:left="-72"/>
              <w:rPr>
                <w:color w:val="000000"/>
                <w:sz w:val="20"/>
                <w:lang w:val="sv-SE"/>
              </w:rPr>
            </w:pPr>
            <w:r w:rsidRPr="00800D1B">
              <w:rPr>
                <w:color w:val="000000"/>
                <w:sz w:val="20"/>
                <w:lang w:val="sv-SE"/>
              </w:rPr>
              <w:t>33. Andra strategier – Ingen territoriell målinriktning</w:t>
            </w:r>
          </w:p>
        </w:tc>
        <w:tc>
          <w:tcPr>
            <w:tcW w:w="0" w:type="auto"/>
          </w:tcPr>
          <w:p w14:paraId="2D06649A" w14:textId="77777777" w:rsidR="00A77B3E" w:rsidRPr="00800D1B" w:rsidRDefault="00623E14" w:rsidP="00770E35">
            <w:pPr>
              <w:spacing w:before="100" w:after="100"/>
              <w:ind w:left="-72"/>
              <w:jc w:val="right"/>
              <w:rPr>
                <w:color w:val="000000"/>
                <w:sz w:val="20"/>
                <w:lang w:val="sv-SE"/>
              </w:rPr>
            </w:pPr>
            <w:r w:rsidRPr="00800D1B">
              <w:rPr>
                <w:color w:val="000000"/>
                <w:sz w:val="20"/>
                <w:lang w:val="sv-SE"/>
              </w:rPr>
              <w:t>9 919 112,00</w:t>
            </w:r>
          </w:p>
        </w:tc>
      </w:tr>
      <w:tr w:rsidR="003422DB" w:rsidRPr="00800D1B" w14:paraId="2D0664A2" w14:textId="77777777" w:rsidTr="00770E35">
        <w:tc>
          <w:tcPr>
            <w:tcW w:w="0" w:type="auto"/>
          </w:tcPr>
          <w:p w14:paraId="2D06649C" w14:textId="77777777" w:rsidR="00A77B3E" w:rsidRPr="00800D1B" w:rsidRDefault="00623E14" w:rsidP="00770E35">
            <w:pPr>
              <w:spacing w:before="100" w:after="100"/>
              <w:ind w:left="-72"/>
              <w:rPr>
                <w:color w:val="000000"/>
                <w:sz w:val="20"/>
                <w:lang w:val="sv-SE"/>
              </w:rPr>
            </w:pPr>
            <w:r w:rsidRPr="00800D1B">
              <w:rPr>
                <w:color w:val="000000"/>
                <w:sz w:val="20"/>
                <w:lang w:val="sv-SE"/>
              </w:rPr>
              <w:t>4</w:t>
            </w:r>
          </w:p>
        </w:tc>
        <w:tc>
          <w:tcPr>
            <w:tcW w:w="0" w:type="auto"/>
          </w:tcPr>
          <w:p w14:paraId="2D06649D" w14:textId="77777777" w:rsidR="00A77B3E" w:rsidRPr="00800D1B" w:rsidRDefault="00623E14" w:rsidP="00770E35">
            <w:pPr>
              <w:spacing w:before="100" w:after="100"/>
              <w:ind w:left="-72"/>
              <w:rPr>
                <w:color w:val="000000"/>
                <w:sz w:val="20"/>
                <w:lang w:val="sv-SE"/>
              </w:rPr>
            </w:pPr>
            <w:r w:rsidRPr="00800D1B">
              <w:rPr>
                <w:color w:val="000000"/>
                <w:sz w:val="20"/>
                <w:lang w:val="sv-SE"/>
              </w:rPr>
              <w:t>RSO2.6</w:t>
            </w:r>
          </w:p>
        </w:tc>
        <w:tc>
          <w:tcPr>
            <w:tcW w:w="0" w:type="auto"/>
          </w:tcPr>
          <w:p w14:paraId="2D06649E" w14:textId="77777777" w:rsidR="00A77B3E" w:rsidRPr="00800D1B" w:rsidRDefault="00623E14" w:rsidP="00770E35">
            <w:pPr>
              <w:spacing w:before="100" w:after="100"/>
              <w:ind w:left="-72"/>
              <w:rPr>
                <w:color w:val="000000"/>
                <w:sz w:val="20"/>
                <w:lang w:val="sv-SE"/>
              </w:rPr>
            </w:pPr>
            <w:r w:rsidRPr="00800D1B">
              <w:rPr>
                <w:color w:val="000000"/>
                <w:sz w:val="20"/>
                <w:lang w:val="sv-SE"/>
              </w:rPr>
              <w:t>Totalt</w:t>
            </w:r>
          </w:p>
        </w:tc>
        <w:tc>
          <w:tcPr>
            <w:tcW w:w="0" w:type="auto"/>
          </w:tcPr>
          <w:p w14:paraId="2D06649F" w14:textId="77777777" w:rsidR="00A77B3E" w:rsidRPr="00800D1B" w:rsidRDefault="00A77B3E" w:rsidP="00770E35">
            <w:pPr>
              <w:spacing w:before="100" w:after="100"/>
              <w:ind w:left="-72"/>
              <w:rPr>
                <w:color w:val="000000"/>
                <w:sz w:val="20"/>
                <w:lang w:val="sv-SE"/>
              </w:rPr>
            </w:pPr>
          </w:p>
        </w:tc>
        <w:tc>
          <w:tcPr>
            <w:tcW w:w="0" w:type="auto"/>
          </w:tcPr>
          <w:p w14:paraId="2D0664A0" w14:textId="77777777" w:rsidR="00A77B3E" w:rsidRPr="00800D1B" w:rsidRDefault="00A77B3E" w:rsidP="00770E35">
            <w:pPr>
              <w:spacing w:before="100" w:after="100"/>
              <w:ind w:left="-72"/>
              <w:rPr>
                <w:color w:val="000000"/>
                <w:sz w:val="20"/>
                <w:lang w:val="sv-SE"/>
              </w:rPr>
            </w:pPr>
          </w:p>
        </w:tc>
        <w:tc>
          <w:tcPr>
            <w:tcW w:w="0" w:type="auto"/>
          </w:tcPr>
          <w:p w14:paraId="2D0664A1" w14:textId="77777777" w:rsidR="00A77B3E" w:rsidRPr="00800D1B" w:rsidRDefault="00623E14" w:rsidP="00770E35">
            <w:pPr>
              <w:spacing w:before="100" w:after="100"/>
              <w:ind w:left="-72"/>
              <w:jc w:val="right"/>
              <w:rPr>
                <w:color w:val="000000"/>
                <w:sz w:val="20"/>
                <w:lang w:val="sv-SE"/>
              </w:rPr>
            </w:pPr>
            <w:r w:rsidRPr="00800D1B">
              <w:rPr>
                <w:color w:val="000000"/>
                <w:sz w:val="20"/>
                <w:lang w:val="sv-SE"/>
              </w:rPr>
              <w:t>9 919 112,00</w:t>
            </w:r>
          </w:p>
        </w:tc>
      </w:tr>
    </w:tbl>
    <w:p w14:paraId="2D0664A4" w14:textId="5961148D" w:rsidR="00A77B3E" w:rsidRPr="00800D1B" w:rsidRDefault="00623E14" w:rsidP="009B5EF9">
      <w:pPr>
        <w:spacing w:before="360" w:after="100"/>
        <w:rPr>
          <w:lang w:val="sv-SE"/>
        </w:rPr>
      </w:pPr>
      <w:bookmarkStart w:id="159" w:name="_Toc256000400"/>
      <w:r w:rsidRPr="00800D1B">
        <w:rPr>
          <w:lang w:val="sv-SE"/>
        </w:rPr>
        <w:t>Tabell 7: Dimension 6 – ESF+-sekundärteman</w:t>
      </w:r>
      <w:bookmarkEnd w:id="159"/>
    </w:p>
    <w:p w14:paraId="2D0664A5" w14:textId="77777777" w:rsidR="00A77B3E" w:rsidRPr="00800D1B" w:rsidRDefault="00A77B3E">
      <w:pPr>
        <w:spacing w:before="100"/>
        <w:rPr>
          <w:color w:val="000000"/>
          <w:sz w:val="0"/>
          <w:lang w:val="sv-SE"/>
        </w:rPr>
      </w:pPr>
    </w:p>
    <w:tbl>
      <w:tblPr>
        <w:tblStyle w:val="Tabellrutnt"/>
        <w:tblW w:w="5000" w:type="pct"/>
        <w:tblLook w:val="04A0" w:firstRow="1" w:lastRow="0" w:firstColumn="1" w:lastColumn="0" w:noHBand="0" w:noVBand="1"/>
        <w:tblDescription w:val="En tabell med sex kolumner: Prioritering; Specifikt mål; Fond; Regionkategori; Kod; Belopp (euro). Tabellen visar information om ESF+-sekundärteman."/>
      </w:tblPr>
      <w:tblGrid>
        <w:gridCol w:w="2696"/>
        <w:gridCol w:w="3040"/>
        <w:gridCol w:w="1516"/>
        <w:gridCol w:w="3415"/>
        <w:gridCol w:w="1361"/>
        <w:gridCol w:w="3144"/>
      </w:tblGrid>
      <w:tr w:rsidR="003422DB" w:rsidRPr="00800D1B" w14:paraId="2D0664AC" w14:textId="77777777" w:rsidTr="00770E35">
        <w:tc>
          <w:tcPr>
            <w:tcW w:w="0" w:type="auto"/>
          </w:tcPr>
          <w:p w14:paraId="2D0664A6" w14:textId="77777777" w:rsidR="00A77B3E" w:rsidRPr="00800D1B" w:rsidRDefault="00623E14" w:rsidP="00770E35">
            <w:pPr>
              <w:spacing w:before="100" w:after="100"/>
              <w:ind w:left="-72"/>
              <w:jc w:val="center"/>
              <w:rPr>
                <w:color w:val="000000"/>
                <w:sz w:val="20"/>
                <w:lang w:val="sv-SE"/>
              </w:rPr>
            </w:pPr>
            <w:r w:rsidRPr="00800D1B">
              <w:rPr>
                <w:color w:val="000000"/>
                <w:sz w:val="20"/>
                <w:lang w:val="sv-SE"/>
              </w:rPr>
              <w:t>Prioritering</w:t>
            </w:r>
          </w:p>
        </w:tc>
        <w:tc>
          <w:tcPr>
            <w:tcW w:w="0" w:type="auto"/>
          </w:tcPr>
          <w:p w14:paraId="2D0664A7" w14:textId="77777777" w:rsidR="00A77B3E" w:rsidRPr="00800D1B" w:rsidRDefault="00623E14" w:rsidP="00770E35">
            <w:pPr>
              <w:spacing w:before="100" w:after="100"/>
              <w:ind w:left="-72"/>
              <w:jc w:val="center"/>
              <w:rPr>
                <w:color w:val="000000"/>
                <w:sz w:val="20"/>
                <w:lang w:val="sv-SE"/>
              </w:rPr>
            </w:pPr>
            <w:r w:rsidRPr="00800D1B">
              <w:rPr>
                <w:color w:val="000000"/>
                <w:sz w:val="20"/>
                <w:lang w:val="sv-SE"/>
              </w:rPr>
              <w:t>Specifikt mål</w:t>
            </w:r>
          </w:p>
        </w:tc>
        <w:tc>
          <w:tcPr>
            <w:tcW w:w="0" w:type="auto"/>
          </w:tcPr>
          <w:p w14:paraId="2D0664A8" w14:textId="77777777" w:rsidR="00A77B3E" w:rsidRPr="00800D1B" w:rsidRDefault="00623E14" w:rsidP="00770E35">
            <w:pPr>
              <w:spacing w:before="100" w:after="100"/>
              <w:ind w:left="-72"/>
              <w:jc w:val="center"/>
              <w:rPr>
                <w:color w:val="000000"/>
                <w:sz w:val="20"/>
                <w:lang w:val="sv-SE"/>
              </w:rPr>
            </w:pPr>
            <w:r w:rsidRPr="00800D1B">
              <w:rPr>
                <w:color w:val="000000"/>
                <w:sz w:val="20"/>
                <w:lang w:val="sv-SE"/>
              </w:rPr>
              <w:t>Fond</w:t>
            </w:r>
          </w:p>
        </w:tc>
        <w:tc>
          <w:tcPr>
            <w:tcW w:w="0" w:type="auto"/>
          </w:tcPr>
          <w:p w14:paraId="2D0664A9" w14:textId="77777777" w:rsidR="00A77B3E" w:rsidRPr="00800D1B" w:rsidRDefault="00623E14" w:rsidP="00770E35">
            <w:pPr>
              <w:spacing w:before="100" w:after="100"/>
              <w:ind w:left="-72"/>
              <w:jc w:val="center"/>
              <w:rPr>
                <w:color w:val="000000"/>
                <w:sz w:val="20"/>
                <w:lang w:val="sv-SE"/>
              </w:rPr>
            </w:pPr>
            <w:r w:rsidRPr="00800D1B">
              <w:rPr>
                <w:color w:val="000000"/>
                <w:sz w:val="20"/>
                <w:lang w:val="sv-SE"/>
              </w:rPr>
              <w:t>Regionkategori</w:t>
            </w:r>
          </w:p>
        </w:tc>
        <w:tc>
          <w:tcPr>
            <w:tcW w:w="0" w:type="auto"/>
          </w:tcPr>
          <w:p w14:paraId="2D0664AA" w14:textId="77777777" w:rsidR="00A77B3E" w:rsidRPr="00800D1B" w:rsidRDefault="00623E14" w:rsidP="00770E35">
            <w:pPr>
              <w:spacing w:before="100" w:after="100"/>
              <w:ind w:left="-72"/>
              <w:jc w:val="center"/>
              <w:rPr>
                <w:color w:val="000000"/>
                <w:sz w:val="20"/>
                <w:lang w:val="sv-SE"/>
              </w:rPr>
            </w:pPr>
            <w:r w:rsidRPr="00800D1B">
              <w:rPr>
                <w:color w:val="000000"/>
                <w:sz w:val="20"/>
                <w:lang w:val="sv-SE"/>
              </w:rPr>
              <w:t>Kod</w:t>
            </w:r>
          </w:p>
        </w:tc>
        <w:tc>
          <w:tcPr>
            <w:tcW w:w="0" w:type="auto"/>
          </w:tcPr>
          <w:p w14:paraId="2D0664AB" w14:textId="77777777" w:rsidR="00A77B3E" w:rsidRPr="00800D1B" w:rsidRDefault="00623E14" w:rsidP="00770E35">
            <w:pPr>
              <w:spacing w:before="100" w:after="100"/>
              <w:ind w:left="-72"/>
              <w:jc w:val="center"/>
              <w:rPr>
                <w:color w:val="000000"/>
                <w:sz w:val="20"/>
                <w:lang w:val="sv-SE"/>
              </w:rPr>
            </w:pPr>
            <w:r w:rsidRPr="00800D1B">
              <w:rPr>
                <w:color w:val="000000"/>
                <w:sz w:val="20"/>
                <w:lang w:val="sv-SE"/>
              </w:rPr>
              <w:t>Belopp (euro)</w:t>
            </w:r>
          </w:p>
        </w:tc>
      </w:tr>
    </w:tbl>
    <w:p w14:paraId="2D0664AE" w14:textId="59161FBE" w:rsidR="00A77B3E" w:rsidRPr="00800D1B" w:rsidRDefault="00623E14" w:rsidP="009B5EF9">
      <w:pPr>
        <w:spacing w:before="360" w:after="100"/>
        <w:rPr>
          <w:lang w:val="sv-SE"/>
        </w:rPr>
      </w:pPr>
      <w:bookmarkStart w:id="160" w:name="_Toc256000401"/>
      <w:r w:rsidRPr="00800D1B">
        <w:rPr>
          <w:lang w:val="sv-SE"/>
        </w:rPr>
        <w:t>Tabell 8: Dimension 7 – ESF+, Eruf, Sammanhållningsfonden och FRO, jämställdhetsdimensionen</w:t>
      </w:r>
      <w:bookmarkEnd w:id="160"/>
    </w:p>
    <w:tbl>
      <w:tblPr>
        <w:tblStyle w:val="Tabellrutnt"/>
        <w:tblW w:w="5000" w:type="pct"/>
        <w:tblLook w:val="04A0" w:firstRow="1" w:lastRow="0" w:firstColumn="1" w:lastColumn="0" w:noHBand="0" w:noVBand="1"/>
        <w:tblDescription w:val="En tabell med sex kolumner: Prioritering; Specifikt mål; Fond; Regionkategori; Kod; Belopp (euro). Tabellen visar information om ESF+, Eruf, Sammanhållningsfonden och FRO, jämställdhetsdimensionen."/>
      </w:tblPr>
      <w:tblGrid>
        <w:gridCol w:w="1909"/>
        <w:gridCol w:w="2152"/>
        <w:gridCol w:w="1181"/>
        <w:gridCol w:w="3615"/>
        <w:gridCol w:w="4089"/>
        <w:gridCol w:w="2226"/>
      </w:tblGrid>
      <w:tr w:rsidR="003422DB" w:rsidRPr="00800D1B" w14:paraId="2D0664B6" w14:textId="77777777" w:rsidTr="00770E35">
        <w:tc>
          <w:tcPr>
            <w:tcW w:w="0" w:type="auto"/>
          </w:tcPr>
          <w:p w14:paraId="2D0664B0" w14:textId="77777777" w:rsidR="00A77B3E" w:rsidRPr="00800D1B" w:rsidRDefault="00623E14" w:rsidP="00770E35">
            <w:pPr>
              <w:spacing w:before="100" w:after="100"/>
              <w:ind w:left="-72"/>
              <w:jc w:val="center"/>
              <w:rPr>
                <w:color w:val="000000"/>
                <w:sz w:val="20"/>
                <w:lang w:val="sv-SE"/>
              </w:rPr>
            </w:pPr>
            <w:r w:rsidRPr="00800D1B">
              <w:rPr>
                <w:color w:val="000000"/>
                <w:sz w:val="20"/>
                <w:lang w:val="sv-SE"/>
              </w:rPr>
              <w:t>Prioritering</w:t>
            </w:r>
          </w:p>
        </w:tc>
        <w:tc>
          <w:tcPr>
            <w:tcW w:w="0" w:type="auto"/>
          </w:tcPr>
          <w:p w14:paraId="2D0664B1" w14:textId="77777777" w:rsidR="00A77B3E" w:rsidRPr="00800D1B" w:rsidRDefault="00623E14" w:rsidP="00770E35">
            <w:pPr>
              <w:spacing w:before="100" w:after="100"/>
              <w:ind w:left="-72"/>
              <w:jc w:val="center"/>
              <w:rPr>
                <w:color w:val="000000"/>
                <w:sz w:val="20"/>
                <w:lang w:val="sv-SE"/>
              </w:rPr>
            </w:pPr>
            <w:r w:rsidRPr="00800D1B">
              <w:rPr>
                <w:color w:val="000000"/>
                <w:sz w:val="20"/>
                <w:lang w:val="sv-SE"/>
              </w:rPr>
              <w:t>Specifikt mål</w:t>
            </w:r>
          </w:p>
        </w:tc>
        <w:tc>
          <w:tcPr>
            <w:tcW w:w="0" w:type="auto"/>
          </w:tcPr>
          <w:p w14:paraId="2D0664B2" w14:textId="77777777" w:rsidR="00A77B3E" w:rsidRPr="00800D1B" w:rsidRDefault="00623E14" w:rsidP="00770E35">
            <w:pPr>
              <w:spacing w:before="100" w:after="100"/>
              <w:ind w:left="-72"/>
              <w:jc w:val="center"/>
              <w:rPr>
                <w:color w:val="000000"/>
                <w:sz w:val="20"/>
                <w:lang w:val="sv-SE"/>
              </w:rPr>
            </w:pPr>
            <w:r w:rsidRPr="00800D1B">
              <w:rPr>
                <w:color w:val="000000"/>
                <w:sz w:val="20"/>
                <w:lang w:val="sv-SE"/>
              </w:rPr>
              <w:t>Fond</w:t>
            </w:r>
          </w:p>
        </w:tc>
        <w:tc>
          <w:tcPr>
            <w:tcW w:w="0" w:type="auto"/>
          </w:tcPr>
          <w:p w14:paraId="2D0664B3" w14:textId="77777777" w:rsidR="00A77B3E" w:rsidRPr="00800D1B" w:rsidRDefault="00623E14" w:rsidP="00770E35">
            <w:pPr>
              <w:spacing w:before="100" w:after="100"/>
              <w:ind w:left="-72"/>
              <w:jc w:val="center"/>
              <w:rPr>
                <w:color w:val="000000"/>
                <w:sz w:val="20"/>
                <w:lang w:val="sv-SE"/>
              </w:rPr>
            </w:pPr>
            <w:r w:rsidRPr="00800D1B">
              <w:rPr>
                <w:color w:val="000000"/>
                <w:sz w:val="20"/>
                <w:lang w:val="sv-SE"/>
              </w:rPr>
              <w:t>Regionkategori</w:t>
            </w:r>
          </w:p>
        </w:tc>
        <w:tc>
          <w:tcPr>
            <w:tcW w:w="0" w:type="auto"/>
          </w:tcPr>
          <w:p w14:paraId="2D0664B4" w14:textId="77777777" w:rsidR="00A77B3E" w:rsidRPr="00800D1B" w:rsidRDefault="00623E14" w:rsidP="00770E35">
            <w:pPr>
              <w:spacing w:before="100" w:after="100"/>
              <w:ind w:left="-72"/>
              <w:jc w:val="center"/>
              <w:rPr>
                <w:color w:val="000000"/>
                <w:sz w:val="20"/>
                <w:lang w:val="sv-SE"/>
              </w:rPr>
            </w:pPr>
            <w:r w:rsidRPr="00800D1B">
              <w:rPr>
                <w:color w:val="000000"/>
                <w:sz w:val="20"/>
                <w:lang w:val="sv-SE"/>
              </w:rPr>
              <w:t>Kod</w:t>
            </w:r>
          </w:p>
        </w:tc>
        <w:tc>
          <w:tcPr>
            <w:tcW w:w="0" w:type="auto"/>
          </w:tcPr>
          <w:p w14:paraId="2D0664B5" w14:textId="77777777" w:rsidR="00A77B3E" w:rsidRPr="00800D1B" w:rsidRDefault="00623E14" w:rsidP="00770E35">
            <w:pPr>
              <w:spacing w:before="100" w:after="100"/>
              <w:ind w:left="-72"/>
              <w:jc w:val="center"/>
              <w:rPr>
                <w:color w:val="000000"/>
                <w:sz w:val="20"/>
                <w:lang w:val="sv-SE"/>
              </w:rPr>
            </w:pPr>
            <w:r w:rsidRPr="00800D1B">
              <w:rPr>
                <w:color w:val="000000"/>
                <w:sz w:val="20"/>
                <w:lang w:val="sv-SE"/>
              </w:rPr>
              <w:t>Belopp (euro)</w:t>
            </w:r>
          </w:p>
        </w:tc>
      </w:tr>
      <w:tr w:rsidR="003422DB" w:rsidRPr="00800D1B" w14:paraId="2D0664BD" w14:textId="77777777" w:rsidTr="00770E35">
        <w:tc>
          <w:tcPr>
            <w:tcW w:w="0" w:type="auto"/>
          </w:tcPr>
          <w:p w14:paraId="2D0664B7" w14:textId="77777777" w:rsidR="00A77B3E" w:rsidRPr="00800D1B" w:rsidRDefault="00623E14" w:rsidP="00770E35">
            <w:pPr>
              <w:spacing w:before="100" w:after="100"/>
              <w:ind w:left="-72"/>
              <w:rPr>
                <w:color w:val="000000"/>
                <w:sz w:val="20"/>
                <w:lang w:val="sv-SE"/>
              </w:rPr>
            </w:pPr>
            <w:r w:rsidRPr="00800D1B">
              <w:rPr>
                <w:color w:val="000000"/>
                <w:sz w:val="20"/>
                <w:lang w:val="sv-SE"/>
              </w:rPr>
              <w:t>4</w:t>
            </w:r>
          </w:p>
        </w:tc>
        <w:tc>
          <w:tcPr>
            <w:tcW w:w="0" w:type="auto"/>
          </w:tcPr>
          <w:p w14:paraId="2D0664B8" w14:textId="77777777" w:rsidR="00A77B3E" w:rsidRPr="00800D1B" w:rsidRDefault="00623E14" w:rsidP="00770E35">
            <w:pPr>
              <w:spacing w:before="100" w:after="100"/>
              <w:ind w:left="-72"/>
              <w:rPr>
                <w:color w:val="000000"/>
                <w:sz w:val="20"/>
                <w:lang w:val="sv-SE"/>
              </w:rPr>
            </w:pPr>
            <w:r w:rsidRPr="00800D1B">
              <w:rPr>
                <w:color w:val="000000"/>
                <w:sz w:val="20"/>
                <w:lang w:val="sv-SE"/>
              </w:rPr>
              <w:t>RSO2.6</w:t>
            </w:r>
          </w:p>
        </w:tc>
        <w:tc>
          <w:tcPr>
            <w:tcW w:w="0" w:type="auto"/>
          </w:tcPr>
          <w:p w14:paraId="2D0664B9" w14:textId="77777777" w:rsidR="00A77B3E" w:rsidRPr="00800D1B" w:rsidRDefault="00623E14" w:rsidP="00770E35">
            <w:pPr>
              <w:spacing w:before="100" w:after="100"/>
              <w:ind w:left="-72"/>
              <w:rPr>
                <w:color w:val="000000"/>
                <w:sz w:val="20"/>
                <w:lang w:val="sv-SE"/>
              </w:rPr>
            </w:pPr>
            <w:r w:rsidRPr="00800D1B">
              <w:rPr>
                <w:color w:val="000000"/>
                <w:sz w:val="20"/>
                <w:lang w:val="sv-SE"/>
              </w:rPr>
              <w:t>Eruf</w:t>
            </w:r>
          </w:p>
        </w:tc>
        <w:tc>
          <w:tcPr>
            <w:tcW w:w="0" w:type="auto"/>
          </w:tcPr>
          <w:p w14:paraId="2D0664BA" w14:textId="77777777" w:rsidR="00A77B3E" w:rsidRPr="00800D1B" w:rsidRDefault="00623E14" w:rsidP="00770E35">
            <w:pPr>
              <w:spacing w:before="100" w:after="100"/>
              <w:ind w:left="-72"/>
              <w:rPr>
                <w:color w:val="000000"/>
                <w:sz w:val="20"/>
                <w:lang w:val="sv-SE"/>
              </w:rPr>
            </w:pPr>
            <w:r w:rsidRPr="00800D1B">
              <w:rPr>
                <w:color w:val="000000"/>
                <w:sz w:val="20"/>
                <w:lang w:val="sv-SE"/>
              </w:rPr>
              <w:t>Mer utvecklade regioner</w:t>
            </w:r>
          </w:p>
        </w:tc>
        <w:tc>
          <w:tcPr>
            <w:tcW w:w="0" w:type="auto"/>
          </w:tcPr>
          <w:p w14:paraId="2D0664BB" w14:textId="77777777" w:rsidR="00A77B3E" w:rsidRPr="00800D1B" w:rsidRDefault="00623E14" w:rsidP="00770E35">
            <w:pPr>
              <w:spacing w:before="100" w:after="100"/>
              <w:ind w:left="-72"/>
              <w:rPr>
                <w:color w:val="000000"/>
                <w:sz w:val="20"/>
                <w:lang w:val="sv-SE"/>
              </w:rPr>
            </w:pPr>
            <w:r w:rsidRPr="00800D1B">
              <w:rPr>
                <w:color w:val="000000"/>
                <w:sz w:val="20"/>
                <w:lang w:val="sv-SE"/>
              </w:rPr>
              <w:t>02. Jämställdhetsintegrering</w:t>
            </w:r>
          </w:p>
        </w:tc>
        <w:tc>
          <w:tcPr>
            <w:tcW w:w="0" w:type="auto"/>
          </w:tcPr>
          <w:p w14:paraId="2D0664BC" w14:textId="77777777" w:rsidR="00A77B3E" w:rsidRPr="00800D1B" w:rsidRDefault="00623E14" w:rsidP="00770E35">
            <w:pPr>
              <w:spacing w:before="100" w:after="100"/>
              <w:ind w:left="-72"/>
              <w:jc w:val="right"/>
              <w:rPr>
                <w:color w:val="000000"/>
                <w:sz w:val="20"/>
                <w:lang w:val="sv-SE"/>
              </w:rPr>
            </w:pPr>
            <w:r w:rsidRPr="00800D1B">
              <w:rPr>
                <w:color w:val="000000"/>
                <w:sz w:val="20"/>
                <w:lang w:val="sv-SE"/>
              </w:rPr>
              <w:t>3 967 644,00</w:t>
            </w:r>
          </w:p>
        </w:tc>
      </w:tr>
      <w:tr w:rsidR="003422DB" w:rsidRPr="00800D1B" w14:paraId="2D0664C4" w14:textId="77777777" w:rsidTr="00770E35">
        <w:tc>
          <w:tcPr>
            <w:tcW w:w="0" w:type="auto"/>
          </w:tcPr>
          <w:p w14:paraId="2D0664BE" w14:textId="77777777" w:rsidR="00A77B3E" w:rsidRPr="00800D1B" w:rsidRDefault="00623E14" w:rsidP="00770E35">
            <w:pPr>
              <w:spacing w:before="100" w:after="100"/>
              <w:ind w:left="-72"/>
              <w:rPr>
                <w:color w:val="000000"/>
                <w:sz w:val="20"/>
                <w:lang w:val="sv-SE"/>
              </w:rPr>
            </w:pPr>
            <w:r w:rsidRPr="00800D1B">
              <w:rPr>
                <w:color w:val="000000"/>
                <w:sz w:val="20"/>
                <w:lang w:val="sv-SE"/>
              </w:rPr>
              <w:t>4</w:t>
            </w:r>
          </w:p>
        </w:tc>
        <w:tc>
          <w:tcPr>
            <w:tcW w:w="0" w:type="auto"/>
          </w:tcPr>
          <w:p w14:paraId="2D0664BF" w14:textId="77777777" w:rsidR="00A77B3E" w:rsidRPr="00800D1B" w:rsidRDefault="00623E14" w:rsidP="00770E35">
            <w:pPr>
              <w:spacing w:before="100" w:after="100"/>
              <w:ind w:left="-72"/>
              <w:rPr>
                <w:color w:val="000000"/>
                <w:sz w:val="20"/>
                <w:lang w:val="sv-SE"/>
              </w:rPr>
            </w:pPr>
            <w:r w:rsidRPr="00800D1B">
              <w:rPr>
                <w:color w:val="000000"/>
                <w:sz w:val="20"/>
                <w:lang w:val="sv-SE"/>
              </w:rPr>
              <w:t>RSO2.6</w:t>
            </w:r>
          </w:p>
        </w:tc>
        <w:tc>
          <w:tcPr>
            <w:tcW w:w="0" w:type="auto"/>
          </w:tcPr>
          <w:p w14:paraId="2D0664C0" w14:textId="77777777" w:rsidR="00A77B3E" w:rsidRPr="00800D1B" w:rsidRDefault="00623E14" w:rsidP="00770E35">
            <w:pPr>
              <w:spacing w:before="100" w:after="100"/>
              <w:ind w:left="-72"/>
              <w:rPr>
                <w:color w:val="000000"/>
                <w:sz w:val="20"/>
                <w:lang w:val="sv-SE"/>
              </w:rPr>
            </w:pPr>
            <w:r w:rsidRPr="00800D1B">
              <w:rPr>
                <w:color w:val="000000"/>
                <w:sz w:val="20"/>
                <w:lang w:val="sv-SE"/>
              </w:rPr>
              <w:t>Eruf</w:t>
            </w:r>
          </w:p>
        </w:tc>
        <w:tc>
          <w:tcPr>
            <w:tcW w:w="0" w:type="auto"/>
          </w:tcPr>
          <w:p w14:paraId="2D0664C1" w14:textId="77777777" w:rsidR="00A77B3E" w:rsidRPr="00800D1B" w:rsidRDefault="00623E14" w:rsidP="00770E35">
            <w:pPr>
              <w:spacing w:before="100" w:after="100"/>
              <w:ind w:left="-72"/>
              <w:rPr>
                <w:color w:val="000000"/>
                <w:sz w:val="20"/>
                <w:lang w:val="sv-SE"/>
              </w:rPr>
            </w:pPr>
            <w:r w:rsidRPr="00800D1B">
              <w:rPr>
                <w:color w:val="000000"/>
                <w:sz w:val="20"/>
                <w:lang w:val="sv-SE"/>
              </w:rPr>
              <w:t>Mer utvecklade regioner</w:t>
            </w:r>
          </w:p>
        </w:tc>
        <w:tc>
          <w:tcPr>
            <w:tcW w:w="0" w:type="auto"/>
          </w:tcPr>
          <w:p w14:paraId="2D0664C2" w14:textId="77777777" w:rsidR="00A77B3E" w:rsidRPr="00800D1B" w:rsidRDefault="00623E14" w:rsidP="00770E35">
            <w:pPr>
              <w:spacing w:before="100" w:after="100"/>
              <w:ind w:left="-72"/>
              <w:rPr>
                <w:color w:val="000000"/>
                <w:sz w:val="20"/>
                <w:lang w:val="sv-SE"/>
              </w:rPr>
            </w:pPr>
            <w:r w:rsidRPr="00800D1B">
              <w:rPr>
                <w:color w:val="000000"/>
                <w:sz w:val="20"/>
                <w:lang w:val="sv-SE"/>
              </w:rPr>
              <w:t>03. Könsneutralitet</w:t>
            </w:r>
          </w:p>
        </w:tc>
        <w:tc>
          <w:tcPr>
            <w:tcW w:w="0" w:type="auto"/>
          </w:tcPr>
          <w:p w14:paraId="2D0664C3" w14:textId="77777777" w:rsidR="00A77B3E" w:rsidRPr="00800D1B" w:rsidRDefault="00623E14" w:rsidP="00770E35">
            <w:pPr>
              <w:spacing w:before="100" w:after="100"/>
              <w:ind w:left="-72"/>
              <w:jc w:val="right"/>
              <w:rPr>
                <w:color w:val="000000"/>
                <w:sz w:val="20"/>
                <w:lang w:val="sv-SE"/>
              </w:rPr>
            </w:pPr>
            <w:r w:rsidRPr="00800D1B">
              <w:rPr>
                <w:color w:val="000000"/>
                <w:sz w:val="20"/>
                <w:lang w:val="sv-SE"/>
              </w:rPr>
              <w:t>5 951 468,00</w:t>
            </w:r>
          </w:p>
        </w:tc>
      </w:tr>
      <w:tr w:rsidR="003422DB" w:rsidRPr="00800D1B" w14:paraId="2D0664CB" w14:textId="77777777" w:rsidTr="00770E35">
        <w:tc>
          <w:tcPr>
            <w:tcW w:w="0" w:type="auto"/>
          </w:tcPr>
          <w:p w14:paraId="2D0664C5" w14:textId="77777777" w:rsidR="00A77B3E" w:rsidRPr="00800D1B" w:rsidRDefault="00623E14" w:rsidP="00770E35">
            <w:pPr>
              <w:spacing w:before="100" w:after="100"/>
              <w:ind w:left="-72"/>
              <w:rPr>
                <w:color w:val="000000"/>
                <w:sz w:val="20"/>
                <w:lang w:val="sv-SE"/>
              </w:rPr>
            </w:pPr>
            <w:r w:rsidRPr="00800D1B">
              <w:rPr>
                <w:color w:val="000000"/>
                <w:sz w:val="20"/>
                <w:lang w:val="sv-SE"/>
              </w:rPr>
              <w:t>4</w:t>
            </w:r>
          </w:p>
        </w:tc>
        <w:tc>
          <w:tcPr>
            <w:tcW w:w="0" w:type="auto"/>
          </w:tcPr>
          <w:p w14:paraId="2D0664C6" w14:textId="77777777" w:rsidR="00A77B3E" w:rsidRPr="00800D1B" w:rsidRDefault="00623E14" w:rsidP="00770E35">
            <w:pPr>
              <w:spacing w:before="100" w:after="100"/>
              <w:ind w:left="-72"/>
              <w:rPr>
                <w:color w:val="000000"/>
                <w:sz w:val="20"/>
                <w:lang w:val="sv-SE"/>
              </w:rPr>
            </w:pPr>
            <w:r w:rsidRPr="00800D1B">
              <w:rPr>
                <w:color w:val="000000"/>
                <w:sz w:val="20"/>
                <w:lang w:val="sv-SE"/>
              </w:rPr>
              <w:t>RSO2.6</w:t>
            </w:r>
          </w:p>
        </w:tc>
        <w:tc>
          <w:tcPr>
            <w:tcW w:w="0" w:type="auto"/>
          </w:tcPr>
          <w:p w14:paraId="2D0664C7" w14:textId="77777777" w:rsidR="00A77B3E" w:rsidRPr="00800D1B" w:rsidRDefault="00623E14" w:rsidP="00770E35">
            <w:pPr>
              <w:spacing w:before="100" w:after="100"/>
              <w:ind w:left="-72"/>
              <w:rPr>
                <w:color w:val="000000"/>
                <w:sz w:val="20"/>
                <w:lang w:val="sv-SE"/>
              </w:rPr>
            </w:pPr>
            <w:r w:rsidRPr="00800D1B">
              <w:rPr>
                <w:color w:val="000000"/>
                <w:sz w:val="20"/>
                <w:lang w:val="sv-SE"/>
              </w:rPr>
              <w:t>Totalt</w:t>
            </w:r>
          </w:p>
        </w:tc>
        <w:tc>
          <w:tcPr>
            <w:tcW w:w="0" w:type="auto"/>
          </w:tcPr>
          <w:p w14:paraId="2D0664C8" w14:textId="77777777" w:rsidR="00A77B3E" w:rsidRPr="00800D1B" w:rsidRDefault="00A77B3E" w:rsidP="00770E35">
            <w:pPr>
              <w:spacing w:before="100" w:after="100"/>
              <w:ind w:left="-72"/>
              <w:rPr>
                <w:color w:val="000000"/>
                <w:sz w:val="20"/>
                <w:lang w:val="sv-SE"/>
              </w:rPr>
            </w:pPr>
          </w:p>
        </w:tc>
        <w:tc>
          <w:tcPr>
            <w:tcW w:w="0" w:type="auto"/>
          </w:tcPr>
          <w:p w14:paraId="2D0664C9" w14:textId="77777777" w:rsidR="00A77B3E" w:rsidRPr="00800D1B" w:rsidRDefault="00A77B3E" w:rsidP="00770E35">
            <w:pPr>
              <w:spacing w:before="100" w:after="100"/>
              <w:ind w:left="-72"/>
              <w:rPr>
                <w:color w:val="000000"/>
                <w:sz w:val="20"/>
                <w:lang w:val="sv-SE"/>
              </w:rPr>
            </w:pPr>
          </w:p>
        </w:tc>
        <w:tc>
          <w:tcPr>
            <w:tcW w:w="0" w:type="auto"/>
          </w:tcPr>
          <w:p w14:paraId="2D0664CA" w14:textId="77777777" w:rsidR="00A77B3E" w:rsidRPr="00800D1B" w:rsidRDefault="00623E14" w:rsidP="00770E35">
            <w:pPr>
              <w:spacing w:before="100" w:after="100"/>
              <w:ind w:left="-72"/>
              <w:jc w:val="right"/>
              <w:rPr>
                <w:color w:val="000000"/>
                <w:sz w:val="20"/>
                <w:lang w:val="sv-SE"/>
              </w:rPr>
            </w:pPr>
            <w:r w:rsidRPr="00800D1B">
              <w:rPr>
                <w:color w:val="000000"/>
                <w:sz w:val="20"/>
                <w:lang w:val="sv-SE"/>
              </w:rPr>
              <w:t>9 919 112,00</w:t>
            </w:r>
          </w:p>
        </w:tc>
      </w:tr>
    </w:tbl>
    <w:p w14:paraId="2D0664CC" w14:textId="6B414568" w:rsidR="00A77B3E" w:rsidRPr="00800D1B" w:rsidRDefault="00623E14">
      <w:pPr>
        <w:spacing w:before="100"/>
        <w:rPr>
          <w:color w:val="000000"/>
          <w:sz w:val="20"/>
          <w:lang w:val="sv-SE"/>
        </w:rPr>
      </w:pPr>
      <w:r w:rsidRPr="00800D1B">
        <w:rPr>
          <w:color w:val="000000"/>
          <w:sz w:val="20"/>
          <w:lang w:val="sv-SE"/>
        </w:rPr>
        <w:t>* För ESF+ bidrar i princip 40 % av ESF+-medlen till uppföljning av jämställdheten. 100 % är tillämpligt när medlemsstaten väljer att använda artikel 6 i ESF+</w:t>
      </w:r>
    </w:p>
    <w:p w14:paraId="2F8C6C56" w14:textId="77777777" w:rsidR="00770E35" w:rsidRPr="00800D1B" w:rsidRDefault="00770E35">
      <w:pPr>
        <w:spacing w:before="100"/>
        <w:rPr>
          <w:color w:val="000000"/>
          <w:sz w:val="20"/>
          <w:lang w:val="sv-SE"/>
        </w:rPr>
        <w:sectPr w:rsidR="00770E35" w:rsidRPr="00800D1B" w:rsidSect="0065165D">
          <w:headerReference w:type="even" r:id="rId25"/>
          <w:headerReference w:type="default" r:id="rId26"/>
          <w:footerReference w:type="even" r:id="rId27"/>
          <w:footerReference w:type="default" r:id="rId28"/>
          <w:headerReference w:type="first" r:id="rId29"/>
          <w:footerReference w:type="first" r:id="rId30"/>
          <w:pgSz w:w="16838" w:h="11906" w:orient="landscape"/>
          <w:pgMar w:top="720" w:right="720" w:bottom="864" w:left="936" w:header="288" w:footer="72" w:gutter="0"/>
          <w:cols w:space="720"/>
          <w:noEndnote/>
          <w:docGrid w:linePitch="360"/>
        </w:sectPr>
      </w:pPr>
    </w:p>
    <w:p w14:paraId="2D0664CD" w14:textId="5512DF5F" w:rsidR="00A77B3E" w:rsidRPr="00800D1B" w:rsidRDefault="00623E14">
      <w:pPr>
        <w:pStyle w:val="Rubrik4"/>
        <w:numPr>
          <w:ilvl w:val="2"/>
          <w:numId w:val="55"/>
        </w:numPr>
        <w:tabs>
          <w:tab w:val="clear" w:pos="720"/>
          <w:tab w:val="left" w:pos="540"/>
        </w:tabs>
        <w:spacing w:before="200"/>
        <w:ind w:left="360"/>
      </w:pPr>
      <w:bookmarkStart w:id="161" w:name="_Toc256000402"/>
      <w:r w:rsidRPr="00800D1B">
        <w:t>Prioritering: 5. Infrastruktur</w:t>
      </w:r>
      <w:bookmarkEnd w:id="161"/>
    </w:p>
    <w:p w14:paraId="2D0664CF" w14:textId="5E16D22C" w:rsidR="00A77B3E" w:rsidRPr="00800D1B" w:rsidRDefault="00623E14">
      <w:pPr>
        <w:pStyle w:val="Rubrik5"/>
        <w:numPr>
          <w:ilvl w:val="3"/>
          <w:numId w:val="38"/>
        </w:numPr>
        <w:spacing w:before="200"/>
        <w:ind w:left="360"/>
      </w:pPr>
      <w:bookmarkStart w:id="162" w:name="_Toc256000403"/>
      <w:r w:rsidRPr="00800D1B">
        <w:t>Specifikt mål: RSO3.1. Utveckla ett hållbart, klimattåligt, intelligent, säkert, hållbart och intermodalt TEN-T (Eruf)</w:t>
      </w:r>
      <w:bookmarkEnd w:id="162"/>
    </w:p>
    <w:p w14:paraId="2D0664D1" w14:textId="6A59BCD3" w:rsidR="00A77B3E" w:rsidRPr="00800D1B" w:rsidRDefault="00623E14">
      <w:pPr>
        <w:pStyle w:val="Rubrik6"/>
        <w:numPr>
          <w:ilvl w:val="4"/>
          <w:numId w:val="39"/>
        </w:numPr>
        <w:spacing w:before="200"/>
        <w:ind w:left="360"/>
      </w:pPr>
      <w:bookmarkStart w:id="163" w:name="_Toc256000404"/>
      <w:r w:rsidRPr="00800D1B">
        <w:t>Interventioner inom ramen för fonderna</w:t>
      </w:r>
      <w:bookmarkEnd w:id="163"/>
    </w:p>
    <w:p w14:paraId="2D0664D2" w14:textId="77777777" w:rsidR="00A77B3E" w:rsidRPr="00800D1B" w:rsidRDefault="00A77B3E">
      <w:pPr>
        <w:spacing w:before="100"/>
        <w:rPr>
          <w:color w:val="000000"/>
          <w:sz w:val="0"/>
          <w:lang w:val="sv-SE"/>
        </w:rPr>
      </w:pPr>
    </w:p>
    <w:p w14:paraId="2D0664D3" w14:textId="77777777" w:rsidR="00A77B3E" w:rsidRPr="00800D1B" w:rsidRDefault="00623E14">
      <w:pPr>
        <w:spacing w:before="100"/>
        <w:rPr>
          <w:color w:val="000000"/>
          <w:sz w:val="0"/>
          <w:lang w:val="sv-SE"/>
        </w:rPr>
      </w:pPr>
      <w:r w:rsidRPr="00800D1B">
        <w:rPr>
          <w:color w:val="000000"/>
          <w:lang w:val="sv-SE"/>
        </w:rPr>
        <w:t>Referens: artikel 22.3 d i, iii, iv, v, vi och vii i förordningen om gemensamma bestämmelser</w:t>
      </w:r>
    </w:p>
    <w:p w14:paraId="2D0664D4" w14:textId="21E1A415" w:rsidR="00A77B3E" w:rsidRPr="00800D1B" w:rsidRDefault="00623E14" w:rsidP="0070219E">
      <w:pPr>
        <w:spacing w:before="100"/>
        <w:rPr>
          <w:lang w:val="sv-SE"/>
        </w:rPr>
      </w:pPr>
      <w:bookmarkStart w:id="164" w:name="_Toc256000405"/>
      <w:r w:rsidRPr="00800D1B">
        <w:rPr>
          <w:lang w:val="sv-SE"/>
        </w:rPr>
        <w:t>Relaterade typer av åtgärder – artikel 22.3 d i i förordningen om gemensamma bestämmelser och artikel 6 i ESF+-förordningen</w:t>
      </w:r>
      <w:bookmarkEnd w:id="164"/>
    </w:p>
    <w:p w14:paraId="4F5DBC5F" w14:textId="376F2D54" w:rsidR="00065844" w:rsidRPr="00800D1B" w:rsidRDefault="00065844" w:rsidP="00894596">
      <w:pPr>
        <w:spacing w:before="300"/>
        <w:ind w:left="58"/>
        <w:rPr>
          <w:color w:val="000000"/>
          <w:lang w:val="sv-SE"/>
        </w:rPr>
      </w:pPr>
      <w:r w:rsidRPr="00800D1B">
        <w:rPr>
          <w:color w:val="000000"/>
          <w:lang w:val="sv-SE"/>
        </w:rPr>
        <mc:AlternateContent>
          <mc:Choice Requires="wps">
            <w:drawing>
              <wp:anchor distT="0" distB="0" distL="114300" distR="114300" simplePos="0" relativeHeight="251679744" behindDoc="0" locked="0" layoutInCell="1" allowOverlap="1" wp14:anchorId="3F2AB86C" wp14:editId="2B852EF9">
                <wp:simplePos x="0" y="0"/>
                <wp:positionH relativeFrom="column">
                  <wp:posOffset>-13335</wp:posOffset>
                </wp:positionH>
                <wp:positionV relativeFrom="paragraph">
                  <wp:posOffset>66040</wp:posOffset>
                </wp:positionV>
                <wp:extent cx="9669780" cy="4943475"/>
                <wp:effectExtent l="0" t="0" r="26670" b="28575"/>
                <wp:wrapNone/>
                <wp:docPr id="22" name="Rectangle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669780" cy="49434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E14400A" id="Rectangle 22" o:spid="_x0000_s1026" alt="&quot;&quot;" style="position:absolute;margin-left:-1.05pt;margin-top:5.2pt;width:761.4pt;height:389.2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" filled="f" strokecolor="black [3213]" strokeweight=".5pt"/>
            </w:pict>
          </mc:Fallback>
        </mc:AlternateContent>
      </w:r>
      <w:r w:rsidRPr="00800D1B">
        <w:rPr>
          <w:color w:val="000000"/>
          <w:lang w:val="sv-SE"/>
        </w:rPr>
        <w:t>Genom att utveckla långsiktigt hållbar, klimatanpassad, intermodal mobilitet i hela regionen skapas förutsättningar för så väl gods- som persontransporter. Det innebär att ojämlikheter kan minska genom att hållbara samhällen kan samverka på ett bättre sätt vilket bidrar till att öka möjligheterna för utveckling och sysselsättning samt till att begränsa klimatförändringarna genom minskade utsläpp från transportsektorn.</w:t>
      </w:r>
    </w:p>
    <w:p w14:paraId="5A10595C" w14:textId="77777777" w:rsidR="00065844" w:rsidRPr="00800D1B" w:rsidRDefault="00065844" w:rsidP="00065844">
      <w:pPr>
        <w:spacing w:before="100"/>
        <w:ind w:left="58"/>
        <w:rPr>
          <w:color w:val="000000"/>
          <w:lang w:val="sv-SE"/>
        </w:rPr>
      </w:pPr>
      <w:r w:rsidRPr="00800D1B">
        <w:rPr>
          <w:color w:val="000000"/>
          <w:lang w:val="sv-SE"/>
        </w:rPr>
        <w:t>EU:s medlemsländer har lagt fast en kärnstruktur för EU:s transportsystem (Trans-EuropeanTransport Network, TEN-T). I TEN-T lyfts initiativ som ska bidra till måluppfyllelse för ökad rörlighet och ta bort strategiska flaskhalsar för att på så sätt bidra till utveckling och sysselsättning samt reducering av koldioxidutsläppen inom transportsektorn.</w:t>
      </w:r>
    </w:p>
    <w:p w14:paraId="4040F7E3" w14:textId="77777777" w:rsidR="00065844" w:rsidRPr="00800D1B" w:rsidRDefault="00065844" w:rsidP="00065844">
      <w:pPr>
        <w:spacing w:before="100"/>
        <w:ind w:left="58"/>
        <w:rPr>
          <w:color w:val="000000"/>
          <w:lang w:val="sv-SE"/>
        </w:rPr>
      </w:pPr>
      <w:r w:rsidRPr="00800D1B">
        <w:rPr>
          <w:color w:val="000000"/>
          <w:lang w:val="sv-SE"/>
        </w:rPr>
        <w:t>Norra Sverige står inför en historisk utveckling. Industrin investerar mer än 1 070 miljarder kronor i nya anläggningar och ny teknik i norra Sverige. Det är investeringar för jobb, tillväxt, exportintäkter och ökad hållbarhet. Den omfattande industriella utvecklingen som pågår i norra Sverige är kopplad till fossilfri produktion och elektrifiering till gagn för klimatomställningen och gör att norra Sverige kan bli ledande i den klimatomställning som är på gång i hela världen. Sammantaget beräknas detta innebära ett behov av 100 000 nya jobb i regionen fram till 2035. En sådan explosionsartad utveckling riskerar öka konkurrensen på arbetsmarknaden där en snabb och ökad rörlighet kan uppstå vilket skapar en ökad konkurrens om kompetenser mellan företag, branscher och offentlig sektor.</w:t>
      </w:r>
    </w:p>
    <w:p w14:paraId="177294A9" w14:textId="77777777" w:rsidR="00065844" w:rsidRPr="00800D1B" w:rsidRDefault="00065844" w:rsidP="00065844">
      <w:pPr>
        <w:spacing w:before="100"/>
        <w:ind w:left="58"/>
        <w:rPr>
          <w:color w:val="000000"/>
          <w:lang w:val="sv-SE"/>
        </w:rPr>
      </w:pPr>
      <w:r w:rsidRPr="00800D1B">
        <w:rPr>
          <w:color w:val="000000"/>
          <w:lang w:val="sv-SE"/>
        </w:rPr>
        <w:t>För att möta näringslivets gröna utveckling i ÖN är behovet av effektiva och klimatsmarta godstransporter med hög kapacitet samt goda möjligheter till persontransporter för att tillgodose företagens kompetensförsörjning och regionens växande besöksnäring stort. För att möta detta behov behövs insatser som utvecklar och optimerar befintlig transportinfrastruktur via järnväg och sjöfart exempelvis genom förbättrad arbetspendling via kollektivt resande samt att elektrifiering av persontransporter och godstransporter genomförs i programmet. För att nå målet om ökad kapacitet behöver flaskhalsar i transportsystemet byggas bort. Befintligt transportsystem behöver utvecklas mot samverkan, metoder och teknik som bidrar till ökad funktionalitet och effektivitet. Insatserna syftar till att skapa redundans i transportsystemet för både person- och godstransporter.</w:t>
      </w:r>
    </w:p>
    <w:p w14:paraId="21BDDF07" w14:textId="77777777" w:rsidR="00065844" w:rsidRPr="00800D1B" w:rsidRDefault="00065844" w:rsidP="00065844">
      <w:pPr>
        <w:spacing w:before="100"/>
        <w:ind w:left="58"/>
        <w:rPr>
          <w:color w:val="000000"/>
          <w:lang w:val="sv-SE"/>
        </w:rPr>
      </w:pPr>
      <w:r w:rsidRPr="00800D1B">
        <w:rPr>
          <w:color w:val="000000"/>
          <w:lang w:val="sv-SE"/>
        </w:rPr>
        <w:t>Exempel på insatsområden är terminaler, hamnars funktion, signal- och säkerhetssystem, mötesstationer samt uppställningsspår för person- och godstrafikens behov. Effekten av insatserna är ett transportsystem som blir mer användbart och tillförlitligt med ökad efterfrågan som följd.</w:t>
      </w:r>
    </w:p>
    <w:p w14:paraId="0C21DBE6" w14:textId="77777777" w:rsidR="00065844" w:rsidRPr="00800D1B" w:rsidRDefault="00065844" w:rsidP="00065844">
      <w:pPr>
        <w:spacing w:before="100"/>
        <w:ind w:left="58"/>
        <w:rPr>
          <w:color w:val="000000"/>
          <w:lang w:val="sv-SE"/>
        </w:rPr>
      </w:pPr>
      <w:r w:rsidRPr="00800D1B">
        <w:rPr>
          <w:color w:val="000000"/>
          <w:lang w:val="sv-SE"/>
        </w:rPr>
        <w:t>I ÖN är infrastruktursatsningar en särskilt viktig grundförutsättning för att skapa hållbar utveckling, tillgänglighet och attraktivitet. I de mindre kommunerna, med begränsad ekonomi och kapacitet, finns behov av att kunna sammanfoga olika projekt och/eller skapa särskilda ramprogram. </w:t>
      </w:r>
    </w:p>
    <w:p w14:paraId="09FDBD8E" w14:textId="458644DA" w:rsidR="00065844" w:rsidRPr="00800D1B" w:rsidRDefault="00065844" w:rsidP="00065844">
      <w:pPr>
        <w:spacing w:before="100"/>
        <w:ind w:left="58"/>
        <w:rPr>
          <w:color w:val="000000"/>
          <w:lang w:val="sv-SE"/>
        </w:rPr>
      </w:pPr>
      <w:r w:rsidRPr="00800D1B">
        <w:rPr>
          <w:color w:val="000000"/>
          <w:lang w:val="sv-SE"/>
        </w:rPr>
        <w:t xml:space="preserve">ÖNs invånare bor, arbetar och reser i en geografi som är stor till ytan. Det ställer höga krav på goda kommunikationer och tillgänglighet till olika färdsätt. En central utmaning för ÖN är omställningen till en fossilfri fordonsflotta som möter utvecklade krav på komfort och hastighetsstandard. Förutsättningarna med mycket stora avstånd och få individer i norra Sveriges glesbygdskommuner gör att den kommersiella omställningen troligtvis inte kommer äga rum i tillräcklig omfattning. Åtgärderna kan avse miljö- och trafiksäkerhetsåtgärder i anslutning till statliga och kommunala vägar samt åtgärder som skapar bättre </w:t>
      </w:r>
      <w:r w:rsidRPr="00800D1B">
        <w:rPr>
          <w:color w:val="000000"/>
          <w:lang w:val="sv-SE"/>
        </w:rPr>
        <mc:AlternateContent>
          <mc:Choice Requires="wps">
            <w:drawing>
              <wp:anchor distT="0" distB="0" distL="114300" distR="114300" simplePos="0" relativeHeight="251680768" behindDoc="0" locked="0" layoutInCell="1" allowOverlap="1" wp14:anchorId="4B0C3E21" wp14:editId="5919A1B3">
                <wp:simplePos x="0" y="0"/>
                <wp:positionH relativeFrom="column">
                  <wp:posOffset>-22860</wp:posOffset>
                </wp:positionH>
                <wp:positionV relativeFrom="paragraph">
                  <wp:posOffset>-45720</wp:posOffset>
                </wp:positionV>
                <wp:extent cx="9677400" cy="4899660"/>
                <wp:effectExtent l="0" t="0" r="19050" b="15240"/>
                <wp:wrapNone/>
                <wp:docPr id="23" name="Rectangle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677400" cy="48996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2F21BEB" id="Rectangle 23" o:spid="_x0000_s1026" alt="&quot;&quot;" style="position:absolute;margin-left:-1.8pt;margin-top:-3.6pt;width:762pt;height:385.8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" filled="f" strokecolor="black [3213]" strokeweight=".5pt"/>
            </w:pict>
          </mc:Fallback>
        </mc:AlternateContent>
      </w:r>
      <w:r w:rsidRPr="00800D1B">
        <w:rPr>
          <w:color w:val="000000"/>
          <w:lang w:val="sv-SE"/>
        </w:rPr>
        <w:t>tillgänglighet till kollektivtrafik. Exempelvis goda anslutningar till hållplatser och bytespunkter för såväl oskyddade trafikanter som andra trafikanter. Insatserna ska bidra till multimodala och klimatsmarta transportmöjligheter för att utveckla större funktionella regioner såsom större arbetsmarknadsregioner. Effekten av insatserna är ökad attraktivitet för boende i regionen som genom ökad tillgänglighet för fler individer bidrar till näringslivets utveckling. Insatserna bidrar också till ökad nytta av stora satsningar i TEN-T systemet då tillgängligheten ökar. Detta bör bidra till en hållbar konsumtion och till en ökad energieffektivitet i linje med den nationella klimat- och energistrategin (NECP).</w:t>
      </w:r>
    </w:p>
    <w:p w14:paraId="665DB07F" w14:textId="77777777" w:rsidR="00065844" w:rsidRPr="00800D1B" w:rsidRDefault="00065844" w:rsidP="00065844">
      <w:pPr>
        <w:spacing w:before="100"/>
        <w:ind w:left="29"/>
        <w:rPr>
          <w:color w:val="000000"/>
          <w:lang w:val="sv-SE"/>
        </w:rPr>
      </w:pPr>
      <w:r w:rsidRPr="00800D1B">
        <w:rPr>
          <w:color w:val="000000"/>
          <w:lang w:val="sv-SE"/>
        </w:rPr>
        <w:t>Stora utmaningar finns för att öka det kollektiva resandet särskilt i de glest befolkade delarna av landet. Insatser för att utveckla nya former av kollektivtrafik och satsningar på informations- och kommunikationsinsatser för att påverka individens attityd till hållbart resande bedöms kunna ge ökade möjligheter till att fler väljer kollektivtrafiken. En samordnad bebyggelse-, transportinfrastruktur- och trafikplanering kan också bidra till minskad klimatpåverkan samt om det finns möjligheter till samverkan med Östersjöstrategins policyområde Transporter. I insatserna kommer bidrag att användas eftersom det avser områden där inte tillräckliga incitament finns för att använda andra finansieringsformer. Det specifika målet fokuserar på att ge icke-finansiellt stöd till små och medelstora företag och kommer inte att generera direkta inkomster eller leda till kostnadsbesparingar för små och medelstora företag.</w:t>
      </w:r>
    </w:p>
    <w:p w14:paraId="3348F604" w14:textId="77777777" w:rsidR="00065844" w:rsidRPr="00800D1B" w:rsidRDefault="00065844" w:rsidP="00065844">
      <w:pPr>
        <w:spacing w:before="100"/>
        <w:ind w:left="29"/>
        <w:rPr>
          <w:color w:val="000000"/>
          <w:lang w:val="sv-SE"/>
        </w:rPr>
      </w:pPr>
      <w:r w:rsidRPr="00800D1B">
        <w:rPr>
          <w:color w:val="000000"/>
          <w:lang w:val="sv-SE"/>
        </w:rPr>
        <w:t>Exempel på konkreta åtgärder:</w:t>
      </w:r>
    </w:p>
    <w:p w14:paraId="1112D74A" w14:textId="77777777" w:rsidR="00065844" w:rsidRPr="00800D1B" w:rsidRDefault="00065844">
      <w:pPr>
        <w:pStyle w:val="Liststycke"/>
        <w:numPr>
          <w:ilvl w:val="0"/>
          <w:numId w:val="42"/>
        </w:numPr>
        <w:spacing w:before="100"/>
        <w:ind w:left="180" w:hanging="157"/>
        <w:contextualSpacing w:val="0"/>
        <w:rPr>
          <w:color w:val="000000"/>
          <w:lang w:val="sv-SE"/>
        </w:rPr>
      </w:pPr>
      <w:r w:rsidRPr="00800D1B">
        <w:rPr>
          <w:color w:val="000000"/>
          <w:lang w:val="sv-SE"/>
        </w:rPr>
        <w:t>Förstudier, framtagande av underlag för nödvändiga plan och miljöbeslut samt kunskapsuppbyggande</w:t>
      </w:r>
    </w:p>
    <w:p w14:paraId="1AD9F193" w14:textId="77777777" w:rsidR="00065844" w:rsidRPr="00800D1B" w:rsidRDefault="00065844">
      <w:pPr>
        <w:pStyle w:val="Liststycke"/>
        <w:numPr>
          <w:ilvl w:val="0"/>
          <w:numId w:val="42"/>
        </w:numPr>
        <w:spacing w:before="100"/>
        <w:ind w:left="180" w:hanging="157"/>
        <w:contextualSpacing w:val="0"/>
        <w:rPr>
          <w:color w:val="000000"/>
          <w:lang w:val="sv-SE"/>
        </w:rPr>
      </w:pPr>
      <w:r w:rsidRPr="00800D1B">
        <w:rPr>
          <w:color w:val="000000"/>
          <w:lang w:val="sv-SE"/>
        </w:rPr>
        <w:t>Utveckling av klimatsmarta transporter genom att stimulera överflyttning av transport från väg till järnväg och sjöfart. </w:t>
      </w:r>
    </w:p>
    <w:p w14:paraId="36155704" w14:textId="77777777" w:rsidR="00065844" w:rsidRPr="00800D1B" w:rsidRDefault="00065844">
      <w:pPr>
        <w:pStyle w:val="Liststycke"/>
        <w:numPr>
          <w:ilvl w:val="0"/>
          <w:numId w:val="42"/>
        </w:numPr>
        <w:spacing w:before="100"/>
        <w:ind w:left="180" w:hanging="157"/>
        <w:contextualSpacing w:val="0"/>
        <w:rPr>
          <w:color w:val="000000"/>
          <w:lang w:val="sv-SE"/>
        </w:rPr>
      </w:pPr>
      <w:r w:rsidRPr="00800D1B">
        <w:rPr>
          <w:color w:val="000000"/>
          <w:lang w:val="sv-SE"/>
        </w:rPr>
        <w:t>Förstudier, framtagande av underlag för nödvändiga plan och miljöbeslut samt kunskapsuppbyggande projekt. </w:t>
      </w:r>
    </w:p>
    <w:p w14:paraId="6BB7FA49" w14:textId="77777777" w:rsidR="00065844" w:rsidRPr="00800D1B" w:rsidRDefault="00065844">
      <w:pPr>
        <w:pStyle w:val="Liststycke"/>
        <w:numPr>
          <w:ilvl w:val="0"/>
          <w:numId w:val="42"/>
        </w:numPr>
        <w:spacing w:before="100"/>
        <w:ind w:left="180" w:hanging="157"/>
        <w:contextualSpacing w:val="0"/>
        <w:rPr>
          <w:color w:val="000000"/>
          <w:lang w:val="sv-SE"/>
        </w:rPr>
      </w:pPr>
      <w:r w:rsidRPr="00800D1B">
        <w:rPr>
          <w:color w:val="000000"/>
          <w:lang w:val="sv-SE"/>
        </w:rPr>
        <w:t>Större investeringar bör kunna ha längre projekttid än 36 månader och kan eventuellt villkoras via halvtidsavstämning. </w:t>
      </w:r>
    </w:p>
    <w:p w14:paraId="0C09A774" w14:textId="77777777" w:rsidR="00065844" w:rsidRPr="00800D1B" w:rsidRDefault="00065844">
      <w:pPr>
        <w:pStyle w:val="Liststycke"/>
        <w:numPr>
          <w:ilvl w:val="0"/>
          <w:numId w:val="42"/>
        </w:numPr>
        <w:spacing w:before="100"/>
        <w:ind w:left="180" w:hanging="157"/>
        <w:contextualSpacing w:val="0"/>
        <w:rPr>
          <w:color w:val="000000"/>
          <w:lang w:val="sv-SE"/>
        </w:rPr>
      </w:pPr>
      <w:r w:rsidRPr="00800D1B">
        <w:rPr>
          <w:color w:val="000000"/>
          <w:lang w:val="sv-SE"/>
        </w:rPr>
        <w:t>Underlag och analyser för utbyggnad och förbättring av transportinfrastrukturen. </w:t>
      </w:r>
    </w:p>
    <w:p w14:paraId="6969B407" w14:textId="77777777" w:rsidR="00065844" w:rsidRPr="00800D1B" w:rsidRDefault="00065844">
      <w:pPr>
        <w:pStyle w:val="Liststycke"/>
        <w:numPr>
          <w:ilvl w:val="0"/>
          <w:numId w:val="42"/>
        </w:numPr>
        <w:spacing w:before="100"/>
        <w:ind w:left="180" w:hanging="157"/>
        <w:contextualSpacing w:val="0"/>
        <w:rPr>
          <w:color w:val="000000"/>
          <w:lang w:val="sv-SE"/>
        </w:rPr>
      </w:pPr>
      <w:r w:rsidRPr="00800D1B">
        <w:rPr>
          <w:color w:val="000000"/>
          <w:lang w:val="sv-SE"/>
        </w:rPr>
        <w:t>Förbättringar av den fysiska infrastrukturen, metodutveckling samt riskavlastning i syfte att utveckla och främja multimodala transporter. </w:t>
      </w:r>
    </w:p>
    <w:p w14:paraId="172C54CD" w14:textId="77777777" w:rsidR="00065844" w:rsidRPr="00800D1B" w:rsidRDefault="00065844">
      <w:pPr>
        <w:pStyle w:val="Liststycke"/>
        <w:numPr>
          <w:ilvl w:val="0"/>
          <w:numId w:val="42"/>
        </w:numPr>
        <w:spacing w:before="100"/>
        <w:ind w:left="180" w:hanging="157"/>
        <w:contextualSpacing w:val="0"/>
        <w:rPr>
          <w:color w:val="000000"/>
          <w:lang w:val="sv-SE"/>
        </w:rPr>
      </w:pPr>
      <w:r w:rsidRPr="00800D1B">
        <w:rPr>
          <w:color w:val="000000"/>
          <w:lang w:val="sv-SE"/>
        </w:rPr>
        <w:t>Utveckla samverkan med Östersjöstrategins policyområde transporter</w:t>
      </w:r>
    </w:p>
    <w:p w14:paraId="1ABDF14D" w14:textId="77777777" w:rsidR="00065844" w:rsidRPr="00800D1B" w:rsidRDefault="00065844" w:rsidP="00065844">
      <w:pPr>
        <w:spacing w:before="100"/>
        <w:ind w:left="29"/>
        <w:rPr>
          <w:color w:val="000000"/>
          <w:lang w:val="sv-SE"/>
        </w:rPr>
      </w:pPr>
      <w:r w:rsidRPr="00800D1B">
        <w:rPr>
          <w:color w:val="000000"/>
          <w:u w:val="single"/>
          <w:lang w:val="sv-SE"/>
        </w:rPr>
        <w:t>Förenlighet med principen om att inte orsaka betydande skada (art. 9.4 i förordningen om gemensamma bestämmelser</w:t>
      </w:r>
      <w:r w:rsidRPr="00800D1B">
        <w:rPr>
          <w:color w:val="000000"/>
          <w:lang w:val="sv-SE"/>
        </w:rPr>
        <w:t>)</w:t>
      </w:r>
    </w:p>
    <w:p w14:paraId="03DECCA0" w14:textId="77777777" w:rsidR="00065844" w:rsidRPr="00800D1B" w:rsidRDefault="00065844" w:rsidP="00065844">
      <w:pPr>
        <w:spacing w:before="100" w:after="300"/>
        <w:ind w:left="29"/>
        <w:rPr>
          <w:color w:val="000000"/>
          <w:lang w:val="sv-SE"/>
        </w:rPr>
      </w:pPr>
      <w:r w:rsidRPr="00800D1B">
        <w:rPr>
          <w:color w:val="000000"/>
          <w:lang w:val="sv-SE"/>
        </w:rPr>
        <w:t>Insatserna har bedömts vara förenliga med principen om att inte orsaka betydande skada eftersom de har bedömts i enlighet med kommissionens tekniska vägledning om tillämpningen av principen om att inte orsaka betydande skada inom ramen för förordningen om faciliteten för återhämtning och resiliens.</w:t>
      </w:r>
    </w:p>
    <w:p w14:paraId="2D0664ED" w14:textId="5D2C9E1C" w:rsidR="00A77B3E" w:rsidRPr="00800D1B" w:rsidRDefault="00623E14" w:rsidP="0070219E">
      <w:pPr>
        <w:spacing w:before="800"/>
        <w:rPr>
          <w:lang w:val="sv-SE"/>
        </w:rPr>
      </w:pPr>
      <w:bookmarkStart w:id="165" w:name="_Toc256000406"/>
      <w:r w:rsidRPr="00800D1B">
        <w:rPr>
          <w:lang w:val="sv-SE"/>
        </w:rPr>
        <w:t>Huvudsakliga målgrupper – artikel 22.3 d iii i förordningen om gemensamma bestämmelser</w:t>
      </w:r>
      <w:bookmarkEnd w:id="165"/>
    </w:p>
    <w:p w14:paraId="3029A28B" w14:textId="77777777" w:rsidR="00065844" w:rsidRPr="00800D1B" w:rsidRDefault="00065844" w:rsidP="00065844">
      <w:pPr>
        <w:pBdr>
          <w:top w:val="single" w:sz="4" w:space="10" w:color="auto"/>
          <w:left w:val="single" w:sz="4" w:space="4" w:color="auto"/>
          <w:bottom w:val="single" w:sz="4" w:space="20" w:color="auto"/>
          <w:right w:val="single" w:sz="4" w:space="4" w:color="auto"/>
        </w:pBdr>
        <w:spacing w:before="100" w:after="300"/>
        <w:ind w:left="101" w:right="115"/>
        <w:rPr>
          <w:color w:val="000000"/>
          <w:lang w:val="sv-SE"/>
        </w:rPr>
      </w:pPr>
      <w:r w:rsidRPr="00800D1B">
        <w:rPr>
          <w:color w:val="000000"/>
          <w:lang w:val="sv-SE"/>
        </w:rPr>
        <w:t>De huvudsakliga målgrupperna är offentliga aktörer, små och medelstora företag, ekonomiska föreningar och civilsamhället. Särskilt fokus bör läggas på att säkerställa att insatserna bidrar till att möta behoven hos och inkludera underrepresenterade grupper både på individ- och organisationsnivå. Vid utformandet av insatser är det viktigt att använda ett jämställdhets- och mångfaldsperspektiv.</w:t>
      </w:r>
    </w:p>
    <w:p w14:paraId="2D0664F3" w14:textId="4C298EF9" w:rsidR="00A77B3E" w:rsidRPr="00800D1B" w:rsidRDefault="00623E14" w:rsidP="0070219E">
      <w:pPr>
        <w:spacing w:before="800"/>
        <w:rPr>
          <w:lang w:val="sv-SE"/>
        </w:rPr>
      </w:pPr>
      <w:bookmarkStart w:id="166" w:name="_Toc256000407"/>
      <w:r w:rsidRPr="00800D1B">
        <w:rPr>
          <w:lang w:val="sv-SE"/>
        </w:rPr>
        <w:t>Åtgärder för säkerställande av jämställdhet, inkludering och icke-diskriminering – artikel 22.3 d iv i förordningen om gemensamma bestämmelser och artikel 6 i ESF+-förordningen</w:t>
      </w:r>
      <w:bookmarkEnd w:id="166"/>
    </w:p>
    <w:p w14:paraId="6BEBCAB7" w14:textId="77777777" w:rsidR="005C648C" w:rsidRPr="00800D1B" w:rsidRDefault="005C648C" w:rsidP="005C648C">
      <w:pPr>
        <w:pBdr>
          <w:top w:val="single" w:sz="4" w:space="10" w:color="auto"/>
          <w:left w:val="single" w:sz="4" w:space="4" w:color="auto"/>
          <w:bottom w:val="single" w:sz="4" w:space="22" w:color="auto"/>
          <w:right w:val="single" w:sz="4" w:space="4" w:color="auto"/>
        </w:pBdr>
        <w:spacing w:before="100"/>
        <w:ind w:left="101" w:right="115"/>
        <w:rPr>
          <w:color w:val="000000"/>
          <w:lang w:val="sv-SE"/>
        </w:rPr>
      </w:pPr>
      <w:r w:rsidRPr="00800D1B">
        <w:rPr>
          <w:color w:val="000000"/>
          <w:lang w:val="sv-SE"/>
        </w:rPr>
        <w:t>Jämställdhet, icke- diskriminering och tillgänglighet ska genomsyra insatserna i programmet, det vill säga, jämställdhetsintegrering är ett krav. Ingen får diskrimineras på grund av kön, könsöverskridande identitet eller uttryck, etnisk tillhörighet, religion eller annan trosuppfattning, funktionsnedsättning, sexuell läggning eller ålder. Projekten ska innehålla särskilda insatser för jämställdhet även om huvudsyftet är ett annat. Det ska tydligt beskrivas förväntade resultat kopplat till jämställdhet. Vid ansökningsförfarandet genomförs en jämställdhetsanalys som synkroniseras med övriga hållbarhetsaspekter att ta hänsyn till. Analysen ska visa hur framtagandet av insatser påverkar jämställdheten och det ska finnas minst ett mål som adresserar detsamma. Detta betyder att samtliga insatser i detta särskilda mål minst möter kraven för kod 02 i tabell 8.</w:t>
      </w:r>
    </w:p>
    <w:p w14:paraId="4FCCC46B" w14:textId="77777777" w:rsidR="005C648C" w:rsidRPr="00800D1B" w:rsidRDefault="005C648C" w:rsidP="005C648C">
      <w:pPr>
        <w:pBdr>
          <w:top w:val="single" w:sz="4" w:space="10" w:color="auto"/>
          <w:left w:val="single" w:sz="4" w:space="4" w:color="auto"/>
          <w:bottom w:val="single" w:sz="4" w:space="22" w:color="auto"/>
          <w:right w:val="single" w:sz="4" w:space="4" w:color="auto"/>
        </w:pBdr>
        <w:spacing w:before="100"/>
        <w:ind w:left="101" w:right="115"/>
        <w:rPr>
          <w:color w:val="000000"/>
          <w:lang w:val="sv-SE"/>
        </w:rPr>
      </w:pPr>
      <w:r w:rsidRPr="00800D1B">
        <w:rPr>
          <w:color w:val="000000"/>
          <w:lang w:val="sv-SE"/>
        </w:rPr>
        <w:t>Förutom att alla insatser inom detta särskilda mål ska möta kod 02 ser vi även att flera projekt ska innehålla särskilda insatser för jämställdhet. Särskilda insatser innebär att projektets huvudsakliga mål är att förbättra jämställdhet mellan kvinnor och män. Analysen ska därmed visa hur utmaningar och problem inom jämställdhetsområdet ligger till grund varför projektet behövs och målen tar tydligt fasta på en förflyttning mot ökad jämställdhet. Projekten bidrar därmed direkt till det globala målet 5.</w:t>
      </w:r>
    </w:p>
    <w:p w14:paraId="7D98131C" w14:textId="26FD9A46" w:rsidR="005C648C" w:rsidRPr="00800D1B" w:rsidRDefault="005C648C" w:rsidP="005C648C">
      <w:pPr>
        <w:pBdr>
          <w:top w:val="single" w:sz="4" w:space="10" w:color="auto"/>
          <w:left w:val="single" w:sz="4" w:space="4" w:color="auto"/>
          <w:bottom w:val="single" w:sz="4" w:space="22" w:color="auto"/>
          <w:right w:val="single" w:sz="4" w:space="4" w:color="auto"/>
        </w:pBdr>
        <w:spacing w:before="100"/>
        <w:ind w:left="101" w:right="115"/>
        <w:rPr>
          <w:color w:val="000000"/>
          <w:lang w:val="sv-SE"/>
        </w:rPr>
      </w:pPr>
      <w:r w:rsidRPr="00800D1B">
        <w:rPr>
          <w:color w:val="000000"/>
          <w:lang w:val="sv-SE"/>
        </w:rPr>
        <w:t>Samtliga projekt ska vid rapportering påvisa hur resultatet bidragit till att framsteg gjorts gentemot en ökad jämställdhet.</w:t>
      </w:r>
    </w:p>
    <w:p w14:paraId="2EF66F18" w14:textId="77777777" w:rsidR="00F06AA4" w:rsidRPr="00800D1B" w:rsidRDefault="00F06AA4" w:rsidP="00267E2F">
      <w:pPr>
        <w:spacing w:before="360" w:after="100"/>
        <w:rPr>
          <w:lang w:val="sv-SE"/>
        </w:rPr>
      </w:pPr>
      <w:bookmarkStart w:id="167" w:name="_Toc256000408"/>
      <w:r w:rsidRPr="00800D1B">
        <w:rPr>
          <w:lang w:val="sv-SE"/>
        </w:rPr>
        <w:t>Angivande av de specifika målterritorierna, inbegripet planerad användning av territoriella verktyg – artikel 22.3 d v i förordningen om gemensamma bestämmelser</w:t>
      </w:r>
      <w:bookmarkEnd w:id="167"/>
    </w:p>
    <w:p w14:paraId="3F10A5B7" w14:textId="77777777" w:rsidR="00F06AA4" w:rsidRPr="00800D1B" w:rsidRDefault="00F06AA4" w:rsidP="001C4055">
      <w:pPr>
        <w:pBdr>
          <w:top w:val="single" w:sz="4" w:space="10" w:color="auto"/>
          <w:left w:val="single" w:sz="4" w:space="4" w:color="auto"/>
          <w:bottom w:val="single" w:sz="4" w:space="20" w:color="auto"/>
          <w:right w:val="single" w:sz="4" w:space="4" w:color="auto"/>
        </w:pBdr>
        <w:ind w:left="90" w:right="152"/>
        <w:rPr>
          <w:lang w:val="sv-SE"/>
        </w:rPr>
      </w:pPr>
      <w:r w:rsidRPr="00800D1B">
        <w:rPr>
          <w:lang w:val="sv-SE"/>
        </w:rPr>
        <w:t>Nej</w:t>
      </w:r>
    </w:p>
    <w:p w14:paraId="2D066503" w14:textId="2E505F37" w:rsidR="00A77B3E" w:rsidRPr="00800D1B" w:rsidRDefault="00623E14" w:rsidP="00267E2F">
      <w:pPr>
        <w:spacing w:before="360"/>
        <w:rPr>
          <w:lang w:val="sv-SE"/>
        </w:rPr>
      </w:pPr>
      <w:bookmarkStart w:id="168" w:name="_Toc256000409"/>
      <w:r w:rsidRPr="00800D1B">
        <w:rPr>
          <w:lang w:val="sv-SE"/>
        </w:rPr>
        <w:t>Interregionala, gränsregionala och transnationella åtgärder – artikel 22.3 d vi i förordningen om gemensamma bestämmelser</w:t>
      </w:r>
      <w:bookmarkEnd w:id="168"/>
    </w:p>
    <w:p w14:paraId="674CE152" w14:textId="77777777" w:rsidR="005C648C" w:rsidRPr="00800D1B" w:rsidRDefault="005C648C" w:rsidP="00894596">
      <w:pPr>
        <w:pBdr>
          <w:top w:val="single" w:sz="4" w:space="10" w:color="auto"/>
          <w:left w:val="single" w:sz="4" w:space="4" w:color="auto"/>
          <w:bottom w:val="single" w:sz="4" w:space="10" w:color="auto"/>
          <w:right w:val="single" w:sz="4" w:space="4" w:color="auto"/>
        </w:pBdr>
        <w:spacing w:before="100"/>
        <w:ind w:left="101" w:right="115"/>
        <w:rPr>
          <w:color w:val="000000"/>
          <w:lang w:val="sv-SE"/>
        </w:rPr>
      </w:pPr>
      <w:r w:rsidRPr="00800D1B">
        <w:rPr>
          <w:color w:val="000000"/>
          <w:lang w:val="sv-SE"/>
        </w:rPr>
        <w:t xml:space="preserve">Regionen samarbetar med omgivande parter i Norge, Nordland och Troms- och Finnmarks fylkeskommuner, samt i Finland med landskapsförbunden för Lappland, Norra Österbotten, Mellersta Österbotten, Österbotten och Södra Österbotten. Samarbetet sker dels direkt, dels via framför allt samverkansorganisationerna Nordkalottrådet, Bottenviksbågen, Kvarkenrådet och Mittskandia. </w:t>
      </w:r>
    </w:p>
    <w:p w14:paraId="0B6CF337" w14:textId="77777777" w:rsidR="005C648C" w:rsidRPr="00800D1B" w:rsidRDefault="005C648C" w:rsidP="00894596">
      <w:pPr>
        <w:pBdr>
          <w:top w:val="single" w:sz="4" w:space="10" w:color="auto"/>
          <w:left w:val="single" w:sz="4" w:space="4" w:color="auto"/>
          <w:bottom w:val="single" w:sz="4" w:space="10" w:color="auto"/>
          <w:right w:val="single" w:sz="4" w:space="4" w:color="auto"/>
        </w:pBdr>
        <w:spacing w:before="100"/>
        <w:ind w:left="101" w:right="115"/>
        <w:rPr>
          <w:color w:val="000000"/>
          <w:lang w:val="sv-SE"/>
        </w:rPr>
      </w:pPr>
      <w:r w:rsidRPr="00800D1B">
        <w:rPr>
          <w:color w:val="000000"/>
          <w:lang w:val="sv-SE"/>
        </w:rPr>
        <w:t xml:space="preserve">Under de senaste åren har samarbetet även kanaliserats i det regionala Barentsrådet, där konstellationen arbetat med Joint Barents Transport Plan, som en strategisk del i Barents Euro-Arctic Transport Area (BEATA). Regionen deltar i samarbetet Bottniska korridoren, som under senare år framgångsrikt arbetat för att de europeiska stomnätskorridorerna Skandinavien-Medelhavet och Nordsjön-Östersjön ska förlängas för att anknyta till de nordliga delarna av Norge, Sverige och Finland. I detta arbete har samarbete även skett med de finländska och norska intressenterna för en förlängning av stomnätskorridorerna, dels direkt med berörda regioner, dels via de olika regionernas brysselkontor. </w:t>
      </w:r>
    </w:p>
    <w:p w14:paraId="1D3099C6" w14:textId="77777777" w:rsidR="005C648C" w:rsidRPr="00800D1B" w:rsidRDefault="005C648C" w:rsidP="00283B1C">
      <w:pPr>
        <w:pBdr>
          <w:top w:val="single" w:sz="4" w:space="5" w:color="auto"/>
          <w:left w:val="single" w:sz="4" w:space="4" w:color="auto"/>
          <w:bottom w:val="single" w:sz="4" w:space="22" w:color="auto"/>
          <w:right w:val="single" w:sz="4" w:space="4" w:color="auto"/>
        </w:pBdr>
        <w:spacing w:before="100"/>
        <w:ind w:left="101" w:right="115"/>
        <w:rPr>
          <w:color w:val="000000"/>
          <w:lang w:val="sv-SE"/>
        </w:rPr>
      </w:pPr>
      <w:r w:rsidRPr="00800D1B">
        <w:rPr>
          <w:color w:val="000000"/>
          <w:lang w:val="sv-SE"/>
        </w:rPr>
        <w:t xml:space="preserve">Via den paneuropeiska samarbetsorganisationen CPMR deltar regionen aktivt för att utveckla den europeiska transportpolitiken och skapa förutsättningar för en flernivåstyrning av dess utveckling. </w:t>
      </w:r>
    </w:p>
    <w:p w14:paraId="6C8800B1" w14:textId="77777777" w:rsidR="005C648C" w:rsidRPr="00800D1B" w:rsidRDefault="005C648C" w:rsidP="00283B1C">
      <w:pPr>
        <w:pBdr>
          <w:top w:val="single" w:sz="4" w:space="5" w:color="auto"/>
          <w:left w:val="single" w:sz="4" w:space="4" w:color="auto"/>
          <w:bottom w:val="single" w:sz="4" w:space="22" w:color="auto"/>
          <w:right w:val="single" w:sz="4" w:space="4" w:color="auto"/>
        </w:pBdr>
        <w:spacing w:before="100"/>
        <w:ind w:left="101" w:right="115"/>
        <w:rPr>
          <w:color w:val="000000"/>
          <w:lang w:val="sv-SE"/>
        </w:rPr>
      </w:pPr>
      <w:r w:rsidRPr="00800D1B">
        <w:rPr>
          <w:color w:val="000000"/>
          <w:lang w:val="sv-SE"/>
        </w:rPr>
        <w:t>Under kommande år avser regionen att vidmakthålla samma höga ambition att följa och även påverka transport- och logistikutvecklingen i norra Norden samt även att upprätthålla den europeiska politiska dimensionen avseende framtida transport- och infrastrukturutveckling, såväl regionalt som för Sverige som helhet.</w:t>
      </w:r>
    </w:p>
    <w:p w14:paraId="2D06650D" w14:textId="5132B904" w:rsidR="00A77B3E" w:rsidRPr="00800D1B" w:rsidRDefault="00623E14" w:rsidP="00267E2F">
      <w:pPr>
        <w:spacing w:before="440" w:after="100"/>
        <w:rPr>
          <w:lang w:val="sv-SE"/>
        </w:rPr>
      </w:pPr>
      <w:bookmarkStart w:id="169" w:name="_Toc256000410"/>
      <w:r w:rsidRPr="00800D1B">
        <w:rPr>
          <w:lang w:val="sv-SE"/>
        </w:rPr>
        <w:t>Planerad användning av finansieringsinstrument – artikel 22.3 d vii i förordningen om gemensamma bestämmelser</w:t>
      </w:r>
      <w:bookmarkEnd w:id="169"/>
    </w:p>
    <w:p w14:paraId="21F0BB1A" w14:textId="78FEBFF5" w:rsidR="005A13CE" w:rsidRPr="00800D1B" w:rsidRDefault="005A13CE" w:rsidP="001C4055">
      <w:pPr>
        <w:pBdr>
          <w:top w:val="single" w:sz="4" w:space="10" w:color="auto"/>
          <w:left w:val="single" w:sz="4" w:space="4" w:color="auto"/>
          <w:bottom w:val="single" w:sz="4" w:space="20" w:color="auto"/>
          <w:right w:val="single" w:sz="4" w:space="4" w:color="auto"/>
          <w:between w:val="single" w:sz="4" w:space="10" w:color="auto"/>
          <w:bar w:val="single" w:sz="4" w:color="auto"/>
        </w:pBdr>
        <w:ind w:left="86"/>
        <w:rPr>
          <w:lang w:val="sv-SE"/>
        </w:rPr>
      </w:pPr>
      <w:r w:rsidRPr="00800D1B">
        <w:rPr>
          <w:lang w:val="sv-SE"/>
        </w:rPr>
        <w:t>Nej</w:t>
      </w:r>
    </w:p>
    <w:p w14:paraId="2D06650E" w14:textId="77777777" w:rsidR="00A77B3E" w:rsidRPr="00800D1B" w:rsidRDefault="00A77B3E">
      <w:pPr>
        <w:spacing w:before="100"/>
        <w:rPr>
          <w:color w:val="000000"/>
          <w:sz w:val="0"/>
          <w:lang w:val="sv-SE"/>
        </w:rPr>
      </w:pPr>
    </w:p>
    <w:p w14:paraId="2D066514" w14:textId="17820814" w:rsidR="00A77B3E" w:rsidRPr="00800D1B" w:rsidRDefault="00623E14" w:rsidP="00267E2F">
      <w:pPr>
        <w:pStyle w:val="Rubrik6"/>
        <w:numPr>
          <w:ilvl w:val="4"/>
          <w:numId w:val="40"/>
        </w:numPr>
        <w:spacing w:before="360"/>
        <w:ind w:left="360"/>
      </w:pPr>
      <w:bookmarkStart w:id="170" w:name="_Toc256000411"/>
      <w:r w:rsidRPr="00800D1B">
        <w:t>Indikatorer</w:t>
      </w:r>
      <w:bookmarkEnd w:id="170"/>
    </w:p>
    <w:p w14:paraId="2D066516" w14:textId="77777777" w:rsidR="00A77B3E" w:rsidRPr="00800D1B" w:rsidRDefault="00623E14" w:rsidP="005C648C">
      <w:pPr>
        <w:spacing w:before="200"/>
        <w:rPr>
          <w:color w:val="000000"/>
          <w:sz w:val="0"/>
          <w:lang w:val="sv-SE"/>
        </w:rPr>
      </w:pPr>
      <w:r w:rsidRPr="00800D1B">
        <w:rPr>
          <w:color w:val="000000"/>
          <w:lang w:val="sv-SE"/>
        </w:rPr>
        <w:t>Referens: Artikel 22.3 d ii i förordningen om gemensamma bestämmelser och artikel 8 i Eruf-förordningen och förordningen om Sammanhållningsfonden</w:t>
      </w:r>
    </w:p>
    <w:p w14:paraId="2D066517" w14:textId="612277E8" w:rsidR="00A77B3E" w:rsidRPr="00800D1B" w:rsidRDefault="00623E14" w:rsidP="003D08B5">
      <w:pPr>
        <w:spacing w:before="100" w:after="100"/>
        <w:rPr>
          <w:lang w:val="sv-SE"/>
        </w:rPr>
      </w:pPr>
      <w:bookmarkStart w:id="171" w:name="_Toc256000412"/>
      <w:r w:rsidRPr="00800D1B">
        <w:rPr>
          <w:lang w:val="sv-SE"/>
        </w:rPr>
        <w:t>Tabell 2: Utfallsindikatorer</w:t>
      </w:r>
      <w:bookmarkEnd w:id="171"/>
    </w:p>
    <w:tbl>
      <w:tblPr>
        <w:tblStyle w:val="Tabellrutnt"/>
        <w:tblW w:w="5000" w:type="pct"/>
        <w:tblLook w:val="04A0" w:firstRow="1" w:lastRow="0" w:firstColumn="1" w:lastColumn="0" w:noHBand="0" w:noVBand="1"/>
        <w:tblDescription w:val="En tabell med nio kolumner: Prioritering; Specifikt mål; Fond; Regionkategori; ID; Indikator; Mätenhet; Delmål (2024); Mål (2029). Tabellen visar information om Utfallsindikatorer."/>
      </w:tblPr>
      <w:tblGrid>
        <w:gridCol w:w="1132"/>
        <w:gridCol w:w="1162"/>
        <w:gridCol w:w="622"/>
        <w:gridCol w:w="4196"/>
        <w:gridCol w:w="822"/>
        <w:gridCol w:w="3233"/>
        <w:gridCol w:w="1836"/>
        <w:gridCol w:w="1181"/>
        <w:gridCol w:w="988"/>
      </w:tblGrid>
      <w:tr w:rsidR="003422DB" w:rsidRPr="00800D1B" w14:paraId="2D066522" w14:textId="77777777" w:rsidTr="00770E35">
        <w:tc>
          <w:tcPr>
            <w:tcW w:w="0" w:type="auto"/>
          </w:tcPr>
          <w:p w14:paraId="2D066519" w14:textId="77777777" w:rsidR="00A77B3E" w:rsidRPr="00800D1B" w:rsidRDefault="00623E14" w:rsidP="00770E35">
            <w:pPr>
              <w:spacing w:before="100" w:after="100"/>
              <w:ind w:left="-72"/>
              <w:jc w:val="center"/>
              <w:rPr>
                <w:color w:val="000000"/>
                <w:sz w:val="20"/>
                <w:lang w:val="sv-SE"/>
              </w:rPr>
            </w:pPr>
            <w:r w:rsidRPr="00800D1B">
              <w:rPr>
                <w:color w:val="000000"/>
                <w:sz w:val="20"/>
                <w:lang w:val="sv-SE"/>
              </w:rPr>
              <w:t>Prioritering</w:t>
            </w:r>
          </w:p>
        </w:tc>
        <w:tc>
          <w:tcPr>
            <w:tcW w:w="0" w:type="auto"/>
          </w:tcPr>
          <w:p w14:paraId="2D06651A" w14:textId="77777777" w:rsidR="00A77B3E" w:rsidRPr="00800D1B" w:rsidRDefault="00623E14" w:rsidP="00770E35">
            <w:pPr>
              <w:spacing w:before="100" w:after="100"/>
              <w:ind w:left="-72"/>
              <w:jc w:val="center"/>
              <w:rPr>
                <w:color w:val="000000"/>
                <w:sz w:val="20"/>
                <w:lang w:val="sv-SE"/>
              </w:rPr>
            </w:pPr>
            <w:r w:rsidRPr="00800D1B">
              <w:rPr>
                <w:color w:val="000000"/>
                <w:sz w:val="20"/>
                <w:lang w:val="sv-SE"/>
              </w:rPr>
              <w:t>Specifikt mål</w:t>
            </w:r>
          </w:p>
        </w:tc>
        <w:tc>
          <w:tcPr>
            <w:tcW w:w="0" w:type="auto"/>
          </w:tcPr>
          <w:p w14:paraId="2D06651B" w14:textId="77777777" w:rsidR="00A77B3E" w:rsidRPr="00800D1B" w:rsidRDefault="00623E14" w:rsidP="00770E35">
            <w:pPr>
              <w:spacing w:before="100" w:after="100"/>
              <w:ind w:left="-72"/>
              <w:jc w:val="center"/>
              <w:rPr>
                <w:color w:val="000000"/>
                <w:sz w:val="20"/>
                <w:lang w:val="sv-SE"/>
              </w:rPr>
            </w:pPr>
            <w:r w:rsidRPr="00800D1B">
              <w:rPr>
                <w:color w:val="000000"/>
                <w:sz w:val="20"/>
                <w:lang w:val="sv-SE"/>
              </w:rPr>
              <w:t>Fond</w:t>
            </w:r>
          </w:p>
        </w:tc>
        <w:tc>
          <w:tcPr>
            <w:tcW w:w="0" w:type="auto"/>
          </w:tcPr>
          <w:p w14:paraId="2D06651C" w14:textId="77777777" w:rsidR="00A77B3E" w:rsidRPr="00800D1B" w:rsidRDefault="00623E14" w:rsidP="00770E35">
            <w:pPr>
              <w:spacing w:before="100" w:after="100"/>
              <w:ind w:left="-72"/>
              <w:jc w:val="center"/>
              <w:rPr>
                <w:color w:val="000000"/>
                <w:sz w:val="20"/>
                <w:lang w:val="sv-SE"/>
              </w:rPr>
            </w:pPr>
            <w:r w:rsidRPr="00800D1B">
              <w:rPr>
                <w:color w:val="000000"/>
                <w:sz w:val="20"/>
                <w:lang w:val="sv-SE"/>
              </w:rPr>
              <w:t>Regionkategori</w:t>
            </w:r>
          </w:p>
        </w:tc>
        <w:tc>
          <w:tcPr>
            <w:tcW w:w="0" w:type="auto"/>
          </w:tcPr>
          <w:p w14:paraId="2D06651D" w14:textId="77777777" w:rsidR="00A77B3E" w:rsidRPr="00800D1B" w:rsidRDefault="00623E14" w:rsidP="00770E35">
            <w:pPr>
              <w:spacing w:before="100" w:after="100"/>
              <w:ind w:left="-72"/>
              <w:jc w:val="center"/>
              <w:rPr>
                <w:color w:val="000000"/>
                <w:sz w:val="20"/>
                <w:lang w:val="sv-SE"/>
              </w:rPr>
            </w:pPr>
            <w:r w:rsidRPr="00800D1B">
              <w:rPr>
                <w:color w:val="000000"/>
                <w:sz w:val="20"/>
                <w:lang w:val="sv-SE"/>
              </w:rPr>
              <w:t>ID</w:t>
            </w:r>
          </w:p>
        </w:tc>
        <w:tc>
          <w:tcPr>
            <w:tcW w:w="0" w:type="auto"/>
          </w:tcPr>
          <w:p w14:paraId="2D06651E" w14:textId="77777777" w:rsidR="00A77B3E" w:rsidRPr="00800D1B" w:rsidRDefault="00623E14" w:rsidP="00770E35">
            <w:pPr>
              <w:spacing w:before="100" w:after="100"/>
              <w:ind w:left="-72"/>
              <w:jc w:val="center"/>
              <w:rPr>
                <w:color w:val="000000"/>
                <w:sz w:val="20"/>
                <w:lang w:val="sv-SE"/>
              </w:rPr>
            </w:pPr>
            <w:r w:rsidRPr="00800D1B">
              <w:rPr>
                <w:color w:val="000000"/>
                <w:sz w:val="20"/>
                <w:lang w:val="sv-SE"/>
              </w:rPr>
              <w:t>Indikator</w:t>
            </w:r>
          </w:p>
        </w:tc>
        <w:tc>
          <w:tcPr>
            <w:tcW w:w="0" w:type="auto"/>
          </w:tcPr>
          <w:p w14:paraId="2D06651F" w14:textId="77777777" w:rsidR="00A77B3E" w:rsidRPr="00800D1B" w:rsidRDefault="00623E14" w:rsidP="00770E35">
            <w:pPr>
              <w:spacing w:before="100" w:after="100"/>
              <w:ind w:left="-72"/>
              <w:jc w:val="center"/>
              <w:rPr>
                <w:color w:val="000000"/>
                <w:sz w:val="20"/>
                <w:lang w:val="sv-SE"/>
              </w:rPr>
            </w:pPr>
            <w:r w:rsidRPr="00800D1B">
              <w:rPr>
                <w:color w:val="000000"/>
                <w:sz w:val="20"/>
                <w:lang w:val="sv-SE"/>
              </w:rPr>
              <w:t>Mätenhet</w:t>
            </w:r>
          </w:p>
        </w:tc>
        <w:tc>
          <w:tcPr>
            <w:tcW w:w="0" w:type="auto"/>
          </w:tcPr>
          <w:p w14:paraId="2D066520" w14:textId="77777777" w:rsidR="00A77B3E" w:rsidRPr="00800D1B" w:rsidRDefault="00623E14" w:rsidP="00770E35">
            <w:pPr>
              <w:spacing w:before="100" w:after="100"/>
              <w:ind w:left="-72"/>
              <w:jc w:val="center"/>
              <w:rPr>
                <w:color w:val="000000"/>
                <w:sz w:val="20"/>
                <w:lang w:val="sv-SE"/>
              </w:rPr>
            </w:pPr>
            <w:r w:rsidRPr="00800D1B">
              <w:rPr>
                <w:color w:val="000000"/>
                <w:sz w:val="20"/>
                <w:lang w:val="sv-SE"/>
              </w:rPr>
              <w:t>Delmål (2024)</w:t>
            </w:r>
          </w:p>
        </w:tc>
        <w:tc>
          <w:tcPr>
            <w:tcW w:w="0" w:type="auto"/>
          </w:tcPr>
          <w:p w14:paraId="2D066521" w14:textId="77777777" w:rsidR="00A77B3E" w:rsidRPr="00800D1B" w:rsidRDefault="00623E14" w:rsidP="00770E35">
            <w:pPr>
              <w:spacing w:before="100" w:after="100"/>
              <w:ind w:left="-72"/>
              <w:jc w:val="center"/>
              <w:rPr>
                <w:color w:val="000000"/>
                <w:sz w:val="20"/>
                <w:lang w:val="sv-SE"/>
              </w:rPr>
            </w:pPr>
            <w:r w:rsidRPr="00800D1B">
              <w:rPr>
                <w:color w:val="000000"/>
                <w:sz w:val="20"/>
                <w:lang w:val="sv-SE"/>
              </w:rPr>
              <w:t>Mål (2029)</w:t>
            </w:r>
          </w:p>
        </w:tc>
      </w:tr>
      <w:tr w:rsidR="003422DB" w:rsidRPr="00800D1B" w14:paraId="2D06652C" w14:textId="77777777" w:rsidTr="00770E35">
        <w:tc>
          <w:tcPr>
            <w:tcW w:w="0" w:type="auto"/>
          </w:tcPr>
          <w:p w14:paraId="2D066523" w14:textId="77777777" w:rsidR="00A77B3E" w:rsidRPr="00800D1B" w:rsidRDefault="00623E14" w:rsidP="00770E35">
            <w:pPr>
              <w:spacing w:before="100" w:after="100"/>
              <w:ind w:left="-72"/>
              <w:rPr>
                <w:color w:val="000000"/>
                <w:sz w:val="20"/>
                <w:lang w:val="sv-SE"/>
              </w:rPr>
            </w:pPr>
            <w:r w:rsidRPr="00800D1B">
              <w:rPr>
                <w:color w:val="000000"/>
                <w:sz w:val="20"/>
                <w:lang w:val="sv-SE"/>
              </w:rPr>
              <w:t>5</w:t>
            </w:r>
          </w:p>
        </w:tc>
        <w:tc>
          <w:tcPr>
            <w:tcW w:w="0" w:type="auto"/>
          </w:tcPr>
          <w:p w14:paraId="2D066524" w14:textId="77777777" w:rsidR="00A77B3E" w:rsidRPr="00800D1B" w:rsidRDefault="00623E14" w:rsidP="00770E35">
            <w:pPr>
              <w:spacing w:before="100" w:after="100"/>
              <w:ind w:left="-72"/>
              <w:rPr>
                <w:color w:val="000000"/>
                <w:sz w:val="20"/>
                <w:lang w:val="sv-SE"/>
              </w:rPr>
            </w:pPr>
            <w:r w:rsidRPr="00800D1B">
              <w:rPr>
                <w:color w:val="000000"/>
                <w:sz w:val="20"/>
                <w:lang w:val="sv-SE"/>
              </w:rPr>
              <w:t>RSO3.1</w:t>
            </w:r>
          </w:p>
        </w:tc>
        <w:tc>
          <w:tcPr>
            <w:tcW w:w="0" w:type="auto"/>
          </w:tcPr>
          <w:p w14:paraId="2D066525" w14:textId="77777777" w:rsidR="00A77B3E" w:rsidRPr="00800D1B" w:rsidRDefault="00623E14" w:rsidP="00770E35">
            <w:pPr>
              <w:spacing w:before="100" w:after="100"/>
              <w:ind w:left="-72"/>
              <w:rPr>
                <w:color w:val="000000"/>
                <w:sz w:val="20"/>
                <w:lang w:val="sv-SE"/>
              </w:rPr>
            </w:pPr>
            <w:r w:rsidRPr="00800D1B">
              <w:rPr>
                <w:color w:val="000000"/>
                <w:sz w:val="20"/>
                <w:lang w:val="sv-SE"/>
              </w:rPr>
              <w:t>Eruf</w:t>
            </w:r>
          </w:p>
        </w:tc>
        <w:tc>
          <w:tcPr>
            <w:tcW w:w="0" w:type="auto"/>
          </w:tcPr>
          <w:p w14:paraId="2D066526" w14:textId="77777777" w:rsidR="00A77B3E" w:rsidRPr="00800D1B" w:rsidRDefault="00623E14" w:rsidP="00770E35">
            <w:pPr>
              <w:spacing w:before="100" w:after="100"/>
              <w:ind w:left="-72"/>
              <w:rPr>
                <w:color w:val="000000"/>
                <w:sz w:val="20"/>
                <w:lang w:val="sv-SE"/>
              </w:rPr>
            </w:pPr>
            <w:r w:rsidRPr="00800D1B">
              <w:rPr>
                <w:color w:val="000000"/>
                <w:sz w:val="20"/>
                <w:lang w:val="sv-SE"/>
              </w:rPr>
              <w:t>De yttersta randområdena eller de nordliga glesbefolkade områdena</w:t>
            </w:r>
          </w:p>
        </w:tc>
        <w:tc>
          <w:tcPr>
            <w:tcW w:w="0" w:type="auto"/>
          </w:tcPr>
          <w:p w14:paraId="2D066527" w14:textId="77777777" w:rsidR="00A77B3E" w:rsidRPr="00800D1B" w:rsidRDefault="00623E14" w:rsidP="00770E35">
            <w:pPr>
              <w:spacing w:before="100" w:after="100"/>
              <w:ind w:left="-72"/>
              <w:rPr>
                <w:color w:val="000000"/>
                <w:sz w:val="20"/>
                <w:lang w:val="sv-SE"/>
              </w:rPr>
            </w:pPr>
            <w:r w:rsidRPr="00800D1B">
              <w:rPr>
                <w:color w:val="000000"/>
                <w:sz w:val="20"/>
                <w:lang w:val="sv-SE"/>
              </w:rPr>
              <w:t>RCO54</w:t>
            </w:r>
          </w:p>
        </w:tc>
        <w:tc>
          <w:tcPr>
            <w:tcW w:w="0" w:type="auto"/>
          </w:tcPr>
          <w:p w14:paraId="2D066528" w14:textId="77777777" w:rsidR="00A77B3E" w:rsidRPr="00800D1B" w:rsidRDefault="00623E14" w:rsidP="00770E35">
            <w:pPr>
              <w:spacing w:before="100" w:after="100"/>
              <w:ind w:left="-72"/>
              <w:rPr>
                <w:color w:val="000000"/>
                <w:sz w:val="20"/>
                <w:lang w:val="sv-SE"/>
              </w:rPr>
            </w:pPr>
            <w:r w:rsidRPr="00800D1B">
              <w:rPr>
                <w:color w:val="000000"/>
                <w:sz w:val="20"/>
                <w:lang w:val="sv-SE"/>
              </w:rPr>
              <w:t>Nya eller moderniserade intermodala förbindelser</w:t>
            </w:r>
          </w:p>
        </w:tc>
        <w:tc>
          <w:tcPr>
            <w:tcW w:w="0" w:type="auto"/>
          </w:tcPr>
          <w:p w14:paraId="2D066529" w14:textId="77777777" w:rsidR="00A77B3E" w:rsidRPr="00800D1B" w:rsidRDefault="00623E14" w:rsidP="00770E35">
            <w:pPr>
              <w:spacing w:before="100" w:after="100"/>
              <w:ind w:left="-72"/>
              <w:rPr>
                <w:color w:val="000000"/>
                <w:sz w:val="20"/>
                <w:lang w:val="sv-SE"/>
              </w:rPr>
            </w:pPr>
            <w:r w:rsidRPr="00800D1B">
              <w:rPr>
                <w:color w:val="000000"/>
                <w:sz w:val="20"/>
                <w:lang w:val="sv-SE"/>
              </w:rPr>
              <w:t>intermodala förbindelser</w:t>
            </w:r>
          </w:p>
        </w:tc>
        <w:tc>
          <w:tcPr>
            <w:tcW w:w="0" w:type="auto"/>
          </w:tcPr>
          <w:p w14:paraId="2D06652A" w14:textId="77777777" w:rsidR="00A77B3E" w:rsidRPr="00800D1B" w:rsidRDefault="00623E14" w:rsidP="00770E35">
            <w:pPr>
              <w:spacing w:before="100" w:after="100"/>
              <w:ind w:left="-72"/>
              <w:jc w:val="right"/>
              <w:rPr>
                <w:color w:val="000000"/>
                <w:sz w:val="20"/>
                <w:lang w:val="sv-SE"/>
              </w:rPr>
            </w:pPr>
            <w:r w:rsidRPr="00800D1B">
              <w:rPr>
                <w:color w:val="000000"/>
                <w:sz w:val="20"/>
                <w:lang w:val="sv-SE"/>
              </w:rPr>
              <w:t>0,00</w:t>
            </w:r>
          </w:p>
        </w:tc>
        <w:tc>
          <w:tcPr>
            <w:tcW w:w="0" w:type="auto"/>
          </w:tcPr>
          <w:p w14:paraId="2D06652B" w14:textId="77777777" w:rsidR="00A77B3E" w:rsidRPr="00800D1B" w:rsidRDefault="00623E14" w:rsidP="00770E35">
            <w:pPr>
              <w:spacing w:before="100" w:after="100"/>
              <w:ind w:left="-72"/>
              <w:jc w:val="right"/>
              <w:rPr>
                <w:color w:val="000000"/>
                <w:sz w:val="20"/>
                <w:lang w:val="sv-SE"/>
              </w:rPr>
            </w:pPr>
            <w:r w:rsidRPr="00800D1B">
              <w:rPr>
                <w:color w:val="000000"/>
                <w:sz w:val="20"/>
                <w:lang w:val="sv-SE"/>
              </w:rPr>
              <w:t>4,00</w:t>
            </w:r>
          </w:p>
        </w:tc>
      </w:tr>
    </w:tbl>
    <w:p w14:paraId="2D06652E" w14:textId="77777777" w:rsidR="00A77B3E" w:rsidRPr="00800D1B" w:rsidRDefault="00623E14" w:rsidP="00267E2F">
      <w:pPr>
        <w:spacing w:before="360"/>
        <w:rPr>
          <w:color w:val="000000"/>
          <w:sz w:val="0"/>
          <w:lang w:val="sv-SE"/>
        </w:rPr>
      </w:pPr>
      <w:r w:rsidRPr="00800D1B">
        <w:rPr>
          <w:color w:val="000000"/>
          <w:lang w:val="sv-SE"/>
        </w:rPr>
        <w:t>Referens: Artikel 22.3 d ii i förordningen om gemensamma bestämmelser</w:t>
      </w:r>
    </w:p>
    <w:p w14:paraId="2D06652F" w14:textId="5157A753" w:rsidR="00A77B3E" w:rsidRPr="00800D1B" w:rsidRDefault="00623E14" w:rsidP="003D08B5">
      <w:pPr>
        <w:spacing w:before="100" w:after="100"/>
        <w:rPr>
          <w:lang w:val="sv-SE"/>
        </w:rPr>
      </w:pPr>
      <w:bookmarkStart w:id="172" w:name="_Toc256000413"/>
      <w:r w:rsidRPr="00800D1B">
        <w:rPr>
          <w:lang w:val="sv-SE"/>
        </w:rPr>
        <w:t>Tabell 3: Resultatindikatorer</w:t>
      </w:r>
      <w:bookmarkEnd w:id="172"/>
    </w:p>
    <w:tbl>
      <w:tblPr>
        <w:tblStyle w:val="Tabellrutnt"/>
        <w:tblW w:w="5000" w:type="pct"/>
        <w:tblLook w:val="04A0" w:firstRow="1" w:lastRow="0" w:firstColumn="1" w:lastColumn="0" w:noHBand="0" w:noVBand="1"/>
        <w:tblDescription w:val="En tabell med tolv kolumner: Prioritering; Specifikt mål; Fond; Regionkategori; ID; Indikator; Mätenhet; Utgångsvärde eller referensvärde; Referensår; Mål (2029); Datakälla; Kommentarer. Tabellen visar information om Resultatindikatorer."/>
      </w:tblPr>
      <w:tblGrid>
        <w:gridCol w:w="1103"/>
        <w:gridCol w:w="1027"/>
        <w:gridCol w:w="591"/>
        <w:gridCol w:w="2896"/>
        <w:gridCol w:w="780"/>
        <w:gridCol w:w="1628"/>
        <w:gridCol w:w="947"/>
        <w:gridCol w:w="1837"/>
        <w:gridCol w:w="1046"/>
        <w:gridCol w:w="1081"/>
        <w:gridCol w:w="946"/>
        <w:gridCol w:w="1290"/>
      </w:tblGrid>
      <w:tr w:rsidR="003422DB" w:rsidRPr="00800D1B" w14:paraId="2D06653D" w14:textId="77777777" w:rsidTr="00770E35">
        <w:tc>
          <w:tcPr>
            <w:tcW w:w="0" w:type="auto"/>
          </w:tcPr>
          <w:p w14:paraId="2D066531" w14:textId="77777777" w:rsidR="00A77B3E" w:rsidRPr="00800D1B" w:rsidRDefault="00623E14" w:rsidP="00770E35">
            <w:pPr>
              <w:spacing w:before="100" w:after="100"/>
              <w:ind w:left="-72"/>
              <w:jc w:val="center"/>
              <w:rPr>
                <w:color w:val="000000"/>
                <w:sz w:val="20"/>
                <w:lang w:val="sv-SE"/>
              </w:rPr>
            </w:pPr>
            <w:r w:rsidRPr="00800D1B">
              <w:rPr>
                <w:color w:val="000000"/>
                <w:sz w:val="20"/>
                <w:lang w:val="sv-SE"/>
              </w:rPr>
              <w:t>Prioritering</w:t>
            </w:r>
          </w:p>
        </w:tc>
        <w:tc>
          <w:tcPr>
            <w:tcW w:w="0" w:type="auto"/>
          </w:tcPr>
          <w:p w14:paraId="2D066532" w14:textId="77777777" w:rsidR="00A77B3E" w:rsidRPr="00800D1B" w:rsidRDefault="00623E14" w:rsidP="00770E35">
            <w:pPr>
              <w:spacing w:before="100" w:after="100"/>
              <w:ind w:left="-72"/>
              <w:jc w:val="center"/>
              <w:rPr>
                <w:color w:val="000000"/>
                <w:sz w:val="20"/>
                <w:lang w:val="sv-SE"/>
              </w:rPr>
            </w:pPr>
            <w:r w:rsidRPr="00800D1B">
              <w:rPr>
                <w:color w:val="000000"/>
                <w:sz w:val="20"/>
                <w:lang w:val="sv-SE"/>
              </w:rPr>
              <w:t>Specifikt mål</w:t>
            </w:r>
          </w:p>
        </w:tc>
        <w:tc>
          <w:tcPr>
            <w:tcW w:w="0" w:type="auto"/>
          </w:tcPr>
          <w:p w14:paraId="2D066533" w14:textId="77777777" w:rsidR="00A77B3E" w:rsidRPr="00800D1B" w:rsidRDefault="00623E14" w:rsidP="00770E35">
            <w:pPr>
              <w:spacing w:before="100" w:after="100"/>
              <w:ind w:left="-72"/>
              <w:jc w:val="center"/>
              <w:rPr>
                <w:color w:val="000000"/>
                <w:sz w:val="20"/>
                <w:lang w:val="sv-SE"/>
              </w:rPr>
            </w:pPr>
            <w:r w:rsidRPr="00800D1B">
              <w:rPr>
                <w:color w:val="000000"/>
                <w:sz w:val="20"/>
                <w:lang w:val="sv-SE"/>
              </w:rPr>
              <w:t>Fond</w:t>
            </w:r>
          </w:p>
        </w:tc>
        <w:tc>
          <w:tcPr>
            <w:tcW w:w="0" w:type="auto"/>
          </w:tcPr>
          <w:p w14:paraId="2D066534" w14:textId="77777777" w:rsidR="00A77B3E" w:rsidRPr="00800D1B" w:rsidRDefault="00623E14" w:rsidP="00770E35">
            <w:pPr>
              <w:spacing w:before="100" w:after="100"/>
              <w:ind w:left="-72"/>
              <w:jc w:val="center"/>
              <w:rPr>
                <w:color w:val="000000"/>
                <w:sz w:val="20"/>
                <w:lang w:val="sv-SE"/>
              </w:rPr>
            </w:pPr>
            <w:r w:rsidRPr="00800D1B">
              <w:rPr>
                <w:color w:val="000000"/>
                <w:sz w:val="20"/>
                <w:lang w:val="sv-SE"/>
              </w:rPr>
              <w:t>Regionkategori</w:t>
            </w:r>
          </w:p>
        </w:tc>
        <w:tc>
          <w:tcPr>
            <w:tcW w:w="0" w:type="auto"/>
          </w:tcPr>
          <w:p w14:paraId="2D066535" w14:textId="77777777" w:rsidR="00A77B3E" w:rsidRPr="00800D1B" w:rsidRDefault="00623E14" w:rsidP="00770E35">
            <w:pPr>
              <w:spacing w:before="100" w:after="100"/>
              <w:ind w:left="-72"/>
              <w:jc w:val="center"/>
              <w:rPr>
                <w:color w:val="000000"/>
                <w:sz w:val="20"/>
                <w:lang w:val="sv-SE"/>
              </w:rPr>
            </w:pPr>
            <w:r w:rsidRPr="00800D1B">
              <w:rPr>
                <w:color w:val="000000"/>
                <w:sz w:val="20"/>
                <w:lang w:val="sv-SE"/>
              </w:rPr>
              <w:t>ID</w:t>
            </w:r>
          </w:p>
        </w:tc>
        <w:tc>
          <w:tcPr>
            <w:tcW w:w="0" w:type="auto"/>
          </w:tcPr>
          <w:p w14:paraId="2D066536" w14:textId="77777777" w:rsidR="00A77B3E" w:rsidRPr="00800D1B" w:rsidRDefault="00623E14" w:rsidP="00770E35">
            <w:pPr>
              <w:spacing w:before="100" w:after="100"/>
              <w:ind w:left="-72"/>
              <w:jc w:val="center"/>
              <w:rPr>
                <w:color w:val="000000"/>
                <w:sz w:val="20"/>
                <w:lang w:val="sv-SE"/>
              </w:rPr>
            </w:pPr>
            <w:r w:rsidRPr="00800D1B">
              <w:rPr>
                <w:color w:val="000000"/>
                <w:sz w:val="20"/>
                <w:lang w:val="sv-SE"/>
              </w:rPr>
              <w:t>Indikator</w:t>
            </w:r>
          </w:p>
        </w:tc>
        <w:tc>
          <w:tcPr>
            <w:tcW w:w="0" w:type="auto"/>
          </w:tcPr>
          <w:p w14:paraId="2D066537" w14:textId="77777777" w:rsidR="00A77B3E" w:rsidRPr="00800D1B" w:rsidRDefault="00623E14" w:rsidP="00770E35">
            <w:pPr>
              <w:spacing w:before="100" w:after="100"/>
              <w:ind w:left="-72"/>
              <w:jc w:val="center"/>
              <w:rPr>
                <w:color w:val="000000"/>
                <w:sz w:val="20"/>
                <w:lang w:val="sv-SE"/>
              </w:rPr>
            </w:pPr>
            <w:r w:rsidRPr="00800D1B">
              <w:rPr>
                <w:color w:val="000000"/>
                <w:sz w:val="20"/>
                <w:lang w:val="sv-SE"/>
              </w:rPr>
              <w:t>Mätenhet</w:t>
            </w:r>
          </w:p>
        </w:tc>
        <w:tc>
          <w:tcPr>
            <w:tcW w:w="0" w:type="auto"/>
          </w:tcPr>
          <w:p w14:paraId="2D066538" w14:textId="77777777" w:rsidR="00A77B3E" w:rsidRPr="00800D1B" w:rsidRDefault="00623E14" w:rsidP="00770E35">
            <w:pPr>
              <w:spacing w:before="100" w:after="100"/>
              <w:ind w:left="-72"/>
              <w:jc w:val="center"/>
              <w:rPr>
                <w:color w:val="000000"/>
                <w:sz w:val="20"/>
                <w:lang w:val="sv-SE"/>
              </w:rPr>
            </w:pPr>
            <w:r w:rsidRPr="00800D1B">
              <w:rPr>
                <w:color w:val="000000"/>
                <w:sz w:val="20"/>
                <w:lang w:val="sv-SE"/>
              </w:rPr>
              <w:t>Utgångsvärde eller referensvärde</w:t>
            </w:r>
          </w:p>
        </w:tc>
        <w:tc>
          <w:tcPr>
            <w:tcW w:w="0" w:type="auto"/>
          </w:tcPr>
          <w:p w14:paraId="2D066539" w14:textId="77777777" w:rsidR="00A77B3E" w:rsidRPr="00800D1B" w:rsidRDefault="00623E14" w:rsidP="00770E35">
            <w:pPr>
              <w:spacing w:before="100" w:after="100"/>
              <w:ind w:left="-72"/>
              <w:jc w:val="center"/>
              <w:rPr>
                <w:color w:val="000000"/>
                <w:sz w:val="20"/>
                <w:lang w:val="sv-SE"/>
              </w:rPr>
            </w:pPr>
            <w:r w:rsidRPr="00800D1B">
              <w:rPr>
                <w:color w:val="000000"/>
                <w:sz w:val="20"/>
                <w:lang w:val="sv-SE"/>
              </w:rPr>
              <w:t>Referensår</w:t>
            </w:r>
          </w:p>
        </w:tc>
        <w:tc>
          <w:tcPr>
            <w:tcW w:w="0" w:type="auto"/>
          </w:tcPr>
          <w:p w14:paraId="2D06653A" w14:textId="77777777" w:rsidR="00A77B3E" w:rsidRPr="00800D1B" w:rsidRDefault="00623E14" w:rsidP="00770E35">
            <w:pPr>
              <w:spacing w:before="100" w:after="100"/>
              <w:ind w:left="-72"/>
              <w:jc w:val="center"/>
              <w:rPr>
                <w:color w:val="000000"/>
                <w:sz w:val="20"/>
                <w:lang w:val="sv-SE"/>
              </w:rPr>
            </w:pPr>
            <w:r w:rsidRPr="00800D1B">
              <w:rPr>
                <w:color w:val="000000"/>
                <w:sz w:val="20"/>
                <w:lang w:val="sv-SE"/>
              </w:rPr>
              <w:t>Mål (2029)</w:t>
            </w:r>
          </w:p>
        </w:tc>
        <w:tc>
          <w:tcPr>
            <w:tcW w:w="0" w:type="auto"/>
          </w:tcPr>
          <w:p w14:paraId="2D06653B" w14:textId="77777777" w:rsidR="00A77B3E" w:rsidRPr="00800D1B" w:rsidRDefault="00623E14" w:rsidP="00770E35">
            <w:pPr>
              <w:spacing w:before="100" w:after="100"/>
              <w:ind w:left="-72"/>
              <w:jc w:val="center"/>
              <w:rPr>
                <w:color w:val="000000"/>
                <w:sz w:val="20"/>
                <w:lang w:val="sv-SE"/>
              </w:rPr>
            </w:pPr>
            <w:r w:rsidRPr="00800D1B">
              <w:rPr>
                <w:color w:val="000000"/>
                <w:sz w:val="20"/>
                <w:lang w:val="sv-SE"/>
              </w:rPr>
              <w:t>Datakälla</w:t>
            </w:r>
          </w:p>
        </w:tc>
        <w:tc>
          <w:tcPr>
            <w:tcW w:w="0" w:type="auto"/>
          </w:tcPr>
          <w:p w14:paraId="2D06653C" w14:textId="77777777" w:rsidR="00A77B3E" w:rsidRPr="00800D1B" w:rsidRDefault="00623E14" w:rsidP="00770E35">
            <w:pPr>
              <w:spacing w:before="100" w:after="100"/>
              <w:ind w:left="-72"/>
              <w:jc w:val="center"/>
              <w:rPr>
                <w:color w:val="000000"/>
                <w:sz w:val="20"/>
                <w:lang w:val="sv-SE"/>
              </w:rPr>
            </w:pPr>
            <w:r w:rsidRPr="00800D1B">
              <w:rPr>
                <w:color w:val="000000"/>
                <w:sz w:val="20"/>
                <w:lang w:val="sv-SE"/>
              </w:rPr>
              <w:t>Kommentarer</w:t>
            </w:r>
          </w:p>
        </w:tc>
      </w:tr>
      <w:tr w:rsidR="003422DB" w:rsidRPr="00800D1B" w14:paraId="2D06654A" w14:textId="77777777" w:rsidTr="00770E35">
        <w:tc>
          <w:tcPr>
            <w:tcW w:w="0" w:type="auto"/>
          </w:tcPr>
          <w:p w14:paraId="2D06653E" w14:textId="77777777" w:rsidR="00A77B3E" w:rsidRPr="00800D1B" w:rsidRDefault="00623E14" w:rsidP="00770E35">
            <w:pPr>
              <w:spacing w:before="100" w:after="100"/>
              <w:ind w:left="-72"/>
              <w:rPr>
                <w:color w:val="000000"/>
                <w:sz w:val="20"/>
                <w:lang w:val="sv-SE"/>
              </w:rPr>
            </w:pPr>
            <w:r w:rsidRPr="00800D1B">
              <w:rPr>
                <w:color w:val="000000"/>
                <w:sz w:val="20"/>
                <w:lang w:val="sv-SE"/>
              </w:rPr>
              <w:t>5</w:t>
            </w:r>
          </w:p>
        </w:tc>
        <w:tc>
          <w:tcPr>
            <w:tcW w:w="0" w:type="auto"/>
          </w:tcPr>
          <w:p w14:paraId="2D06653F" w14:textId="77777777" w:rsidR="00A77B3E" w:rsidRPr="00800D1B" w:rsidRDefault="00623E14" w:rsidP="00770E35">
            <w:pPr>
              <w:spacing w:before="100" w:after="100"/>
              <w:ind w:left="-72"/>
              <w:rPr>
                <w:color w:val="000000"/>
                <w:sz w:val="20"/>
                <w:lang w:val="sv-SE"/>
              </w:rPr>
            </w:pPr>
            <w:r w:rsidRPr="00800D1B">
              <w:rPr>
                <w:color w:val="000000"/>
                <w:sz w:val="20"/>
                <w:lang w:val="sv-SE"/>
              </w:rPr>
              <w:t>RSO3.1</w:t>
            </w:r>
          </w:p>
        </w:tc>
        <w:tc>
          <w:tcPr>
            <w:tcW w:w="0" w:type="auto"/>
          </w:tcPr>
          <w:p w14:paraId="2D066540" w14:textId="77777777" w:rsidR="00A77B3E" w:rsidRPr="00800D1B" w:rsidRDefault="00623E14" w:rsidP="00770E35">
            <w:pPr>
              <w:spacing w:before="100" w:after="100"/>
              <w:ind w:left="-72"/>
              <w:rPr>
                <w:color w:val="000000"/>
                <w:sz w:val="20"/>
                <w:lang w:val="sv-SE"/>
              </w:rPr>
            </w:pPr>
            <w:r w:rsidRPr="00800D1B">
              <w:rPr>
                <w:color w:val="000000"/>
                <w:sz w:val="20"/>
                <w:lang w:val="sv-SE"/>
              </w:rPr>
              <w:t>Eruf</w:t>
            </w:r>
          </w:p>
        </w:tc>
        <w:tc>
          <w:tcPr>
            <w:tcW w:w="0" w:type="auto"/>
          </w:tcPr>
          <w:p w14:paraId="2D066541" w14:textId="77777777" w:rsidR="00A77B3E" w:rsidRPr="00800D1B" w:rsidRDefault="00623E14" w:rsidP="00770E35">
            <w:pPr>
              <w:spacing w:before="100" w:after="100"/>
              <w:ind w:left="-72"/>
              <w:rPr>
                <w:color w:val="000000"/>
                <w:sz w:val="20"/>
                <w:lang w:val="sv-SE"/>
              </w:rPr>
            </w:pPr>
            <w:r w:rsidRPr="00800D1B">
              <w:rPr>
                <w:color w:val="000000"/>
                <w:sz w:val="20"/>
                <w:lang w:val="sv-SE"/>
              </w:rPr>
              <w:t>De yttersta randområdena eller de nordliga glesbefolkade områdena</w:t>
            </w:r>
          </w:p>
        </w:tc>
        <w:tc>
          <w:tcPr>
            <w:tcW w:w="0" w:type="auto"/>
          </w:tcPr>
          <w:p w14:paraId="2D066542" w14:textId="77777777" w:rsidR="00A77B3E" w:rsidRPr="00800D1B" w:rsidRDefault="00623E14" w:rsidP="00770E35">
            <w:pPr>
              <w:spacing w:before="100" w:after="100"/>
              <w:ind w:left="-72"/>
              <w:rPr>
                <w:color w:val="000000"/>
                <w:sz w:val="20"/>
                <w:lang w:val="sv-SE"/>
              </w:rPr>
            </w:pPr>
            <w:r w:rsidRPr="00800D1B">
              <w:rPr>
                <w:color w:val="000000"/>
                <w:sz w:val="20"/>
                <w:lang w:val="sv-SE"/>
              </w:rPr>
              <w:t>RCR59</w:t>
            </w:r>
          </w:p>
        </w:tc>
        <w:tc>
          <w:tcPr>
            <w:tcW w:w="0" w:type="auto"/>
          </w:tcPr>
          <w:p w14:paraId="2D066543" w14:textId="77777777" w:rsidR="00A77B3E" w:rsidRPr="00800D1B" w:rsidRDefault="00623E14" w:rsidP="00770E35">
            <w:pPr>
              <w:spacing w:before="100" w:after="100"/>
              <w:ind w:left="-72"/>
              <w:rPr>
                <w:color w:val="000000"/>
                <w:sz w:val="20"/>
                <w:lang w:val="sv-SE"/>
              </w:rPr>
            </w:pPr>
            <w:r w:rsidRPr="00800D1B">
              <w:rPr>
                <w:color w:val="000000"/>
                <w:sz w:val="20"/>
                <w:lang w:val="sv-SE"/>
              </w:rPr>
              <w:t>Godstransport på järnväg</w:t>
            </w:r>
          </w:p>
        </w:tc>
        <w:tc>
          <w:tcPr>
            <w:tcW w:w="0" w:type="auto"/>
          </w:tcPr>
          <w:p w14:paraId="2D066544" w14:textId="77777777" w:rsidR="00A77B3E" w:rsidRPr="00800D1B" w:rsidRDefault="00623E14" w:rsidP="00770E35">
            <w:pPr>
              <w:spacing w:before="100" w:after="100"/>
              <w:ind w:left="-72"/>
              <w:rPr>
                <w:color w:val="000000"/>
                <w:sz w:val="20"/>
                <w:lang w:val="sv-SE"/>
              </w:rPr>
            </w:pPr>
            <w:r w:rsidRPr="00800D1B">
              <w:rPr>
                <w:color w:val="000000"/>
                <w:sz w:val="20"/>
                <w:lang w:val="sv-SE"/>
              </w:rPr>
              <w:t>ton-km/år</w:t>
            </w:r>
          </w:p>
        </w:tc>
        <w:tc>
          <w:tcPr>
            <w:tcW w:w="0" w:type="auto"/>
          </w:tcPr>
          <w:p w14:paraId="2D066545" w14:textId="77777777" w:rsidR="00A77B3E" w:rsidRPr="00800D1B" w:rsidRDefault="00623E14" w:rsidP="00770E35">
            <w:pPr>
              <w:spacing w:before="100" w:after="100"/>
              <w:ind w:left="-72"/>
              <w:jc w:val="right"/>
              <w:rPr>
                <w:color w:val="000000"/>
                <w:sz w:val="20"/>
                <w:lang w:val="sv-SE"/>
              </w:rPr>
            </w:pPr>
            <w:r w:rsidRPr="00800D1B">
              <w:rPr>
                <w:color w:val="000000"/>
                <w:sz w:val="20"/>
                <w:lang w:val="sv-SE"/>
              </w:rPr>
              <w:t>0,00</w:t>
            </w:r>
          </w:p>
        </w:tc>
        <w:tc>
          <w:tcPr>
            <w:tcW w:w="0" w:type="auto"/>
          </w:tcPr>
          <w:p w14:paraId="2D066546" w14:textId="77777777" w:rsidR="00A77B3E" w:rsidRPr="00800D1B" w:rsidRDefault="00623E14" w:rsidP="00770E35">
            <w:pPr>
              <w:spacing w:before="100" w:after="100"/>
              <w:ind w:left="-72"/>
              <w:jc w:val="center"/>
              <w:rPr>
                <w:color w:val="000000"/>
                <w:sz w:val="20"/>
                <w:lang w:val="sv-SE"/>
              </w:rPr>
            </w:pPr>
            <w:r w:rsidRPr="00800D1B">
              <w:rPr>
                <w:color w:val="000000"/>
                <w:sz w:val="20"/>
                <w:lang w:val="sv-SE"/>
              </w:rPr>
              <w:t>2021</w:t>
            </w:r>
          </w:p>
        </w:tc>
        <w:tc>
          <w:tcPr>
            <w:tcW w:w="0" w:type="auto"/>
          </w:tcPr>
          <w:p w14:paraId="2D066547" w14:textId="77777777" w:rsidR="00A77B3E" w:rsidRPr="00800D1B" w:rsidRDefault="00623E14" w:rsidP="00770E35">
            <w:pPr>
              <w:spacing w:before="100" w:after="100"/>
              <w:ind w:left="-72"/>
              <w:jc w:val="right"/>
              <w:rPr>
                <w:color w:val="000000"/>
                <w:sz w:val="20"/>
                <w:lang w:val="sv-SE"/>
              </w:rPr>
            </w:pPr>
            <w:r w:rsidRPr="00800D1B">
              <w:rPr>
                <w:color w:val="000000"/>
                <w:sz w:val="20"/>
                <w:lang w:val="sv-SE"/>
              </w:rPr>
              <w:t>674 955,00</w:t>
            </w:r>
          </w:p>
        </w:tc>
        <w:tc>
          <w:tcPr>
            <w:tcW w:w="0" w:type="auto"/>
          </w:tcPr>
          <w:p w14:paraId="2D066548" w14:textId="77777777" w:rsidR="00A77B3E" w:rsidRPr="00800D1B" w:rsidRDefault="00623E14" w:rsidP="00770E35">
            <w:pPr>
              <w:spacing w:before="100" w:after="100"/>
              <w:ind w:left="-72"/>
              <w:rPr>
                <w:color w:val="000000"/>
                <w:sz w:val="20"/>
                <w:lang w:val="sv-SE"/>
              </w:rPr>
            </w:pPr>
            <w:r w:rsidRPr="00800D1B">
              <w:rPr>
                <w:color w:val="000000"/>
                <w:sz w:val="20"/>
                <w:lang w:val="sv-SE"/>
              </w:rPr>
              <w:t>Projekt</w:t>
            </w:r>
          </w:p>
        </w:tc>
        <w:tc>
          <w:tcPr>
            <w:tcW w:w="0" w:type="auto"/>
          </w:tcPr>
          <w:p w14:paraId="2D066549" w14:textId="77777777" w:rsidR="00A77B3E" w:rsidRPr="00800D1B" w:rsidRDefault="00A77B3E" w:rsidP="00770E35">
            <w:pPr>
              <w:spacing w:before="100" w:after="100"/>
              <w:ind w:left="-72"/>
              <w:rPr>
                <w:color w:val="000000"/>
                <w:sz w:val="20"/>
                <w:lang w:val="sv-SE"/>
              </w:rPr>
            </w:pPr>
          </w:p>
        </w:tc>
      </w:tr>
    </w:tbl>
    <w:p w14:paraId="2D06654C" w14:textId="2953BE40" w:rsidR="00A77B3E" w:rsidRPr="00800D1B" w:rsidRDefault="00623E14" w:rsidP="00267E2F">
      <w:pPr>
        <w:pStyle w:val="Rubrik6"/>
        <w:numPr>
          <w:ilvl w:val="4"/>
          <w:numId w:val="41"/>
        </w:numPr>
        <w:spacing w:before="960"/>
        <w:ind w:left="360"/>
      </w:pPr>
      <w:bookmarkStart w:id="173" w:name="_Toc256000414"/>
      <w:r w:rsidRPr="00800D1B">
        <w:t>Preliminär fördelning av anslagna (EU-)medel efter interventionstyp</w:t>
      </w:r>
      <w:bookmarkEnd w:id="173"/>
    </w:p>
    <w:p w14:paraId="2D06654D" w14:textId="77777777" w:rsidR="00A77B3E" w:rsidRPr="00800D1B" w:rsidRDefault="00A77B3E">
      <w:pPr>
        <w:spacing w:before="100"/>
        <w:rPr>
          <w:color w:val="000000"/>
          <w:sz w:val="0"/>
          <w:lang w:val="sv-SE"/>
        </w:rPr>
      </w:pPr>
    </w:p>
    <w:p w14:paraId="2D06654E" w14:textId="77777777" w:rsidR="00A77B3E" w:rsidRPr="00800D1B" w:rsidRDefault="00623E14">
      <w:pPr>
        <w:spacing w:before="100"/>
        <w:rPr>
          <w:color w:val="000000"/>
          <w:sz w:val="0"/>
          <w:lang w:val="sv-SE"/>
        </w:rPr>
      </w:pPr>
      <w:r w:rsidRPr="00800D1B">
        <w:rPr>
          <w:color w:val="000000"/>
          <w:lang w:val="sv-SE"/>
        </w:rPr>
        <w:t>Referens: artikel 22.3 d viii i förordningen om gemensamma bestämmelser</w:t>
      </w:r>
    </w:p>
    <w:p w14:paraId="2D06654F" w14:textId="3EF4F892" w:rsidR="00A77B3E" w:rsidRPr="00800D1B" w:rsidRDefault="00623E14" w:rsidP="003878E8">
      <w:pPr>
        <w:spacing w:before="100" w:after="100"/>
        <w:rPr>
          <w:lang w:val="sv-SE"/>
        </w:rPr>
      </w:pPr>
      <w:bookmarkStart w:id="174" w:name="_Toc256000415"/>
      <w:r w:rsidRPr="00800D1B">
        <w:rPr>
          <w:lang w:val="sv-SE"/>
        </w:rPr>
        <w:t>Tabell 4: Dimension 1 – interventionsområde</w:t>
      </w:r>
      <w:bookmarkEnd w:id="174"/>
    </w:p>
    <w:tbl>
      <w:tblPr>
        <w:tblStyle w:val="Tabellrutnt"/>
        <w:tblW w:w="5000" w:type="pct"/>
        <w:tblLook w:val="04A0" w:firstRow="1" w:lastRow="0" w:firstColumn="1" w:lastColumn="0" w:noHBand="0" w:noVBand="1"/>
        <w:tblDescription w:val="En tabell med sex kolumner: Prioritering; Specifikt mål; Fond; Regionkategori; Kod; Belopp (euro). Tabellen visar information om interventionsområde."/>
      </w:tblPr>
      <w:tblGrid>
        <w:gridCol w:w="1450"/>
        <w:gridCol w:w="1721"/>
        <w:gridCol w:w="874"/>
        <w:gridCol w:w="5987"/>
        <w:gridCol w:w="3631"/>
        <w:gridCol w:w="1509"/>
      </w:tblGrid>
      <w:tr w:rsidR="003422DB" w:rsidRPr="00800D1B" w14:paraId="2D066557" w14:textId="77777777" w:rsidTr="00770E35">
        <w:tc>
          <w:tcPr>
            <w:tcW w:w="478" w:type="pct"/>
          </w:tcPr>
          <w:p w14:paraId="2D066551" w14:textId="77777777" w:rsidR="00A77B3E" w:rsidRPr="00800D1B" w:rsidRDefault="00623E14" w:rsidP="00770E35">
            <w:pPr>
              <w:spacing w:before="100" w:after="100"/>
              <w:ind w:left="-72"/>
              <w:jc w:val="center"/>
              <w:rPr>
                <w:color w:val="000000"/>
                <w:sz w:val="20"/>
                <w:lang w:val="sv-SE"/>
              </w:rPr>
            </w:pPr>
            <w:r w:rsidRPr="00800D1B">
              <w:rPr>
                <w:color w:val="000000"/>
                <w:sz w:val="20"/>
                <w:lang w:val="sv-SE"/>
              </w:rPr>
              <w:t>Prioritering</w:t>
            </w:r>
          </w:p>
        </w:tc>
        <w:tc>
          <w:tcPr>
            <w:tcW w:w="567" w:type="pct"/>
          </w:tcPr>
          <w:p w14:paraId="2D066552" w14:textId="77777777" w:rsidR="00A77B3E" w:rsidRPr="00800D1B" w:rsidRDefault="00623E14" w:rsidP="00770E35">
            <w:pPr>
              <w:spacing w:before="100" w:after="100"/>
              <w:ind w:left="-72"/>
              <w:jc w:val="center"/>
              <w:rPr>
                <w:color w:val="000000"/>
                <w:sz w:val="20"/>
                <w:lang w:val="sv-SE"/>
              </w:rPr>
            </w:pPr>
            <w:r w:rsidRPr="00800D1B">
              <w:rPr>
                <w:color w:val="000000"/>
                <w:sz w:val="20"/>
                <w:lang w:val="sv-SE"/>
              </w:rPr>
              <w:t>Specifikt mål</w:t>
            </w:r>
          </w:p>
        </w:tc>
        <w:tc>
          <w:tcPr>
            <w:tcW w:w="288" w:type="pct"/>
          </w:tcPr>
          <w:p w14:paraId="2D066553" w14:textId="77777777" w:rsidR="00A77B3E" w:rsidRPr="00800D1B" w:rsidRDefault="00623E14" w:rsidP="00770E35">
            <w:pPr>
              <w:spacing w:before="100" w:after="100"/>
              <w:ind w:left="-72"/>
              <w:jc w:val="center"/>
              <w:rPr>
                <w:color w:val="000000"/>
                <w:sz w:val="20"/>
                <w:lang w:val="sv-SE"/>
              </w:rPr>
            </w:pPr>
            <w:r w:rsidRPr="00800D1B">
              <w:rPr>
                <w:color w:val="000000"/>
                <w:sz w:val="20"/>
                <w:lang w:val="sv-SE"/>
              </w:rPr>
              <w:t>Fond</w:t>
            </w:r>
          </w:p>
        </w:tc>
        <w:tc>
          <w:tcPr>
            <w:tcW w:w="1973" w:type="pct"/>
          </w:tcPr>
          <w:p w14:paraId="2D066554" w14:textId="77777777" w:rsidR="00A77B3E" w:rsidRPr="00800D1B" w:rsidRDefault="00623E14" w:rsidP="00770E35">
            <w:pPr>
              <w:spacing w:before="100" w:after="100"/>
              <w:ind w:left="-72"/>
              <w:jc w:val="center"/>
              <w:rPr>
                <w:color w:val="000000"/>
                <w:sz w:val="20"/>
                <w:lang w:val="sv-SE"/>
              </w:rPr>
            </w:pPr>
            <w:r w:rsidRPr="00800D1B">
              <w:rPr>
                <w:color w:val="000000"/>
                <w:sz w:val="20"/>
                <w:lang w:val="sv-SE"/>
              </w:rPr>
              <w:t>Regionkategori</w:t>
            </w:r>
          </w:p>
        </w:tc>
        <w:tc>
          <w:tcPr>
            <w:tcW w:w="0" w:type="auto"/>
          </w:tcPr>
          <w:p w14:paraId="2D066555" w14:textId="77777777" w:rsidR="00A77B3E" w:rsidRPr="00800D1B" w:rsidRDefault="00623E14" w:rsidP="00770E35">
            <w:pPr>
              <w:spacing w:before="100" w:after="100"/>
              <w:ind w:left="-72"/>
              <w:jc w:val="center"/>
              <w:rPr>
                <w:color w:val="000000"/>
                <w:sz w:val="20"/>
                <w:lang w:val="sv-SE"/>
              </w:rPr>
            </w:pPr>
            <w:r w:rsidRPr="00800D1B">
              <w:rPr>
                <w:color w:val="000000"/>
                <w:sz w:val="20"/>
                <w:lang w:val="sv-SE"/>
              </w:rPr>
              <w:t>Kod</w:t>
            </w:r>
          </w:p>
        </w:tc>
        <w:tc>
          <w:tcPr>
            <w:tcW w:w="0" w:type="auto"/>
          </w:tcPr>
          <w:p w14:paraId="2D066556" w14:textId="77777777" w:rsidR="00A77B3E" w:rsidRPr="00800D1B" w:rsidRDefault="00623E14" w:rsidP="00770E35">
            <w:pPr>
              <w:spacing w:before="100" w:after="100"/>
              <w:ind w:left="-72"/>
              <w:jc w:val="center"/>
              <w:rPr>
                <w:color w:val="000000"/>
                <w:sz w:val="20"/>
                <w:lang w:val="sv-SE"/>
              </w:rPr>
            </w:pPr>
            <w:r w:rsidRPr="00800D1B">
              <w:rPr>
                <w:color w:val="000000"/>
                <w:sz w:val="20"/>
                <w:lang w:val="sv-SE"/>
              </w:rPr>
              <w:t>Belopp (euro)</w:t>
            </w:r>
          </w:p>
        </w:tc>
      </w:tr>
      <w:tr w:rsidR="003422DB" w:rsidRPr="00800D1B" w14:paraId="2D06655E" w14:textId="77777777" w:rsidTr="00770E35">
        <w:tc>
          <w:tcPr>
            <w:tcW w:w="478" w:type="pct"/>
          </w:tcPr>
          <w:p w14:paraId="2D066558" w14:textId="77777777" w:rsidR="00A77B3E" w:rsidRPr="00800D1B" w:rsidRDefault="00623E14" w:rsidP="00770E35">
            <w:pPr>
              <w:spacing w:before="100" w:after="100"/>
              <w:ind w:left="-72"/>
              <w:rPr>
                <w:color w:val="000000"/>
                <w:sz w:val="20"/>
                <w:lang w:val="sv-SE"/>
              </w:rPr>
            </w:pPr>
            <w:r w:rsidRPr="00800D1B">
              <w:rPr>
                <w:color w:val="000000"/>
                <w:sz w:val="20"/>
                <w:lang w:val="sv-SE"/>
              </w:rPr>
              <w:t>5</w:t>
            </w:r>
          </w:p>
        </w:tc>
        <w:tc>
          <w:tcPr>
            <w:tcW w:w="567" w:type="pct"/>
          </w:tcPr>
          <w:p w14:paraId="2D066559" w14:textId="77777777" w:rsidR="00A77B3E" w:rsidRPr="00800D1B" w:rsidRDefault="00623E14" w:rsidP="00770E35">
            <w:pPr>
              <w:spacing w:before="100" w:after="100"/>
              <w:ind w:left="-72"/>
              <w:rPr>
                <w:color w:val="000000"/>
                <w:sz w:val="20"/>
                <w:lang w:val="sv-SE"/>
              </w:rPr>
            </w:pPr>
            <w:r w:rsidRPr="00800D1B">
              <w:rPr>
                <w:color w:val="000000"/>
                <w:sz w:val="20"/>
                <w:lang w:val="sv-SE"/>
              </w:rPr>
              <w:t>RSO3.1</w:t>
            </w:r>
          </w:p>
        </w:tc>
        <w:tc>
          <w:tcPr>
            <w:tcW w:w="288" w:type="pct"/>
          </w:tcPr>
          <w:p w14:paraId="2D06655A" w14:textId="77777777" w:rsidR="00A77B3E" w:rsidRPr="00800D1B" w:rsidRDefault="00623E14" w:rsidP="00770E35">
            <w:pPr>
              <w:spacing w:before="100" w:after="100"/>
              <w:ind w:left="-72"/>
              <w:rPr>
                <w:color w:val="000000"/>
                <w:sz w:val="20"/>
                <w:lang w:val="sv-SE"/>
              </w:rPr>
            </w:pPr>
            <w:r w:rsidRPr="00800D1B">
              <w:rPr>
                <w:color w:val="000000"/>
                <w:sz w:val="20"/>
                <w:lang w:val="sv-SE"/>
              </w:rPr>
              <w:t>Eruf</w:t>
            </w:r>
          </w:p>
        </w:tc>
        <w:tc>
          <w:tcPr>
            <w:tcW w:w="1973" w:type="pct"/>
          </w:tcPr>
          <w:p w14:paraId="2D06655B" w14:textId="77777777" w:rsidR="00A77B3E" w:rsidRPr="00800D1B" w:rsidRDefault="00623E14" w:rsidP="00770E35">
            <w:pPr>
              <w:spacing w:before="100" w:after="100"/>
              <w:ind w:left="-72"/>
              <w:rPr>
                <w:color w:val="000000"/>
                <w:sz w:val="20"/>
                <w:lang w:val="sv-SE"/>
              </w:rPr>
            </w:pPr>
            <w:r w:rsidRPr="00800D1B">
              <w:rPr>
                <w:color w:val="000000"/>
                <w:sz w:val="20"/>
                <w:lang w:val="sv-SE"/>
              </w:rPr>
              <w:t>De yttersta randområdena eller de nordliga glesbefolkade områdena</w:t>
            </w:r>
          </w:p>
        </w:tc>
        <w:tc>
          <w:tcPr>
            <w:tcW w:w="0" w:type="auto"/>
          </w:tcPr>
          <w:p w14:paraId="2D06655C" w14:textId="77777777" w:rsidR="00A77B3E" w:rsidRPr="00800D1B" w:rsidRDefault="00623E14" w:rsidP="00770E35">
            <w:pPr>
              <w:spacing w:before="100" w:after="100"/>
              <w:ind w:left="-72"/>
              <w:rPr>
                <w:color w:val="000000"/>
                <w:sz w:val="20"/>
                <w:lang w:val="sv-SE"/>
              </w:rPr>
            </w:pPr>
            <w:r w:rsidRPr="00800D1B">
              <w:rPr>
                <w:color w:val="000000"/>
                <w:sz w:val="20"/>
                <w:lang w:val="sv-SE"/>
              </w:rPr>
              <w:t>108. Multimodala transporter (TEN-T)</w:t>
            </w:r>
          </w:p>
        </w:tc>
        <w:tc>
          <w:tcPr>
            <w:tcW w:w="0" w:type="auto"/>
          </w:tcPr>
          <w:p w14:paraId="2D06655D" w14:textId="77777777" w:rsidR="00A77B3E" w:rsidRPr="00800D1B" w:rsidRDefault="00623E14" w:rsidP="00770E35">
            <w:pPr>
              <w:spacing w:before="100" w:after="100"/>
              <w:ind w:left="-72"/>
              <w:jc w:val="right"/>
              <w:rPr>
                <w:color w:val="000000"/>
                <w:sz w:val="20"/>
                <w:lang w:val="sv-SE"/>
              </w:rPr>
            </w:pPr>
            <w:r w:rsidRPr="00800D1B">
              <w:rPr>
                <w:color w:val="000000"/>
                <w:sz w:val="20"/>
                <w:lang w:val="sv-SE"/>
              </w:rPr>
              <w:t>14 115 418,00</w:t>
            </w:r>
          </w:p>
        </w:tc>
      </w:tr>
      <w:tr w:rsidR="003422DB" w:rsidRPr="00800D1B" w14:paraId="2D066565" w14:textId="77777777" w:rsidTr="00770E35">
        <w:tc>
          <w:tcPr>
            <w:tcW w:w="478" w:type="pct"/>
          </w:tcPr>
          <w:p w14:paraId="2D06655F" w14:textId="77777777" w:rsidR="00A77B3E" w:rsidRPr="00800D1B" w:rsidRDefault="00623E14" w:rsidP="00770E35">
            <w:pPr>
              <w:spacing w:before="100" w:after="100"/>
              <w:ind w:left="-72"/>
              <w:rPr>
                <w:color w:val="000000"/>
                <w:sz w:val="20"/>
                <w:lang w:val="sv-SE"/>
              </w:rPr>
            </w:pPr>
            <w:r w:rsidRPr="00800D1B">
              <w:rPr>
                <w:color w:val="000000"/>
                <w:sz w:val="20"/>
                <w:lang w:val="sv-SE"/>
              </w:rPr>
              <w:t>5</w:t>
            </w:r>
          </w:p>
        </w:tc>
        <w:tc>
          <w:tcPr>
            <w:tcW w:w="567" w:type="pct"/>
          </w:tcPr>
          <w:p w14:paraId="2D066560" w14:textId="77777777" w:rsidR="00A77B3E" w:rsidRPr="00800D1B" w:rsidRDefault="00623E14" w:rsidP="00770E35">
            <w:pPr>
              <w:spacing w:before="100" w:after="100"/>
              <w:ind w:left="-72"/>
              <w:rPr>
                <w:color w:val="000000"/>
                <w:sz w:val="20"/>
                <w:lang w:val="sv-SE"/>
              </w:rPr>
            </w:pPr>
            <w:r w:rsidRPr="00800D1B">
              <w:rPr>
                <w:color w:val="000000"/>
                <w:sz w:val="20"/>
                <w:lang w:val="sv-SE"/>
              </w:rPr>
              <w:t>RSO3.1</w:t>
            </w:r>
          </w:p>
        </w:tc>
        <w:tc>
          <w:tcPr>
            <w:tcW w:w="288" w:type="pct"/>
          </w:tcPr>
          <w:p w14:paraId="2D066561" w14:textId="77777777" w:rsidR="00A77B3E" w:rsidRPr="00800D1B" w:rsidRDefault="00623E14" w:rsidP="00770E35">
            <w:pPr>
              <w:spacing w:before="100" w:after="100"/>
              <w:ind w:left="-72"/>
              <w:rPr>
                <w:color w:val="000000"/>
                <w:sz w:val="20"/>
                <w:lang w:val="sv-SE"/>
              </w:rPr>
            </w:pPr>
            <w:r w:rsidRPr="00800D1B">
              <w:rPr>
                <w:color w:val="000000"/>
                <w:sz w:val="20"/>
                <w:lang w:val="sv-SE"/>
              </w:rPr>
              <w:t>Totalt</w:t>
            </w:r>
          </w:p>
        </w:tc>
        <w:tc>
          <w:tcPr>
            <w:tcW w:w="1973" w:type="pct"/>
          </w:tcPr>
          <w:p w14:paraId="2D066562" w14:textId="77777777" w:rsidR="00A77B3E" w:rsidRPr="00800D1B" w:rsidRDefault="00A77B3E" w:rsidP="00770E35">
            <w:pPr>
              <w:spacing w:before="100" w:after="100"/>
              <w:ind w:left="-72"/>
              <w:rPr>
                <w:color w:val="000000"/>
                <w:sz w:val="20"/>
                <w:lang w:val="sv-SE"/>
              </w:rPr>
            </w:pPr>
          </w:p>
        </w:tc>
        <w:tc>
          <w:tcPr>
            <w:tcW w:w="0" w:type="auto"/>
          </w:tcPr>
          <w:p w14:paraId="2D066563" w14:textId="77777777" w:rsidR="00A77B3E" w:rsidRPr="00800D1B" w:rsidRDefault="00A77B3E" w:rsidP="00770E35">
            <w:pPr>
              <w:spacing w:before="100" w:after="100"/>
              <w:ind w:left="-72"/>
              <w:rPr>
                <w:color w:val="000000"/>
                <w:sz w:val="20"/>
                <w:lang w:val="sv-SE"/>
              </w:rPr>
            </w:pPr>
          </w:p>
        </w:tc>
        <w:tc>
          <w:tcPr>
            <w:tcW w:w="0" w:type="auto"/>
          </w:tcPr>
          <w:p w14:paraId="2D066564" w14:textId="77777777" w:rsidR="00A77B3E" w:rsidRPr="00800D1B" w:rsidRDefault="00623E14" w:rsidP="00770E35">
            <w:pPr>
              <w:spacing w:before="100" w:after="100"/>
              <w:ind w:left="-72"/>
              <w:jc w:val="right"/>
              <w:rPr>
                <w:color w:val="000000"/>
                <w:sz w:val="20"/>
                <w:lang w:val="sv-SE"/>
              </w:rPr>
            </w:pPr>
            <w:r w:rsidRPr="00800D1B">
              <w:rPr>
                <w:color w:val="000000"/>
                <w:sz w:val="20"/>
                <w:lang w:val="sv-SE"/>
              </w:rPr>
              <w:t>14 115 418,00</w:t>
            </w:r>
          </w:p>
        </w:tc>
      </w:tr>
    </w:tbl>
    <w:p w14:paraId="2D066567" w14:textId="3CA386F9" w:rsidR="00A77B3E" w:rsidRPr="00800D1B" w:rsidRDefault="00623E14" w:rsidP="003878E8">
      <w:pPr>
        <w:spacing w:before="360" w:after="100"/>
        <w:rPr>
          <w:lang w:val="sv-SE"/>
        </w:rPr>
      </w:pPr>
      <w:bookmarkStart w:id="175" w:name="_Toc256000416"/>
      <w:r w:rsidRPr="00800D1B">
        <w:rPr>
          <w:lang w:val="sv-SE"/>
        </w:rPr>
        <w:t>Tabell 5: Dimension 2 – finansieringsform</w:t>
      </w:r>
      <w:bookmarkEnd w:id="175"/>
    </w:p>
    <w:tbl>
      <w:tblPr>
        <w:tblStyle w:val="Tabellrutnt"/>
        <w:tblW w:w="5000" w:type="pct"/>
        <w:tblLook w:val="04A0" w:firstRow="1" w:lastRow="0" w:firstColumn="1" w:lastColumn="0" w:noHBand="0" w:noVBand="1"/>
        <w:tblDescription w:val="En tabell med sex kolumner: Prioritering; Specifikt mål; Fond; Regionkategori; Kod; Belopp (euro). Tabellen visar information om finansieringsform."/>
      </w:tblPr>
      <w:tblGrid>
        <w:gridCol w:w="1554"/>
        <w:gridCol w:w="1753"/>
        <w:gridCol w:w="962"/>
        <w:gridCol w:w="7552"/>
        <w:gridCol w:w="1494"/>
        <w:gridCol w:w="1857"/>
      </w:tblGrid>
      <w:tr w:rsidR="003422DB" w:rsidRPr="00800D1B" w14:paraId="2D06656F" w14:textId="77777777" w:rsidTr="00770E35">
        <w:tc>
          <w:tcPr>
            <w:tcW w:w="0" w:type="auto"/>
          </w:tcPr>
          <w:p w14:paraId="2D066569" w14:textId="77777777" w:rsidR="00A77B3E" w:rsidRPr="00800D1B" w:rsidRDefault="00623E14" w:rsidP="00770E35">
            <w:pPr>
              <w:spacing w:before="100" w:after="100"/>
              <w:ind w:left="-72"/>
              <w:jc w:val="center"/>
              <w:rPr>
                <w:color w:val="000000"/>
                <w:sz w:val="20"/>
                <w:lang w:val="sv-SE"/>
              </w:rPr>
            </w:pPr>
            <w:r w:rsidRPr="00800D1B">
              <w:rPr>
                <w:color w:val="000000"/>
                <w:sz w:val="20"/>
                <w:lang w:val="sv-SE"/>
              </w:rPr>
              <w:t>Prioritering</w:t>
            </w:r>
          </w:p>
        </w:tc>
        <w:tc>
          <w:tcPr>
            <w:tcW w:w="0" w:type="auto"/>
          </w:tcPr>
          <w:p w14:paraId="2D06656A" w14:textId="77777777" w:rsidR="00A77B3E" w:rsidRPr="00800D1B" w:rsidRDefault="00623E14" w:rsidP="00770E35">
            <w:pPr>
              <w:spacing w:before="100" w:after="100"/>
              <w:ind w:left="-72"/>
              <w:jc w:val="center"/>
              <w:rPr>
                <w:color w:val="000000"/>
                <w:sz w:val="20"/>
                <w:lang w:val="sv-SE"/>
              </w:rPr>
            </w:pPr>
            <w:r w:rsidRPr="00800D1B">
              <w:rPr>
                <w:color w:val="000000"/>
                <w:sz w:val="20"/>
                <w:lang w:val="sv-SE"/>
              </w:rPr>
              <w:t>Specifikt mål</w:t>
            </w:r>
          </w:p>
        </w:tc>
        <w:tc>
          <w:tcPr>
            <w:tcW w:w="0" w:type="auto"/>
          </w:tcPr>
          <w:p w14:paraId="2D06656B" w14:textId="77777777" w:rsidR="00A77B3E" w:rsidRPr="00800D1B" w:rsidRDefault="00623E14" w:rsidP="00770E35">
            <w:pPr>
              <w:spacing w:before="100" w:after="100"/>
              <w:ind w:left="-72"/>
              <w:jc w:val="center"/>
              <w:rPr>
                <w:color w:val="000000"/>
                <w:sz w:val="20"/>
                <w:lang w:val="sv-SE"/>
              </w:rPr>
            </w:pPr>
            <w:r w:rsidRPr="00800D1B">
              <w:rPr>
                <w:color w:val="000000"/>
                <w:sz w:val="20"/>
                <w:lang w:val="sv-SE"/>
              </w:rPr>
              <w:t>Fond</w:t>
            </w:r>
          </w:p>
        </w:tc>
        <w:tc>
          <w:tcPr>
            <w:tcW w:w="0" w:type="auto"/>
          </w:tcPr>
          <w:p w14:paraId="2D06656C" w14:textId="77777777" w:rsidR="00A77B3E" w:rsidRPr="00800D1B" w:rsidRDefault="00623E14" w:rsidP="00770E35">
            <w:pPr>
              <w:spacing w:before="100" w:after="100"/>
              <w:ind w:left="-72"/>
              <w:jc w:val="center"/>
              <w:rPr>
                <w:color w:val="000000"/>
                <w:sz w:val="20"/>
                <w:lang w:val="sv-SE"/>
              </w:rPr>
            </w:pPr>
            <w:r w:rsidRPr="00800D1B">
              <w:rPr>
                <w:color w:val="000000"/>
                <w:sz w:val="20"/>
                <w:lang w:val="sv-SE"/>
              </w:rPr>
              <w:t>Regionkategori</w:t>
            </w:r>
          </w:p>
        </w:tc>
        <w:tc>
          <w:tcPr>
            <w:tcW w:w="0" w:type="auto"/>
          </w:tcPr>
          <w:p w14:paraId="2D06656D" w14:textId="77777777" w:rsidR="00A77B3E" w:rsidRPr="00800D1B" w:rsidRDefault="00623E14" w:rsidP="00770E35">
            <w:pPr>
              <w:spacing w:before="100" w:after="100"/>
              <w:ind w:left="-72"/>
              <w:jc w:val="center"/>
              <w:rPr>
                <w:color w:val="000000"/>
                <w:sz w:val="20"/>
                <w:lang w:val="sv-SE"/>
              </w:rPr>
            </w:pPr>
            <w:r w:rsidRPr="00800D1B">
              <w:rPr>
                <w:color w:val="000000"/>
                <w:sz w:val="20"/>
                <w:lang w:val="sv-SE"/>
              </w:rPr>
              <w:t>Kod</w:t>
            </w:r>
          </w:p>
        </w:tc>
        <w:tc>
          <w:tcPr>
            <w:tcW w:w="0" w:type="auto"/>
          </w:tcPr>
          <w:p w14:paraId="2D06656E" w14:textId="77777777" w:rsidR="00A77B3E" w:rsidRPr="00800D1B" w:rsidRDefault="00623E14" w:rsidP="00770E35">
            <w:pPr>
              <w:spacing w:before="100" w:after="100"/>
              <w:ind w:left="-72"/>
              <w:jc w:val="center"/>
              <w:rPr>
                <w:color w:val="000000"/>
                <w:sz w:val="20"/>
                <w:lang w:val="sv-SE"/>
              </w:rPr>
            </w:pPr>
            <w:r w:rsidRPr="00800D1B">
              <w:rPr>
                <w:color w:val="000000"/>
                <w:sz w:val="20"/>
                <w:lang w:val="sv-SE"/>
              </w:rPr>
              <w:t>Belopp (euro)</w:t>
            </w:r>
          </w:p>
        </w:tc>
      </w:tr>
      <w:tr w:rsidR="003422DB" w:rsidRPr="00800D1B" w14:paraId="2D066576" w14:textId="77777777" w:rsidTr="00770E35">
        <w:tc>
          <w:tcPr>
            <w:tcW w:w="0" w:type="auto"/>
          </w:tcPr>
          <w:p w14:paraId="2D066570" w14:textId="77777777" w:rsidR="00A77B3E" w:rsidRPr="00800D1B" w:rsidRDefault="00623E14" w:rsidP="00770E35">
            <w:pPr>
              <w:spacing w:before="100" w:after="100"/>
              <w:ind w:left="-72"/>
              <w:rPr>
                <w:color w:val="000000"/>
                <w:sz w:val="20"/>
                <w:lang w:val="sv-SE"/>
              </w:rPr>
            </w:pPr>
            <w:r w:rsidRPr="00800D1B">
              <w:rPr>
                <w:color w:val="000000"/>
                <w:sz w:val="20"/>
                <w:lang w:val="sv-SE"/>
              </w:rPr>
              <w:t>5</w:t>
            </w:r>
          </w:p>
        </w:tc>
        <w:tc>
          <w:tcPr>
            <w:tcW w:w="0" w:type="auto"/>
          </w:tcPr>
          <w:p w14:paraId="2D066571" w14:textId="77777777" w:rsidR="00A77B3E" w:rsidRPr="00800D1B" w:rsidRDefault="00623E14" w:rsidP="00770E35">
            <w:pPr>
              <w:spacing w:before="100" w:after="100"/>
              <w:ind w:left="-72"/>
              <w:rPr>
                <w:color w:val="000000"/>
                <w:sz w:val="20"/>
                <w:lang w:val="sv-SE"/>
              </w:rPr>
            </w:pPr>
            <w:r w:rsidRPr="00800D1B">
              <w:rPr>
                <w:color w:val="000000"/>
                <w:sz w:val="20"/>
                <w:lang w:val="sv-SE"/>
              </w:rPr>
              <w:t>RSO3.1</w:t>
            </w:r>
          </w:p>
        </w:tc>
        <w:tc>
          <w:tcPr>
            <w:tcW w:w="0" w:type="auto"/>
          </w:tcPr>
          <w:p w14:paraId="2D066572" w14:textId="77777777" w:rsidR="00A77B3E" w:rsidRPr="00800D1B" w:rsidRDefault="00623E14" w:rsidP="00770E35">
            <w:pPr>
              <w:spacing w:before="100" w:after="100"/>
              <w:ind w:left="-72"/>
              <w:rPr>
                <w:color w:val="000000"/>
                <w:sz w:val="20"/>
                <w:lang w:val="sv-SE"/>
              </w:rPr>
            </w:pPr>
            <w:r w:rsidRPr="00800D1B">
              <w:rPr>
                <w:color w:val="000000"/>
                <w:sz w:val="20"/>
                <w:lang w:val="sv-SE"/>
              </w:rPr>
              <w:t>Eruf</w:t>
            </w:r>
          </w:p>
        </w:tc>
        <w:tc>
          <w:tcPr>
            <w:tcW w:w="0" w:type="auto"/>
          </w:tcPr>
          <w:p w14:paraId="2D066573" w14:textId="77777777" w:rsidR="00A77B3E" w:rsidRPr="00800D1B" w:rsidRDefault="00623E14" w:rsidP="00770E35">
            <w:pPr>
              <w:spacing w:before="100" w:after="100"/>
              <w:ind w:left="-72"/>
              <w:rPr>
                <w:color w:val="000000"/>
                <w:sz w:val="20"/>
                <w:lang w:val="sv-SE"/>
              </w:rPr>
            </w:pPr>
            <w:r w:rsidRPr="00800D1B">
              <w:rPr>
                <w:color w:val="000000"/>
                <w:sz w:val="20"/>
                <w:lang w:val="sv-SE"/>
              </w:rPr>
              <w:t>De yttersta randområdena eller de nordliga glesbefolkade områdena</w:t>
            </w:r>
          </w:p>
        </w:tc>
        <w:tc>
          <w:tcPr>
            <w:tcW w:w="0" w:type="auto"/>
          </w:tcPr>
          <w:p w14:paraId="2D066574" w14:textId="77777777" w:rsidR="00A77B3E" w:rsidRPr="00800D1B" w:rsidRDefault="00623E14" w:rsidP="00770E35">
            <w:pPr>
              <w:spacing w:before="100" w:after="100"/>
              <w:ind w:left="-72"/>
              <w:rPr>
                <w:color w:val="000000"/>
                <w:sz w:val="20"/>
                <w:lang w:val="sv-SE"/>
              </w:rPr>
            </w:pPr>
            <w:r w:rsidRPr="00800D1B">
              <w:rPr>
                <w:color w:val="000000"/>
                <w:sz w:val="20"/>
                <w:lang w:val="sv-SE"/>
              </w:rPr>
              <w:t>01. Bevilja</w:t>
            </w:r>
          </w:p>
        </w:tc>
        <w:tc>
          <w:tcPr>
            <w:tcW w:w="0" w:type="auto"/>
          </w:tcPr>
          <w:p w14:paraId="2D066575" w14:textId="77777777" w:rsidR="00A77B3E" w:rsidRPr="00800D1B" w:rsidRDefault="00623E14" w:rsidP="00770E35">
            <w:pPr>
              <w:spacing w:before="100" w:after="100"/>
              <w:ind w:left="-72"/>
              <w:jc w:val="right"/>
              <w:rPr>
                <w:color w:val="000000"/>
                <w:sz w:val="20"/>
                <w:lang w:val="sv-SE"/>
              </w:rPr>
            </w:pPr>
            <w:r w:rsidRPr="00800D1B">
              <w:rPr>
                <w:color w:val="000000"/>
                <w:sz w:val="20"/>
                <w:lang w:val="sv-SE"/>
              </w:rPr>
              <w:t>14 115 418,00</w:t>
            </w:r>
          </w:p>
        </w:tc>
      </w:tr>
      <w:tr w:rsidR="003422DB" w:rsidRPr="00800D1B" w14:paraId="2D06657D" w14:textId="77777777" w:rsidTr="00770E35">
        <w:tc>
          <w:tcPr>
            <w:tcW w:w="0" w:type="auto"/>
          </w:tcPr>
          <w:p w14:paraId="2D066577" w14:textId="77777777" w:rsidR="00A77B3E" w:rsidRPr="00800D1B" w:rsidRDefault="00623E14" w:rsidP="00770E35">
            <w:pPr>
              <w:spacing w:before="100" w:after="100"/>
              <w:ind w:left="-72"/>
              <w:rPr>
                <w:color w:val="000000"/>
                <w:sz w:val="20"/>
                <w:lang w:val="sv-SE"/>
              </w:rPr>
            </w:pPr>
            <w:r w:rsidRPr="00800D1B">
              <w:rPr>
                <w:color w:val="000000"/>
                <w:sz w:val="20"/>
                <w:lang w:val="sv-SE"/>
              </w:rPr>
              <w:t>5</w:t>
            </w:r>
          </w:p>
        </w:tc>
        <w:tc>
          <w:tcPr>
            <w:tcW w:w="0" w:type="auto"/>
          </w:tcPr>
          <w:p w14:paraId="2D066578" w14:textId="77777777" w:rsidR="00A77B3E" w:rsidRPr="00800D1B" w:rsidRDefault="00623E14" w:rsidP="00770E35">
            <w:pPr>
              <w:spacing w:before="100" w:after="100"/>
              <w:ind w:left="-72"/>
              <w:rPr>
                <w:color w:val="000000"/>
                <w:sz w:val="20"/>
                <w:lang w:val="sv-SE"/>
              </w:rPr>
            </w:pPr>
            <w:r w:rsidRPr="00800D1B">
              <w:rPr>
                <w:color w:val="000000"/>
                <w:sz w:val="20"/>
                <w:lang w:val="sv-SE"/>
              </w:rPr>
              <w:t>RSO3.1</w:t>
            </w:r>
          </w:p>
        </w:tc>
        <w:tc>
          <w:tcPr>
            <w:tcW w:w="0" w:type="auto"/>
          </w:tcPr>
          <w:p w14:paraId="2D066579" w14:textId="77777777" w:rsidR="00A77B3E" w:rsidRPr="00800D1B" w:rsidRDefault="00623E14" w:rsidP="00770E35">
            <w:pPr>
              <w:spacing w:before="100" w:after="100"/>
              <w:ind w:left="-72"/>
              <w:rPr>
                <w:color w:val="000000"/>
                <w:sz w:val="20"/>
                <w:lang w:val="sv-SE"/>
              </w:rPr>
            </w:pPr>
            <w:r w:rsidRPr="00800D1B">
              <w:rPr>
                <w:color w:val="000000"/>
                <w:sz w:val="20"/>
                <w:lang w:val="sv-SE"/>
              </w:rPr>
              <w:t>Totalt</w:t>
            </w:r>
          </w:p>
        </w:tc>
        <w:tc>
          <w:tcPr>
            <w:tcW w:w="0" w:type="auto"/>
          </w:tcPr>
          <w:p w14:paraId="2D06657A" w14:textId="77777777" w:rsidR="00A77B3E" w:rsidRPr="00800D1B" w:rsidRDefault="00A77B3E" w:rsidP="00770E35">
            <w:pPr>
              <w:spacing w:before="100" w:after="100"/>
              <w:ind w:left="-72"/>
              <w:rPr>
                <w:color w:val="000000"/>
                <w:sz w:val="20"/>
                <w:lang w:val="sv-SE"/>
              </w:rPr>
            </w:pPr>
          </w:p>
        </w:tc>
        <w:tc>
          <w:tcPr>
            <w:tcW w:w="0" w:type="auto"/>
          </w:tcPr>
          <w:p w14:paraId="2D06657B" w14:textId="77777777" w:rsidR="00A77B3E" w:rsidRPr="00800D1B" w:rsidRDefault="00A77B3E" w:rsidP="00770E35">
            <w:pPr>
              <w:spacing w:before="100" w:after="100"/>
              <w:ind w:left="-72"/>
              <w:rPr>
                <w:color w:val="000000"/>
                <w:sz w:val="20"/>
                <w:lang w:val="sv-SE"/>
              </w:rPr>
            </w:pPr>
          </w:p>
        </w:tc>
        <w:tc>
          <w:tcPr>
            <w:tcW w:w="0" w:type="auto"/>
          </w:tcPr>
          <w:p w14:paraId="2D06657C" w14:textId="77777777" w:rsidR="00A77B3E" w:rsidRPr="00800D1B" w:rsidRDefault="00623E14" w:rsidP="00770E35">
            <w:pPr>
              <w:spacing w:before="100" w:after="100"/>
              <w:ind w:left="-72"/>
              <w:jc w:val="right"/>
              <w:rPr>
                <w:color w:val="000000"/>
                <w:sz w:val="20"/>
                <w:lang w:val="sv-SE"/>
              </w:rPr>
            </w:pPr>
            <w:r w:rsidRPr="00800D1B">
              <w:rPr>
                <w:color w:val="000000"/>
                <w:sz w:val="20"/>
                <w:lang w:val="sv-SE"/>
              </w:rPr>
              <w:t>14 115 418,00</w:t>
            </w:r>
          </w:p>
        </w:tc>
      </w:tr>
    </w:tbl>
    <w:p w14:paraId="2D06657F" w14:textId="49918A21" w:rsidR="00A77B3E" w:rsidRPr="00800D1B" w:rsidRDefault="00623E14" w:rsidP="003878E8">
      <w:pPr>
        <w:spacing w:before="360" w:after="100"/>
        <w:rPr>
          <w:lang w:val="sv-SE"/>
        </w:rPr>
      </w:pPr>
      <w:bookmarkStart w:id="176" w:name="_Toc256000417"/>
      <w:r w:rsidRPr="00800D1B">
        <w:rPr>
          <w:lang w:val="sv-SE"/>
        </w:rPr>
        <w:t>Tabell 6: Dimension 3 – territoriell genomförandemetod och territoriellt fokus</w:t>
      </w:r>
      <w:bookmarkEnd w:id="176"/>
    </w:p>
    <w:tbl>
      <w:tblPr>
        <w:tblStyle w:val="Tabellrutnt"/>
        <w:tblW w:w="5000" w:type="pct"/>
        <w:tblLook w:val="04A0" w:firstRow="1" w:lastRow="0" w:firstColumn="1" w:lastColumn="0" w:noHBand="0" w:noVBand="1"/>
        <w:tblDescription w:val="En tabell med sex kolumner: Prioritering; Specifikt mål; Fond; Regionkategori; Kod; Belopp (euro). Tabellen visar information om territoriell genomförandemetod och territoriellt fokus."/>
      </w:tblPr>
      <w:tblGrid>
        <w:gridCol w:w="1237"/>
        <w:gridCol w:w="1394"/>
        <w:gridCol w:w="765"/>
        <w:gridCol w:w="6008"/>
        <w:gridCol w:w="4291"/>
        <w:gridCol w:w="1477"/>
      </w:tblGrid>
      <w:tr w:rsidR="003422DB" w:rsidRPr="00800D1B" w14:paraId="2D066587" w14:textId="77777777" w:rsidTr="00770E35">
        <w:tc>
          <w:tcPr>
            <w:tcW w:w="0" w:type="auto"/>
          </w:tcPr>
          <w:p w14:paraId="2D066581" w14:textId="77777777" w:rsidR="00A77B3E" w:rsidRPr="00800D1B" w:rsidRDefault="00623E14" w:rsidP="00770E35">
            <w:pPr>
              <w:spacing w:before="100" w:after="100"/>
              <w:ind w:left="-72"/>
              <w:jc w:val="center"/>
              <w:rPr>
                <w:color w:val="000000"/>
                <w:sz w:val="20"/>
                <w:lang w:val="sv-SE"/>
              </w:rPr>
            </w:pPr>
            <w:r w:rsidRPr="00800D1B">
              <w:rPr>
                <w:color w:val="000000"/>
                <w:sz w:val="20"/>
                <w:lang w:val="sv-SE"/>
              </w:rPr>
              <w:t>Prioritering</w:t>
            </w:r>
          </w:p>
        </w:tc>
        <w:tc>
          <w:tcPr>
            <w:tcW w:w="0" w:type="auto"/>
          </w:tcPr>
          <w:p w14:paraId="2D066582" w14:textId="77777777" w:rsidR="00A77B3E" w:rsidRPr="00800D1B" w:rsidRDefault="00623E14" w:rsidP="00770E35">
            <w:pPr>
              <w:spacing w:before="100" w:after="100"/>
              <w:ind w:left="-72"/>
              <w:jc w:val="center"/>
              <w:rPr>
                <w:color w:val="000000"/>
                <w:sz w:val="20"/>
                <w:lang w:val="sv-SE"/>
              </w:rPr>
            </w:pPr>
            <w:r w:rsidRPr="00800D1B">
              <w:rPr>
                <w:color w:val="000000"/>
                <w:sz w:val="20"/>
                <w:lang w:val="sv-SE"/>
              </w:rPr>
              <w:t>Specifikt mål</w:t>
            </w:r>
          </w:p>
        </w:tc>
        <w:tc>
          <w:tcPr>
            <w:tcW w:w="0" w:type="auto"/>
          </w:tcPr>
          <w:p w14:paraId="2D066583" w14:textId="77777777" w:rsidR="00A77B3E" w:rsidRPr="00800D1B" w:rsidRDefault="00623E14" w:rsidP="00770E35">
            <w:pPr>
              <w:spacing w:before="100" w:after="100"/>
              <w:ind w:left="-72"/>
              <w:jc w:val="center"/>
              <w:rPr>
                <w:color w:val="000000"/>
                <w:sz w:val="20"/>
                <w:lang w:val="sv-SE"/>
              </w:rPr>
            </w:pPr>
            <w:r w:rsidRPr="00800D1B">
              <w:rPr>
                <w:color w:val="000000"/>
                <w:sz w:val="20"/>
                <w:lang w:val="sv-SE"/>
              </w:rPr>
              <w:t>Fond</w:t>
            </w:r>
          </w:p>
        </w:tc>
        <w:tc>
          <w:tcPr>
            <w:tcW w:w="0" w:type="auto"/>
          </w:tcPr>
          <w:p w14:paraId="2D066584" w14:textId="77777777" w:rsidR="00A77B3E" w:rsidRPr="00800D1B" w:rsidRDefault="00623E14" w:rsidP="00770E35">
            <w:pPr>
              <w:spacing w:before="100" w:after="100"/>
              <w:ind w:left="-72"/>
              <w:jc w:val="center"/>
              <w:rPr>
                <w:color w:val="000000"/>
                <w:sz w:val="20"/>
                <w:lang w:val="sv-SE"/>
              </w:rPr>
            </w:pPr>
            <w:r w:rsidRPr="00800D1B">
              <w:rPr>
                <w:color w:val="000000"/>
                <w:sz w:val="20"/>
                <w:lang w:val="sv-SE"/>
              </w:rPr>
              <w:t>Regionkategori</w:t>
            </w:r>
          </w:p>
        </w:tc>
        <w:tc>
          <w:tcPr>
            <w:tcW w:w="0" w:type="auto"/>
          </w:tcPr>
          <w:p w14:paraId="2D066585" w14:textId="77777777" w:rsidR="00A77B3E" w:rsidRPr="00800D1B" w:rsidRDefault="00623E14" w:rsidP="00770E35">
            <w:pPr>
              <w:spacing w:before="100" w:after="100"/>
              <w:ind w:left="-72"/>
              <w:jc w:val="center"/>
              <w:rPr>
                <w:color w:val="000000"/>
                <w:sz w:val="20"/>
                <w:lang w:val="sv-SE"/>
              </w:rPr>
            </w:pPr>
            <w:r w:rsidRPr="00800D1B">
              <w:rPr>
                <w:color w:val="000000"/>
                <w:sz w:val="20"/>
                <w:lang w:val="sv-SE"/>
              </w:rPr>
              <w:t>Kod</w:t>
            </w:r>
          </w:p>
        </w:tc>
        <w:tc>
          <w:tcPr>
            <w:tcW w:w="0" w:type="auto"/>
          </w:tcPr>
          <w:p w14:paraId="2D066586" w14:textId="77777777" w:rsidR="00A77B3E" w:rsidRPr="00800D1B" w:rsidRDefault="00623E14" w:rsidP="00770E35">
            <w:pPr>
              <w:spacing w:before="100" w:after="100"/>
              <w:ind w:left="-72"/>
              <w:jc w:val="center"/>
              <w:rPr>
                <w:color w:val="000000"/>
                <w:sz w:val="20"/>
                <w:lang w:val="sv-SE"/>
              </w:rPr>
            </w:pPr>
            <w:r w:rsidRPr="00800D1B">
              <w:rPr>
                <w:color w:val="000000"/>
                <w:sz w:val="20"/>
                <w:lang w:val="sv-SE"/>
              </w:rPr>
              <w:t>Belopp (euro)</w:t>
            </w:r>
          </w:p>
        </w:tc>
      </w:tr>
      <w:tr w:rsidR="003422DB" w:rsidRPr="00800D1B" w14:paraId="2D06658E" w14:textId="77777777" w:rsidTr="00770E35">
        <w:tc>
          <w:tcPr>
            <w:tcW w:w="0" w:type="auto"/>
          </w:tcPr>
          <w:p w14:paraId="2D066588" w14:textId="77777777" w:rsidR="00A77B3E" w:rsidRPr="00800D1B" w:rsidRDefault="00623E14" w:rsidP="00770E35">
            <w:pPr>
              <w:spacing w:before="100" w:after="100"/>
              <w:ind w:left="-72"/>
              <w:rPr>
                <w:color w:val="000000"/>
                <w:sz w:val="20"/>
                <w:lang w:val="sv-SE"/>
              </w:rPr>
            </w:pPr>
            <w:r w:rsidRPr="00800D1B">
              <w:rPr>
                <w:color w:val="000000"/>
                <w:sz w:val="20"/>
                <w:lang w:val="sv-SE"/>
              </w:rPr>
              <w:t>5</w:t>
            </w:r>
          </w:p>
        </w:tc>
        <w:tc>
          <w:tcPr>
            <w:tcW w:w="0" w:type="auto"/>
          </w:tcPr>
          <w:p w14:paraId="2D066589" w14:textId="77777777" w:rsidR="00A77B3E" w:rsidRPr="00800D1B" w:rsidRDefault="00623E14" w:rsidP="00770E35">
            <w:pPr>
              <w:spacing w:before="100" w:after="100"/>
              <w:ind w:left="-72"/>
              <w:rPr>
                <w:color w:val="000000"/>
                <w:sz w:val="20"/>
                <w:lang w:val="sv-SE"/>
              </w:rPr>
            </w:pPr>
            <w:r w:rsidRPr="00800D1B">
              <w:rPr>
                <w:color w:val="000000"/>
                <w:sz w:val="20"/>
                <w:lang w:val="sv-SE"/>
              </w:rPr>
              <w:t>RSO3.1</w:t>
            </w:r>
          </w:p>
        </w:tc>
        <w:tc>
          <w:tcPr>
            <w:tcW w:w="0" w:type="auto"/>
          </w:tcPr>
          <w:p w14:paraId="2D06658A" w14:textId="77777777" w:rsidR="00A77B3E" w:rsidRPr="00800D1B" w:rsidRDefault="00623E14" w:rsidP="00770E35">
            <w:pPr>
              <w:spacing w:before="100" w:after="100"/>
              <w:ind w:left="-72"/>
              <w:rPr>
                <w:color w:val="000000"/>
                <w:sz w:val="20"/>
                <w:lang w:val="sv-SE"/>
              </w:rPr>
            </w:pPr>
            <w:r w:rsidRPr="00800D1B">
              <w:rPr>
                <w:color w:val="000000"/>
                <w:sz w:val="20"/>
                <w:lang w:val="sv-SE"/>
              </w:rPr>
              <w:t>Eruf</w:t>
            </w:r>
          </w:p>
        </w:tc>
        <w:tc>
          <w:tcPr>
            <w:tcW w:w="0" w:type="auto"/>
          </w:tcPr>
          <w:p w14:paraId="2D06658B" w14:textId="77777777" w:rsidR="00A77B3E" w:rsidRPr="00800D1B" w:rsidRDefault="00623E14" w:rsidP="00770E35">
            <w:pPr>
              <w:spacing w:before="100" w:after="100"/>
              <w:ind w:left="-72"/>
              <w:rPr>
                <w:color w:val="000000"/>
                <w:sz w:val="20"/>
                <w:lang w:val="sv-SE"/>
              </w:rPr>
            </w:pPr>
            <w:r w:rsidRPr="00800D1B">
              <w:rPr>
                <w:color w:val="000000"/>
                <w:sz w:val="20"/>
                <w:lang w:val="sv-SE"/>
              </w:rPr>
              <w:t>De yttersta randområdena eller de nordliga glesbefolkade områdena</w:t>
            </w:r>
          </w:p>
        </w:tc>
        <w:tc>
          <w:tcPr>
            <w:tcW w:w="0" w:type="auto"/>
          </w:tcPr>
          <w:p w14:paraId="2D06658C" w14:textId="77777777" w:rsidR="00A77B3E" w:rsidRPr="00800D1B" w:rsidRDefault="00623E14" w:rsidP="00770E35">
            <w:pPr>
              <w:spacing w:before="100" w:after="100"/>
              <w:ind w:left="-72"/>
              <w:rPr>
                <w:color w:val="000000"/>
                <w:sz w:val="20"/>
                <w:lang w:val="sv-SE"/>
              </w:rPr>
            </w:pPr>
            <w:r w:rsidRPr="00800D1B">
              <w:rPr>
                <w:color w:val="000000"/>
                <w:sz w:val="20"/>
                <w:lang w:val="sv-SE"/>
              </w:rPr>
              <w:t>31. Andra strategier – Glest befolkade områden</w:t>
            </w:r>
          </w:p>
        </w:tc>
        <w:tc>
          <w:tcPr>
            <w:tcW w:w="0" w:type="auto"/>
          </w:tcPr>
          <w:p w14:paraId="2D06658D" w14:textId="77777777" w:rsidR="00A77B3E" w:rsidRPr="00800D1B" w:rsidRDefault="00623E14" w:rsidP="00770E35">
            <w:pPr>
              <w:spacing w:before="100" w:after="100"/>
              <w:ind w:left="-72"/>
              <w:jc w:val="right"/>
              <w:rPr>
                <w:color w:val="000000"/>
                <w:sz w:val="20"/>
                <w:lang w:val="sv-SE"/>
              </w:rPr>
            </w:pPr>
            <w:r w:rsidRPr="00800D1B">
              <w:rPr>
                <w:color w:val="000000"/>
                <w:sz w:val="20"/>
                <w:lang w:val="sv-SE"/>
              </w:rPr>
              <w:t>14 115 418,00</w:t>
            </w:r>
          </w:p>
        </w:tc>
      </w:tr>
      <w:tr w:rsidR="003422DB" w:rsidRPr="00800D1B" w14:paraId="2D066595" w14:textId="77777777" w:rsidTr="00770E35">
        <w:tc>
          <w:tcPr>
            <w:tcW w:w="0" w:type="auto"/>
          </w:tcPr>
          <w:p w14:paraId="2D06658F" w14:textId="77777777" w:rsidR="00A77B3E" w:rsidRPr="00800D1B" w:rsidRDefault="00623E14" w:rsidP="00770E35">
            <w:pPr>
              <w:spacing w:before="100" w:after="100"/>
              <w:ind w:left="-72"/>
              <w:rPr>
                <w:color w:val="000000"/>
                <w:sz w:val="20"/>
                <w:lang w:val="sv-SE"/>
              </w:rPr>
            </w:pPr>
            <w:r w:rsidRPr="00800D1B">
              <w:rPr>
                <w:color w:val="000000"/>
                <w:sz w:val="20"/>
                <w:lang w:val="sv-SE"/>
              </w:rPr>
              <w:t>5</w:t>
            </w:r>
          </w:p>
        </w:tc>
        <w:tc>
          <w:tcPr>
            <w:tcW w:w="0" w:type="auto"/>
          </w:tcPr>
          <w:p w14:paraId="2D066590" w14:textId="77777777" w:rsidR="00A77B3E" w:rsidRPr="00800D1B" w:rsidRDefault="00623E14" w:rsidP="00770E35">
            <w:pPr>
              <w:spacing w:before="100" w:after="100"/>
              <w:ind w:left="-72"/>
              <w:rPr>
                <w:color w:val="000000"/>
                <w:sz w:val="20"/>
                <w:lang w:val="sv-SE"/>
              </w:rPr>
            </w:pPr>
            <w:r w:rsidRPr="00800D1B">
              <w:rPr>
                <w:color w:val="000000"/>
                <w:sz w:val="20"/>
                <w:lang w:val="sv-SE"/>
              </w:rPr>
              <w:t>RSO3.1</w:t>
            </w:r>
          </w:p>
        </w:tc>
        <w:tc>
          <w:tcPr>
            <w:tcW w:w="0" w:type="auto"/>
          </w:tcPr>
          <w:p w14:paraId="2D066591" w14:textId="77777777" w:rsidR="00A77B3E" w:rsidRPr="00800D1B" w:rsidRDefault="00623E14" w:rsidP="00770E35">
            <w:pPr>
              <w:spacing w:before="100" w:after="100"/>
              <w:ind w:left="-72"/>
              <w:rPr>
                <w:color w:val="000000"/>
                <w:sz w:val="20"/>
                <w:lang w:val="sv-SE"/>
              </w:rPr>
            </w:pPr>
            <w:r w:rsidRPr="00800D1B">
              <w:rPr>
                <w:color w:val="000000"/>
                <w:sz w:val="20"/>
                <w:lang w:val="sv-SE"/>
              </w:rPr>
              <w:t>Totalt</w:t>
            </w:r>
          </w:p>
        </w:tc>
        <w:tc>
          <w:tcPr>
            <w:tcW w:w="0" w:type="auto"/>
          </w:tcPr>
          <w:p w14:paraId="2D066592" w14:textId="77777777" w:rsidR="00A77B3E" w:rsidRPr="00800D1B" w:rsidRDefault="00A77B3E" w:rsidP="00770E35">
            <w:pPr>
              <w:spacing w:before="100" w:after="100"/>
              <w:ind w:left="-72"/>
              <w:rPr>
                <w:color w:val="000000"/>
                <w:sz w:val="20"/>
                <w:lang w:val="sv-SE"/>
              </w:rPr>
            </w:pPr>
          </w:p>
        </w:tc>
        <w:tc>
          <w:tcPr>
            <w:tcW w:w="0" w:type="auto"/>
          </w:tcPr>
          <w:p w14:paraId="2D066593" w14:textId="77777777" w:rsidR="00A77B3E" w:rsidRPr="00800D1B" w:rsidRDefault="00A77B3E" w:rsidP="00770E35">
            <w:pPr>
              <w:spacing w:before="100" w:after="100"/>
              <w:ind w:left="-72"/>
              <w:rPr>
                <w:color w:val="000000"/>
                <w:sz w:val="20"/>
                <w:lang w:val="sv-SE"/>
              </w:rPr>
            </w:pPr>
          </w:p>
        </w:tc>
        <w:tc>
          <w:tcPr>
            <w:tcW w:w="0" w:type="auto"/>
          </w:tcPr>
          <w:p w14:paraId="2D066594" w14:textId="77777777" w:rsidR="00A77B3E" w:rsidRPr="00800D1B" w:rsidRDefault="00623E14" w:rsidP="00770E35">
            <w:pPr>
              <w:spacing w:before="100" w:after="100"/>
              <w:ind w:left="-72"/>
              <w:jc w:val="right"/>
              <w:rPr>
                <w:color w:val="000000"/>
                <w:sz w:val="20"/>
                <w:lang w:val="sv-SE"/>
              </w:rPr>
            </w:pPr>
            <w:r w:rsidRPr="00800D1B">
              <w:rPr>
                <w:color w:val="000000"/>
                <w:sz w:val="20"/>
                <w:lang w:val="sv-SE"/>
              </w:rPr>
              <w:t>14 115 418,00</w:t>
            </w:r>
          </w:p>
        </w:tc>
      </w:tr>
    </w:tbl>
    <w:p w14:paraId="2D066597" w14:textId="23F9F284" w:rsidR="00A77B3E" w:rsidRPr="00800D1B" w:rsidRDefault="00623E14" w:rsidP="003878E8">
      <w:pPr>
        <w:spacing w:before="360" w:after="100"/>
        <w:rPr>
          <w:lang w:val="sv-SE"/>
        </w:rPr>
      </w:pPr>
      <w:bookmarkStart w:id="177" w:name="_Toc256000418"/>
      <w:r w:rsidRPr="00800D1B">
        <w:rPr>
          <w:lang w:val="sv-SE"/>
        </w:rPr>
        <w:t>Tabell 7: Dimension 6 – ESF+-sekundärteman</w:t>
      </w:r>
      <w:bookmarkEnd w:id="177"/>
    </w:p>
    <w:tbl>
      <w:tblPr>
        <w:tblStyle w:val="Tabellrutnt"/>
        <w:tblW w:w="5000" w:type="pct"/>
        <w:tblLook w:val="04A0" w:firstRow="1" w:lastRow="0" w:firstColumn="1" w:lastColumn="0" w:noHBand="0" w:noVBand="1"/>
        <w:tblDescription w:val="En tabell med sex kolumner: Prioritering; Specifikt mål; Fond; Regionkategori; Kod; Belopp (euro). Tabellen visar information om ESF+-sekundärteman."/>
      </w:tblPr>
      <w:tblGrid>
        <w:gridCol w:w="2696"/>
        <w:gridCol w:w="3040"/>
        <w:gridCol w:w="1516"/>
        <w:gridCol w:w="3415"/>
        <w:gridCol w:w="1361"/>
        <w:gridCol w:w="3144"/>
      </w:tblGrid>
      <w:tr w:rsidR="003422DB" w:rsidRPr="00800D1B" w14:paraId="2D06659F" w14:textId="77777777" w:rsidTr="00770E35">
        <w:tc>
          <w:tcPr>
            <w:tcW w:w="0" w:type="auto"/>
          </w:tcPr>
          <w:p w14:paraId="2D066599" w14:textId="77777777" w:rsidR="00A77B3E" w:rsidRPr="00800D1B" w:rsidRDefault="00623E14" w:rsidP="00770E35">
            <w:pPr>
              <w:spacing w:before="100" w:after="100"/>
              <w:ind w:left="-72"/>
              <w:jc w:val="center"/>
              <w:rPr>
                <w:color w:val="000000"/>
                <w:sz w:val="20"/>
                <w:lang w:val="sv-SE"/>
              </w:rPr>
            </w:pPr>
            <w:r w:rsidRPr="00800D1B">
              <w:rPr>
                <w:color w:val="000000"/>
                <w:sz w:val="20"/>
                <w:lang w:val="sv-SE"/>
              </w:rPr>
              <w:t>Prioritering</w:t>
            </w:r>
          </w:p>
        </w:tc>
        <w:tc>
          <w:tcPr>
            <w:tcW w:w="0" w:type="auto"/>
          </w:tcPr>
          <w:p w14:paraId="2D06659A" w14:textId="77777777" w:rsidR="00A77B3E" w:rsidRPr="00800D1B" w:rsidRDefault="00623E14" w:rsidP="00770E35">
            <w:pPr>
              <w:spacing w:before="100" w:after="100"/>
              <w:ind w:left="-72"/>
              <w:jc w:val="center"/>
              <w:rPr>
                <w:color w:val="000000"/>
                <w:sz w:val="20"/>
                <w:lang w:val="sv-SE"/>
              </w:rPr>
            </w:pPr>
            <w:r w:rsidRPr="00800D1B">
              <w:rPr>
                <w:color w:val="000000"/>
                <w:sz w:val="20"/>
                <w:lang w:val="sv-SE"/>
              </w:rPr>
              <w:t>Specifikt mål</w:t>
            </w:r>
          </w:p>
        </w:tc>
        <w:tc>
          <w:tcPr>
            <w:tcW w:w="0" w:type="auto"/>
          </w:tcPr>
          <w:p w14:paraId="2D06659B" w14:textId="77777777" w:rsidR="00A77B3E" w:rsidRPr="00800D1B" w:rsidRDefault="00623E14" w:rsidP="00770E35">
            <w:pPr>
              <w:spacing w:before="100" w:after="100"/>
              <w:ind w:left="-72"/>
              <w:jc w:val="center"/>
              <w:rPr>
                <w:color w:val="000000"/>
                <w:sz w:val="20"/>
                <w:lang w:val="sv-SE"/>
              </w:rPr>
            </w:pPr>
            <w:r w:rsidRPr="00800D1B">
              <w:rPr>
                <w:color w:val="000000"/>
                <w:sz w:val="20"/>
                <w:lang w:val="sv-SE"/>
              </w:rPr>
              <w:t>Fond</w:t>
            </w:r>
          </w:p>
        </w:tc>
        <w:tc>
          <w:tcPr>
            <w:tcW w:w="0" w:type="auto"/>
          </w:tcPr>
          <w:p w14:paraId="2D06659C" w14:textId="77777777" w:rsidR="00A77B3E" w:rsidRPr="00800D1B" w:rsidRDefault="00623E14" w:rsidP="00770E35">
            <w:pPr>
              <w:spacing w:before="100" w:after="100"/>
              <w:ind w:left="-72"/>
              <w:jc w:val="center"/>
              <w:rPr>
                <w:color w:val="000000"/>
                <w:sz w:val="20"/>
                <w:lang w:val="sv-SE"/>
              </w:rPr>
            </w:pPr>
            <w:r w:rsidRPr="00800D1B">
              <w:rPr>
                <w:color w:val="000000"/>
                <w:sz w:val="20"/>
                <w:lang w:val="sv-SE"/>
              </w:rPr>
              <w:t>Regionkategori</w:t>
            </w:r>
          </w:p>
        </w:tc>
        <w:tc>
          <w:tcPr>
            <w:tcW w:w="0" w:type="auto"/>
          </w:tcPr>
          <w:p w14:paraId="2D06659D" w14:textId="77777777" w:rsidR="00A77B3E" w:rsidRPr="00800D1B" w:rsidRDefault="00623E14" w:rsidP="00770E35">
            <w:pPr>
              <w:spacing w:before="100" w:after="100"/>
              <w:ind w:left="-72"/>
              <w:jc w:val="center"/>
              <w:rPr>
                <w:color w:val="000000"/>
                <w:sz w:val="20"/>
                <w:lang w:val="sv-SE"/>
              </w:rPr>
            </w:pPr>
            <w:r w:rsidRPr="00800D1B">
              <w:rPr>
                <w:color w:val="000000"/>
                <w:sz w:val="20"/>
                <w:lang w:val="sv-SE"/>
              </w:rPr>
              <w:t>Kod</w:t>
            </w:r>
          </w:p>
        </w:tc>
        <w:tc>
          <w:tcPr>
            <w:tcW w:w="0" w:type="auto"/>
          </w:tcPr>
          <w:p w14:paraId="2D06659E" w14:textId="77777777" w:rsidR="00A77B3E" w:rsidRPr="00800D1B" w:rsidRDefault="00623E14" w:rsidP="00770E35">
            <w:pPr>
              <w:spacing w:before="100" w:after="100"/>
              <w:ind w:left="-72"/>
              <w:jc w:val="center"/>
              <w:rPr>
                <w:color w:val="000000"/>
                <w:sz w:val="20"/>
                <w:lang w:val="sv-SE"/>
              </w:rPr>
            </w:pPr>
            <w:r w:rsidRPr="00800D1B">
              <w:rPr>
                <w:color w:val="000000"/>
                <w:sz w:val="20"/>
                <w:lang w:val="sv-SE"/>
              </w:rPr>
              <w:t>Belopp (euro)</w:t>
            </w:r>
          </w:p>
        </w:tc>
      </w:tr>
    </w:tbl>
    <w:p w14:paraId="2D0665A1" w14:textId="20669E14" w:rsidR="00A77B3E" w:rsidRPr="00800D1B" w:rsidRDefault="00623E14" w:rsidP="003878E8">
      <w:pPr>
        <w:spacing w:before="300" w:after="100"/>
        <w:rPr>
          <w:lang w:val="sv-SE"/>
        </w:rPr>
      </w:pPr>
      <w:bookmarkStart w:id="178" w:name="_Toc256000419"/>
      <w:r w:rsidRPr="00800D1B">
        <w:rPr>
          <w:lang w:val="sv-SE"/>
        </w:rPr>
        <w:t>Tabell 8: Dimension 7 – ESF+, Eruf, Sammanhållningsfonden och FRO, jämställdhetsdimensionen</w:t>
      </w:r>
      <w:bookmarkEnd w:id="178"/>
    </w:p>
    <w:tbl>
      <w:tblPr>
        <w:tblStyle w:val="Tabellrutnt"/>
        <w:tblW w:w="5000" w:type="pct"/>
        <w:tblLook w:val="04A0" w:firstRow="1" w:lastRow="0" w:firstColumn="1" w:lastColumn="0" w:noHBand="0" w:noVBand="1"/>
        <w:tblDescription w:val="En tabell med sex kolumner: Prioritering; Specifikt mål; Fond; Regionkategori; Kod; Belopp (euro). Tabellen visar information om ESF+, Eruf, Sammanhållningsfonden och FRO, jämställdhetsdimensionen."/>
      </w:tblPr>
      <w:tblGrid>
        <w:gridCol w:w="1387"/>
        <w:gridCol w:w="1564"/>
        <w:gridCol w:w="858"/>
        <w:gridCol w:w="6737"/>
        <w:gridCol w:w="2970"/>
        <w:gridCol w:w="1656"/>
      </w:tblGrid>
      <w:tr w:rsidR="003422DB" w:rsidRPr="00800D1B" w14:paraId="2D0665A9" w14:textId="77777777" w:rsidTr="00DF49F1">
        <w:tc>
          <w:tcPr>
            <w:tcW w:w="0" w:type="auto"/>
          </w:tcPr>
          <w:p w14:paraId="2D0665A3" w14:textId="77777777" w:rsidR="00A77B3E" w:rsidRPr="00800D1B" w:rsidRDefault="00623E14" w:rsidP="00DF49F1">
            <w:pPr>
              <w:spacing w:before="100" w:after="100"/>
              <w:ind w:left="-72"/>
              <w:jc w:val="center"/>
              <w:rPr>
                <w:color w:val="000000"/>
                <w:sz w:val="20"/>
                <w:lang w:val="sv-SE"/>
              </w:rPr>
            </w:pPr>
            <w:r w:rsidRPr="00800D1B">
              <w:rPr>
                <w:color w:val="000000"/>
                <w:sz w:val="20"/>
                <w:lang w:val="sv-SE"/>
              </w:rPr>
              <w:t>Prioritering</w:t>
            </w:r>
          </w:p>
        </w:tc>
        <w:tc>
          <w:tcPr>
            <w:tcW w:w="0" w:type="auto"/>
          </w:tcPr>
          <w:p w14:paraId="2D0665A4" w14:textId="77777777" w:rsidR="00A77B3E" w:rsidRPr="00800D1B" w:rsidRDefault="00623E14" w:rsidP="00DF49F1">
            <w:pPr>
              <w:spacing w:before="100" w:after="100"/>
              <w:ind w:left="-72"/>
              <w:jc w:val="center"/>
              <w:rPr>
                <w:color w:val="000000"/>
                <w:sz w:val="20"/>
                <w:lang w:val="sv-SE"/>
              </w:rPr>
            </w:pPr>
            <w:r w:rsidRPr="00800D1B">
              <w:rPr>
                <w:color w:val="000000"/>
                <w:sz w:val="20"/>
                <w:lang w:val="sv-SE"/>
              </w:rPr>
              <w:t>Specifikt mål</w:t>
            </w:r>
          </w:p>
        </w:tc>
        <w:tc>
          <w:tcPr>
            <w:tcW w:w="0" w:type="auto"/>
          </w:tcPr>
          <w:p w14:paraId="2D0665A5" w14:textId="77777777" w:rsidR="00A77B3E" w:rsidRPr="00800D1B" w:rsidRDefault="00623E14" w:rsidP="00DF49F1">
            <w:pPr>
              <w:spacing w:before="100" w:after="100"/>
              <w:ind w:left="-72"/>
              <w:jc w:val="center"/>
              <w:rPr>
                <w:color w:val="000000"/>
                <w:sz w:val="20"/>
                <w:lang w:val="sv-SE"/>
              </w:rPr>
            </w:pPr>
            <w:r w:rsidRPr="00800D1B">
              <w:rPr>
                <w:color w:val="000000"/>
                <w:sz w:val="20"/>
                <w:lang w:val="sv-SE"/>
              </w:rPr>
              <w:t>Fond</w:t>
            </w:r>
          </w:p>
        </w:tc>
        <w:tc>
          <w:tcPr>
            <w:tcW w:w="0" w:type="auto"/>
          </w:tcPr>
          <w:p w14:paraId="2D0665A6" w14:textId="77777777" w:rsidR="00A77B3E" w:rsidRPr="00800D1B" w:rsidRDefault="00623E14" w:rsidP="00DF49F1">
            <w:pPr>
              <w:spacing w:before="100" w:after="100"/>
              <w:ind w:left="-72"/>
              <w:jc w:val="center"/>
              <w:rPr>
                <w:color w:val="000000"/>
                <w:sz w:val="20"/>
                <w:lang w:val="sv-SE"/>
              </w:rPr>
            </w:pPr>
            <w:r w:rsidRPr="00800D1B">
              <w:rPr>
                <w:color w:val="000000"/>
                <w:sz w:val="20"/>
                <w:lang w:val="sv-SE"/>
              </w:rPr>
              <w:t>Regionkategori</w:t>
            </w:r>
          </w:p>
        </w:tc>
        <w:tc>
          <w:tcPr>
            <w:tcW w:w="0" w:type="auto"/>
          </w:tcPr>
          <w:p w14:paraId="2D0665A7" w14:textId="77777777" w:rsidR="00A77B3E" w:rsidRPr="00800D1B" w:rsidRDefault="00623E14" w:rsidP="00DF49F1">
            <w:pPr>
              <w:spacing w:before="100" w:after="100"/>
              <w:ind w:left="-72"/>
              <w:jc w:val="center"/>
              <w:rPr>
                <w:color w:val="000000"/>
                <w:sz w:val="20"/>
                <w:lang w:val="sv-SE"/>
              </w:rPr>
            </w:pPr>
            <w:r w:rsidRPr="00800D1B">
              <w:rPr>
                <w:color w:val="000000"/>
                <w:sz w:val="20"/>
                <w:lang w:val="sv-SE"/>
              </w:rPr>
              <w:t>Kod</w:t>
            </w:r>
          </w:p>
        </w:tc>
        <w:tc>
          <w:tcPr>
            <w:tcW w:w="0" w:type="auto"/>
          </w:tcPr>
          <w:p w14:paraId="2D0665A8" w14:textId="77777777" w:rsidR="00A77B3E" w:rsidRPr="00800D1B" w:rsidRDefault="00623E14" w:rsidP="00DF49F1">
            <w:pPr>
              <w:spacing w:before="100" w:after="100"/>
              <w:ind w:left="-72"/>
              <w:jc w:val="center"/>
              <w:rPr>
                <w:color w:val="000000"/>
                <w:sz w:val="20"/>
                <w:lang w:val="sv-SE"/>
              </w:rPr>
            </w:pPr>
            <w:r w:rsidRPr="00800D1B">
              <w:rPr>
                <w:color w:val="000000"/>
                <w:sz w:val="20"/>
                <w:lang w:val="sv-SE"/>
              </w:rPr>
              <w:t>Belopp (euro)</w:t>
            </w:r>
          </w:p>
        </w:tc>
      </w:tr>
      <w:tr w:rsidR="003422DB" w:rsidRPr="00800D1B" w14:paraId="2D0665B0" w14:textId="77777777" w:rsidTr="00DF49F1">
        <w:tc>
          <w:tcPr>
            <w:tcW w:w="0" w:type="auto"/>
          </w:tcPr>
          <w:p w14:paraId="2D0665AA" w14:textId="77777777" w:rsidR="00A77B3E" w:rsidRPr="00800D1B" w:rsidRDefault="00623E14" w:rsidP="00DF49F1">
            <w:pPr>
              <w:spacing w:before="100" w:after="100"/>
              <w:ind w:left="-72"/>
              <w:rPr>
                <w:color w:val="000000"/>
                <w:sz w:val="20"/>
                <w:lang w:val="sv-SE"/>
              </w:rPr>
            </w:pPr>
            <w:r w:rsidRPr="00800D1B">
              <w:rPr>
                <w:color w:val="000000"/>
                <w:sz w:val="20"/>
                <w:lang w:val="sv-SE"/>
              </w:rPr>
              <w:t>5</w:t>
            </w:r>
          </w:p>
        </w:tc>
        <w:tc>
          <w:tcPr>
            <w:tcW w:w="0" w:type="auto"/>
          </w:tcPr>
          <w:p w14:paraId="2D0665AB" w14:textId="77777777" w:rsidR="00A77B3E" w:rsidRPr="00800D1B" w:rsidRDefault="00623E14" w:rsidP="00DF49F1">
            <w:pPr>
              <w:spacing w:before="100" w:after="100"/>
              <w:ind w:left="-72"/>
              <w:rPr>
                <w:color w:val="000000"/>
                <w:sz w:val="20"/>
                <w:lang w:val="sv-SE"/>
              </w:rPr>
            </w:pPr>
            <w:r w:rsidRPr="00800D1B">
              <w:rPr>
                <w:color w:val="000000"/>
                <w:sz w:val="20"/>
                <w:lang w:val="sv-SE"/>
              </w:rPr>
              <w:t>RSO3.1</w:t>
            </w:r>
          </w:p>
        </w:tc>
        <w:tc>
          <w:tcPr>
            <w:tcW w:w="0" w:type="auto"/>
          </w:tcPr>
          <w:p w14:paraId="2D0665AC" w14:textId="77777777" w:rsidR="00A77B3E" w:rsidRPr="00800D1B" w:rsidRDefault="00623E14" w:rsidP="00DF49F1">
            <w:pPr>
              <w:spacing w:before="100" w:after="100"/>
              <w:ind w:left="-72"/>
              <w:rPr>
                <w:color w:val="000000"/>
                <w:sz w:val="20"/>
                <w:lang w:val="sv-SE"/>
              </w:rPr>
            </w:pPr>
            <w:r w:rsidRPr="00800D1B">
              <w:rPr>
                <w:color w:val="000000"/>
                <w:sz w:val="20"/>
                <w:lang w:val="sv-SE"/>
              </w:rPr>
              <w:t>Eruf</w:t>
            </w:r>
          </w:p>
        </w:tc>
        <w:tc>
          <w:tcPr>
            <w:tcW w:w="0" w:type="auto"/>
          </w:tcPr>
          <w:p w14:paraId="2D0665AD" w14:textId="77777777" w:rsidR="00A77B3E" w:rsidRPr="00800D1B" w:rsidRDefault="00623E14" w:rsidP="00DF49F1">
            <w:pPr>
              <w:spacing w:before="100" w:after="100"/>
              <w:ind w:left="-72"/>
              <w:rPr>
                <w:color w:val="000000"/>
                <w:sz w:val="20"/>
                <w:lang w:val="sv-SE"/>
              </w:rPr>
            </w:pPr>
            <w:r w:rsidRPr="00800D1B">
              <w:rPr>
                <w:color w:val="000000"/>
                <w:sz w:val="20"/>
                <w:lang w:val="sv-SE"/>
              </w:rPr>
              <w:t>De yttersta randområdena eller de nordliga glesbefolkade områdena</w:t>
            </w:r>
          </w:p>
        </w:tc>
        <w:tc>
          <w:tcPr>
            <w:tcW w:w="0" w:type="auto"/>
          </w:tcPr>
          <w:p w14:paraId="2D0665AE" w14:textId="77777777" w:rsidR="00A77B3E" w:rsidRPr="00800D1B" w:rsidRDefault="00623E14" w:rsidP="00DF49F1">
            <w:pPr>
              <w:spacing w:before="100" w:after="100"/>
              <w:ind w:left="-72"/>
              <w:rPr>
                <w:color w:val="000000"/>
                <w:sz w:val="20"/>
                <w:lang w:val="sv-SE"/>
              </w:rPr>
            </w:pPr>
            <w:r w:rsidRPr="00800D1B">
              <w:rPr>
                <w:color w:val="000000"/>
                <w:sz w:val="20"/>
                <w:lang w:val="sv-SE"/>
              </w:rPr>
              <w:t>02. Jämställdhetsintegrering</w:t>
            </w:r>
          </w:p>
        </w:tc>
        <w:tc>
          <w:tcPr>
            <w:tcW w:w="0" w:type="auto"/>
          </w:tcPr>
          <w:p w14:paraId="2D0665AF" w14:textId="77777777" w:rsidR="00A77B3E" w:rsidRPr="00800D1B" w:rsidRDefault="00623E14" w:rsidP="00DF49F1">
            <w:pPr>
              <w:spacing w:before="100" w:after="100"/>
              <w:ind w:left="-72"/>
              <w:jc w:val="right"/>
              <w:rPr>
                <w:color w:val="000000"/>
                <w:sz w:val="20"/>
                <w:lang w:val="sv-SE"/>
              </w:rPr>
            </w:pPr>
            <w:r w:rsidRPr="00800D1B">
              <w:rPr>
                <w:color w:val="000000"/>
                <w:sz w:val="20"/>
                <w:lang w:val="sv-SE"/>
              </w:rPr>
              <w:t>5 646 167,00</w:t>
            </w:r>
          </w:p>
        </w:tc>
      </w:tr>
      <w:tr w:rsidR="003422DB" w:rsidRPr="00800D1B" w14:paraId="2D0665B7" w14:textId="77777777" w:rsidTr="00DF49F1">
        <w:tc>
          <w:tcPr>
            <w:tcW w:w="0" w:type="auto"/>
          </w:tcPr>
          <w:p w14:paraId="2D0665B1" w14:textId="77777777" w:rsidR="00A77B3E" w:rsidRPr="00800D1B" w:rsidRDefault="00623E14" w:rsidP="00DF49F1">
            <w:pPr>
              <w:spacing w:before="100" w:after="100"/>
              <w:ind w:left="-72"/>
              <w:rPr>
                <w:color w:val="000000"/>
                <w:sz w:val="20"/>
                <w:lang w:val="sv-SE"/>
              </w:rPr>
            </w:pPr>
            <w:r w:rsidRPr="00800D1B">
              <w:rPr>
                <w:color w:val="000000"/>
                <w:sz w:val="20"/>
                <w:lang w:val="sv-SE"/>
              </w:rPr>
              <w:t>5</w:t>
            </w:r>
          </w:p>
        </w:tc>
        <w:tc>
          <w:tcPr>
            <w:tcW w:w="0" w:type="auto"/>
          </w:tcPr>
          <w:p w14:paraId="2D0665B2" w14:textId="77777777" w:rsidR="00A77B3E" w:rsidRPr="00800D1B" w:rsidRDefault="00623E14" w:rsidP="00DF49F1">
            <w:pPr>
              <w:spacing w:before="100" w:after="100"/>
              <w:ind w:left="-72"/>
              <w:rPr>
                <w:color w:val="000000"/>
                <w:sz w:val="20"/>
                <w:lang w:val="sv-SE"/>
              </w:rPr>
            </w:pPr>
            <w:r w:rsidRPr="00800D1B">
              <w:rPr>
                <w:color w:val="000000"/>
                <w:sz w:val="20"/>
                <w:lang w:val="sv-SE"/>
              </w:rPr>
              <w:t>RSO3.1</w:t>
            </w:r>
          </w:p>
        </w:tc>
        <w:tc>
          <w:tcPr>
            <w:tcW w:w="0" w:type="auto"/>
          </w:tcPr>
          <w:p w14:paraId="2D0665B3" w14:textId="77777777" w:rsidR="00A77B3E" w:rsidRPr="00800D1B" w:rsidRDefault="00623E14" w:rsidP="00DF49F1">
            <w:pPr>
              <w:spacing w:before="100" w:after="100"/>
              <w:ind w:left="-72"/>
              <w:rPr>
                <w:color w:val="000000"/>
                <w:sz w:val="20"/>
                <w:lang w:val="sv-SE"/>
              </w:rPr>
            </w:pPr>
            <w:r w:rsidRPr="00800D1B">
              <w:rPr>
                <w:color w:val="000000"/>
                <w:sz w:val="20"/>
                <w:lang w:val="sv-SE"/>
              </w:rPr>
              <w:t>Eruf</w:t>
            </w:r>
          </w:p>
        </w:tc>
        <w:tc>
          <w:tcPr>
            <w:tcW w:w="0" w:type="auto"/>
          </w:tcPr>
          <w:p w14:paraId="2D0665B4" w14:textId="77777777" w:rsidR="00A77B3E" w:rsidRPr="00800D1B" w:rsidRDefault="00623E14" w:rsidP="00DF49F1">
            <w:pPr>
              <w:spacing w:before="100" w:after="100"/>
              <w:ind w:left="-72"/>
              <w:rPr>
                <w:color w:val="000000"/>
                <w:sz w:val="20"/>
                <w:lang w:val="sv-SE"/>
              </w:rPr>
            </w:pPr>
            <w:r w:rsidRPr="00800D1B">
              <w:rPr>
                <w:color w:val="000000"/>
                <w:sz w:val="20"/>
                <w:lang w:val="sv-SE"/>
              </w:rPr>
              <w:t>De yttersta randområdena eller de nordliga glesbefolkade områdena</w:t>
            </w:r>
          </w:p>
        </w:tc>
        <w:tc>
          <w:tcPr>
            <w:tcW w:w="0" w:type="auto"/>
          </w:tcPr>
          <w:p w14:paraId="2D0665B5" w14:textId="77777777" w:rsidR="00A77B3E" w:rsidRPr="00800D1B" w:rsidRDefault="00623E14" w:rsidP="00DF49F1">
            <w:pPr>
              <w:spacing w:before="100" w:after="100"/>
              <w:ind w:left="-72"/>
              <w:rPr>
                <w:color w:val="000000"/>
                <w:sz w:val="20"/>
                <w:lang w:val="sv-SE"/>
              </w:rPr>
            </w:pPr>
            <w:r w:rsidRPr="00800D1B">
              <w:rPr>
                <w:color w:val="000000"/>
                <w:sz w:val="20"/>
                <w:lang w:val="sv-SE"/>
              </w:rPr>
              <w:t>03. Könsneutralitet</w:t>
            </w:r>
          </w:p>
        </w:tc>
        <w:tc>
          <w:tcPr>
            <w:tcW w:w="0" w:type="auto"/>
          </w:tcPr>
          <w:p w14:paraId="2D0665B6" w14:textId="77777777" w:rsidR="00A77B3E" w:rsidRPr="00800D1B" w:rsidRDefault="00623E14" w:rsidP="00DF49F1">
            <w:pPr>
              <w:spacing w:before="100" w:after="100"/>
              <w:ind w:left="-72"/>
              <w:jc w:val="right"/>
              <w:rPr>
                <w:color w:val="000000"/>
                <w:sz w:val="20"/>
                <w:lang w:val="sv-SE"/>
              </w:rPr>
            </w:pPr>
            <w:r w:rsidRPr="00800D1B">
              <w:rPr>
                <w:color w:val="000000"/>
                <w:sz w:val="20"/>
                <w:lang w:val="sv-SE"/>
              </w:rPr>
              <w:t>8 469 251,00</w:t>
            </w:r>
          </w:p>
        </w:tc>
      </w:tr>
      <w:tr w:rsidR="003422DB" w:rsidRPr="00800D1B" w14:paraId="2D0665BE" w14:textId="77777777" w:rsidTr="00DF49F1">
        <w:tc>
          <w:tcPr>
            <w:tcW w:w="0" w:type="auto"/>
          </w:tcPr>
          <w:p w14:paraId="2D0665B8" w14:textId="77777777" w:rsidR="00A77B3E" w:rsidRPr="00800D1B" w:rsidRDefault="00623E14" w:rsidP="00DF49F1">
            <w:pPr>
              <w:spacing w:before="100" w:after="100"/>
              <w:ind w:left="-72"/>
              <w:rPr>
                <w:color w:val="000000"/>
                <w:sz w:val="20"/>
                <w:lang w:val="sv-SE"/>
              </w:rPr>
            </w:pPr>
            <w:r w:rsidRPr="00800D1B">
              <w:rPr>
                <w:color w:val="000000"/>
                <w:sz w:val="20"/>
                <w:lang w:val="sv-SE"/>
              </w:rPr>
              <w:t>5</w:t>
            </w:r>
          </w:p>
        </w:tc>
        <w:tc>
          <w:tcPr>
            <w:tcW w:w="0" w:type="auto"/>
          </w:tcPr>
          <w:p w14:paraId="2D0665B9" w14:textId="77777777" w:rsidR="00A77B3E" w:rsidRPr="00800D1B" w:rsidRDefault="00623E14" w:rsidP="00DF49F1">
            <w:pPr>
              <w:spacing w:before="100" w:after="100"/>
              <w:ind w:left="-72"/>
              <w:rPr>
                <w:color w:val="000000"/>
                <w:sz w:val="20"/>
                <w:lang w:val="sv-SE"/>
              </w:rPr>
            </w:pPr>
            <w:r w:rsidRPr="00800D1B">
              <w:rPr>
                <w:color w:val="000000"/>
                <w:sz w:val="20"/>
                <w:lang w:val="sv-SE"/>
              </w:rPr>
              <w:t>RSO3.1</w:t>
            </w:r>
          </w:p>
        </w:tc>
        <w:tc>
          <w:tcPr>
            <w:tcW w:w="0" w:type="auto"/>
          </w:tcPr>
          <w:p w14:paraId="2D0665BA" w14:textId="77777777" w:rsidR="00A77B3E" w:rsidRPr="00800D1B" w:rsidRDefault="00623E14" w:rsidP="00DF49F1">
            <w:pPr>
              <w:spacing w:before="100" w:after="100"/>
              <w:ind w:left="-72"/>
              <w:rPr>
                <w:color w:val="000000"/>
                <w:sz w:val="20"/>
                <w:lang w:val="sv-SE"/>
              </w:rPr>
            </w:pPr>
            <w:r w:rsidRPr="00800D1B">
              <w:rPr>
                <w:color w:val="000000"/>
                <w:sz w:val="20"/>
                <w:lang w:val="sv-SE"/>
              </w:rPr>
              <w:t>Totalt</w:t>
            </w:r>
          </w:p>
        </w:tc>
        <w:tc>
          <w:tcPr>
            <w:tcW w:w="0" w:type="auto"/>
          </w:tcPr>
          <w:p w14:paraId="2D0665BB" w14:textId="77777777" w:rsidR="00A77B3E" w:rsidRPr="00800D1B" w:rsidRDefault="00A77B3E" w:rsidP="00DF49F1">
            <w:pPr>
              <w:spacing w:before="100" w:after="100"/>
              <w:ind w:left="-72"/>
              <w:rPr>
                <w:color w:val="000000"/>
                <w:sz w:val="20"/>
                <w:lang w:val="sv-SE"/>
              </w:rPr>
            </w:pPr>
          </w:p>
        </w:tc>
        <w:tc>
          <w:tcPr>
            <w:tcW w:w="0" w:type="auto"/>
          </w:tcPr>
          <w:p w14:paraId="2D0665BC" w14:textId="77777777" w:rsidR="00A77B3E" w:rsidRPr="00800D1B" w:rsidRDefault="00A77B3E" w:rsidP="00DF49F1">
            <w:pPr>
              <w:spacing w:before="100" w:after="100"/>
              <w:ind w:left="-72"/>
              <w:rPr>
                <w:color w:val="000000"/>
                <w:sz w:val="20"/>
                <w:lang w:val="sv-SE"/>
              </w:rPr>
            </w:pPr>
          </w:p>
        </w:tc>
        <w:tc>
          <w:tcPr>
            <w:tcW w:w="0" w:type="auto"/>
          </w:tcPr>
          <w:p w14:paraId="2D0665BD" w14:textId="77777777" w:rsidR="00A77B3E" w:rsidRPr="00800D1B" w:rsidRDefault="00623E14" w:rsidP="00DF49F1">
            <w:pPr>
              <w:spacing w:before="100" w:after="100"/>
              <w:ind w:left="-72"/>
              <w:jc w:val="right"/>
              <w:rPr>
                <w:color w:val="000000"/>
                <w:sz w:val="20"/>
                <w:lang w:val="sv-SE"/>
              </w:rPr>
            </w:pPr>
            <w:r w:rsidRPr="00800D1B">
              <w:rPr>
                <w:color w:val="000000"/>
                <w:sz w:val="20"/>
                <w:lang w:val="sv-SE"/>
              </w:rPr>
              <w:t>14 115 418,00</w:t>
            </w:r>
          </w:p>
        </w:tc>
      </w:tr>
    </w:tbl>
    <w:p w14:paraId="2D0665BF" w14:textId="6C8C2E38" w:rsidR="00A77B3E" w:rsidRPr="00800D1B" w:rsidRDefault="00623E14">
      <w:pPr>
        <w:spacing w:before="100"/>
        <w:rPr>
          <w:color w:val="000000"/>
          <w:sz w:val="20"/>
          <w:lang w:val="sv-SE"/>
        </w:rPr>
      </w:pPr>
      <w:r w:rsidRPr="00800D1B">
        <w:rPr>
          <w:color w:val="000000"/>
          <w:sz w:val="20"/>
          <w:lang w:val="sv-SE"/>
        </w:rPr>
        <w:t>* För ESF+ bidrar i princip 40 % av ESF+-medlen till uppföljning av jämställdheten. 100 % är tillämpligt när medlemsstaten väljer att använda artikel 6 i ESF+</w:t>
      </w:r>
    </w:p>
    <w:p w14:paraId="24E86B19" w14:textId="77777777" w:rsidR="00DF49F1" w:rsidRPr="00800D1B" w:rsidRDefault="00DF49F1">
      <w:pPr>
        <w:spacing w:before="100"/>
        <w:rPr>
          <w:color w:val="000000"/>
          <w:sz w:val="20"/>
          <w:lang w:val="sv-SE"/>
        </w:rPr>
        <w:sectPr w:rsidR="00DF49F1" w:rsidRPr="00800D1B" w:rsidSect="0065165D">
          <w:pgSz w:w="16838" w:h="11906" w:orient="landscape"/>
          <w:pgMar w:top="720" w:right="720" w:bottom="864" w:left="936" w:header="288" w:footer="72" w:gutter="0"/>
          <w:cols w:space="720"/>
          <w:noEndnote/>
          <w:docGrid w:linePitch="360"/>
        </w:sectPr>
      </w:pPr>
    </w:p>
    <w:p w14:paraId="2D0665C0" w14:textId="76CEC958" w:rsidR="00A77B3E" w:rsidRPr="00800D1B" w:rsidRDefault="00623E14">
      <w:pPr>
        <w:pStyle w:val="Rubrik5"/>
        <w:numPr>
          <w:ilvl w:val="3"/>
          <w:numId w:val="56"/>
        </w:numPr>
        <w:spacing w:before="200" w:after="200"/>
        <w:ind w:left="0" w:firstLine="0"/>
      </w:pPr>
      <w:bookmarkStart w:id="179" w:name="_Toc256000420"/>
      <w:r w:rsidRPr="00800D1B">
        <w:t>Specifikt mål: RSO3.2. Utveckla och förbättra hållbar, klimatresilient, smart och intermodal mobilitet på nationell, regional och lokal nivå, inbegripet förbättrad tillgång till TEN-T och mobilitet över gränserna (Eruf)</w:t>
      </w:r>
      <w:bookmarkEnd w:id="179"/>
    </w:p>
    <w:p w14:paraId="2D0665C2" w14:textId="767628D0" w:rsidR="00A77B3E" w:rsidRPr="00800D1B" w:rsidRDefault="00623E14">
      <w:pPr>
        <w:pStyle w:val="Rubrik6"/>
        <w:numPr>
          <w:ilvl w:val="4"/>
          <w:numId w:val="43"/>
        </w:numPr>
        <w:ind w:left="360"/>
      </w:pPr>
      <w:bookmarkStart w:id="180" w:name="_Toc256000421"/>
      <w:r w:rsidRPr="00800D1B">
        <w:t>Interventioner inom ramen för fonderna</w:t>
      </w:r>
      <w:bookmarkEnd w:id="180"/>
    </w:p>
    <w:p w14:paraId="2D0665C4" w14:textId="77777777" w:rsidR="00A77B3E" w:rsidRPr="00800D1B" w:rsidRDefault="00623E14">
      <w:pPr>
        <w:spacing w:before="100"/>
        <w:rPr>
          <w:color w:val="000000"/>
          <w:sz w:val="0"/>
          <w:lang w:val="sv-SE"/>
        </w:rPr>
      </w:pPr>
      <w:r w:rsidRPr="00800D1B">
        <w:rPr>
          <w:color w:val="000000"/>
          <w:lang w:val="sv-SE"/>
        </w:rPr>
        <w:t>Referens: artikel 22.3 d i, iii, iv, v, vi och vii i förordningen om gemensamma bestämmelser</w:t>
      </w:r>
    </w:p>
    <w:p w14:paraId="2D0665C5" w14:textId="1BD266D5" w:rsidR="00A77B3E" w:rsidRPr="00800D1B" w:rsidRDefault="00623E14" w:rsidP="0070219E">
      <w:pPr>
        <w:spacing w:before="100" w:after="100"/>
        <w:rPr>
          <w:lang w:val="sv-SE"/>
        </w:rPr>
      </w:pPr>
      <w:bookmarkStart w:id="181" w:name="_Toc256000422"/>
      <w:r w:rsidRPr="00800D1B">
        <w:rPr>
          <w:lang w:val="sv-SE"/>
        </w:rPr>
        <w:t>Relaterade typer av åtgärder – artikel 22.3 d i i förordningen om gemensamma bestämmelser och artikel 6 i ESF+-förordningen</w:t>
      </w:r>
      <w:bookmarkEnd w:id="181"/>
    </w:p>
    <w:p w14:paraId="487CF96E" w14:textId="77777777" w:rsidR="00283B1C" w:rsidRPr="00800D1B" w:rsidRDefault="00283B1C" w:rsidP="00894596">
      <w:pPr>
        <w:pBdr>
          <w:top w:val="single" w:sz="4" w:space="10" w:color="auto"/>
          <w:left w:val="single" w:sz="4" w:space="4" w:color="auto"/>
          <w:bottom w:val="single" w:sz="4" w:space="10" w:color="auto"/>
          <w:right w:val="single" w:sz="4" w:space="4" w:color="auto"/>
        </w:pBdr>
        <w:rPr>
          <w:color w:val="000000"/>
          <w:lang w:val="sv-SE"/>
        </w:rPr>
      </w:pPr>
      <w:r w:rsidRPr="00800D1B">
        <w:rPr>
          <w:color w:val="000000"/>
          <w:lang w:val="sv-SE"/>
        </w:rPr>
        <w:t>ÖNs geografiska läge och långa avstånd gör att transporter ofta kräver flera olika trafikslag och transportsätt. Då blir noder eller bytespunkter som hamnar och terminaler viktiga för att transporten i sin helhet ska bli funktionsmässigt samt ekonomiskt och miljömässigt fördelaktig. Näringslivets ökande efterfrågan av transporter på järnväg gör det viktigt att kunna lasta om från väg till järnväg och sjöfart samt mellan sjöfart och järnväg. För att överbrygga tekniska hinder finns även ett behov av att kunna stimulera gränsöverskridande överflyttning inom samma trafikslag då spårviddsskillnaden mellan Sverige och Finland utgör ett hinder. Överflyttning avser såväl gods- som persontransporter. Åtgärderna kan vara i form av infrastruktur för att hamnar och/eller terminalverksamhet, stationslägen/plattformar och resecentrum ska utvecklas, antingen i funktion eller volym. Åtgärder kan också avse tillfartsförbindelser i form av väg, järnväg eller farled.</w:t>
      </w:r>
    </w:p>
    <w:p w14:paraId="7D79BB70" w14:textId="77777777" w:rsidR="00283B1C" w:rsidRPr="00800D1B" w:rsidRDefault="00283B1C" w:rsidP="00894596">
      <w:pPr>
        <w:pBdr>
          <w:top w:val="single" w:sz="4" w:space="10" w:color="auto"/>
          <w:left w:val="single" w:sz="4" w:space="4" w:color="auto"/>
          <w:bottom w:val="single" w:sz="4" w:space="10" w:color="auto"/>
          <w:right w:val="single" w:sz="4" w:space="4" w:color="auto"/>
        </w:pBdr>
        <w:spacing w:before="100"/>
        <w:rPr>
          <w:color w:val="000000"/>
          <w:lang w:val="sv-SE"/>
        </w:rPr>
      </w:pPr>
      <w:r w:rsidRPr="00800D1B">
        <w:rPr>
          <w:color w:val="000000"/>
          <w:lang w:val="sv-SE"/>
        </w:rPr>
        <w:t>Ett intermodalt transportsystem skapar en ökad tillgänglighet till kompetens och utbildning för programområdets näringsliv och befolkning vilket i sin tur kan bidra till att hållbara innovationer och till att företag skapas och utvecklas.</w:t>
      </w:r>
    </w:p>
    <w:p w14:paraId="4218A6A8" w14:textId="77777777" w:rsidR="00283B1C" w:rsidRPr="00800D1B" w:rsidRDefault="00283B1C" w:rsidP="00894596">
      <w:pPr>
        <w:pBdr>
          <w:top w:val="single" w:sz="4" w:space="10" w:color="auto"/>
          <w:left w:val="single" w:sz="4" w:space="4" w:color="auto"/>
          <w:bottom w:val="single" w:sz="4" w:space="10" w:color="auto"/>
          <w:right w:val="single" w:sz="4" w:space="4" w:color="auto"/>
        </w:pBdr>
        <w:spacing w:before="100"/>
        <w:rPr>
          <w:color w:val="000000"/>
          <w:lang w:val="sv-SE"/>
        </w:rPr>
      </w:pPr>
      <w:r w:rsidRPr="00800D1B">
        <w:rPr>
          <w:color w:val="000000"/>
          <w:lang w:val="sv-SE"/>
        </w:rPr>
        <w:t xml:space="preserve">I de mer glesbefolkade delarna av regionen kan det långsiktigt finnas marknadsmässiga förutsättningar för att kunna etablera systemtågslösningar för multimodala transporter som syftar till överflyttning av gods från väg till järnvägstransporter. I vissa fall finns det en stark vilja från kommunerna såväl som från näringslivet att öka multimodaliteten, men brist på ekonomisk styrka kan utgöra ett hinder. </w:t>
      </w:r>
    </w:p>
    <w:p w14:paraId="46BE5552" w14:textId="77777777" w:rsidR="00283B1C" w:rsidRPr="00800D1B" w:rsidRDefault="00283B1C" w:rsidP="00894596">
      <w:pPr>
        <w:pBdr>
          <w:top w:val="single" w:sz="4" w:space="10" w:color="auto"/>
          <w:left w:val="single" w:sz="4" w:space="4" w:color="auto"/>
          <w:bottom w:val="single" w:sz="4" w:space="10" w:color="auto"/>
          <w:right w:val="single" w:sz="4" w:space="4" w:color="auto"/>
        </w:pBdr>
        <w:spacing w:before="100"/>
        <w:rPr>
          <w:color w:val="000000"/>
          <w:lang w:val="sv-SE"/>
        </w:rPr>
      </w:pPr>
      <w:r w:rsidRPr="00800D1B">
        <w:rPr>
          <w:color w:val="000000"/>
          <w:lang w:val="sv-SE"/>
        </w:rPr>
        <w:t>Orsaken är ofta att ett transportupplägg måste etableras i praktiken för att de enskilda aktörerna ska få tillräckligt förtroende för transportprodukten. Samtidigt är enskilda företag ofta uppbundna av befintliga transportavtal eller produktionslogistiska kedjor som endast kan avslutas eller förändras under en övergångstid. Det innebär att en start av multimodala transporter riskerar att gå med underskott under ett uppbyggnadsskede. Medfinansiering i syfte att hantera risken för underskott kan utgöra en helt avgörande faktor för att multimodala transporter ska kunna utvecklas i regionen. </w:t>
      </w:r>
    </w:p>
    <w:p w14:paraId="0EDBFFE9" w14:textId="77777777" w:rsidR="00283B1C" w:rsidRPr="00800D1B" w:rsidRDefault="00283B1C" w:rsidP="00894596">
      <w:pPr>
        <w:pBdr>
          <w:top w:val="single" w:sz="4" w:space="10" w:color="auto"/>
          <w:left w:val="single" w:sz="4" w:space="4" w:color="auto"/>
          <w:bottom w:val="single" w:sz="4" w:space="10" w:color="auto"/>
          <w:right w:val="single" w:sz="4" w:space="4" w:color="auto"/>
        </w:pBdr>
        <w:spacing w:before="100"/>
        <w:rPr>
          <w:color w:val="000000"/>
          <w:lang w:val="sv-SE"/>
        </w:rPr>
      </w:pPr>
      <w:r w:rsidRPr="00800D1B">
        <w:rPr>
          <w:color w:val="000000"/>
          <w:lang w:val="sv-SE"/>
        </w:rPr>
        <w:t>Genom en utvecklad och förbättrad transportinfrastruktur kan programområdets näringsliv erhålla bättre möjligheter att transportera gods samtidigt som medborgarna kan komma närmare näringslivet och marknaden generellt. Programområdets gleshet motverkas primärt av god tillgänglighet. Även utbyggnaden av infrastruktur för hållbara förnybara bränslen och incitament till klimatsmart samhällsplanering som bidrar till en transporteffektiv planering är av stor betydelse.</w:t>
      </w:r>
    </w:p>
    <w:p w14:paraId="28F54E4F" w14:textId="77777777" w:rsidR="00283B1C" w:rsidRPr="00800D1B" w:rsidRDefault="00283B1C" w:rsidP="00894596">
      <w:pPr>
        <w:pBdr>
          <w:top w:val="single" w:sz="4" w:space="10" w:color="auto"/>
          <w:left w:val="single" w:sz="4" w:space="4" w:color="auto"/>
          <w:bottom w:val="single" w:sz="4" w:space="10" w:color="auto"/>
          <w:right w:val="single" w:sz="4" w:space="4" w:color="auto"/>
        </w:pBdr>
        <w:spacing w:before="100"/>
        <w:rPr>
          <w:color w:val="000000"/>
          <w:lang w:val="sv-SE"/>
        </w:rPr>
      </w:pPr>
      <w:r w:rsidRPr="00800D1B">
        <w:rPr>
          <w:color w:val="000000"/>
          <w:lang w:val="sv-SE"/>
        </w:rPr>
        <w:t>Nationellt och internationellt transporteras stora flöden längs Botniska korridoren. Ett flöde som går från råvaruproduktionen i Norrland till förädlingsindustrin och marknaden och övriga Europa. Botniska korridoren har prioriterats i kommissionens förslag till TEN-T och Core Network samt om det finns möjligheter till samverkan med Östersjöstrategins policyområde transporter. Detta skapar nya och förbättrade förutsättningar för anslutande delar i transportsystemet. Det innebär att behoven av förbättringar av dessa är av betydelse för regionen som helhet. Exempelvis kan förbättringarna bestå av elektrifiering av järnvägssträckor, signal- och säkerhetslösningar, mötesstationer och utvecklade omlastningsfunktioner mellan väg, järnväg och sjöfart. Behov finns också avseende överbryggandet av tekniska hinder i form av till exempel olika spårvidder mellan Sverige och Finland. </w:t>
      </w:r>
    </w:p>
    <w:p w14:paraId="65C9FD2C" w14:textId="77777777" w:rsidR="00283B1C" w:rsidRPr="00800D1B" w:rsidRDefault="00283B1C" w:rsidP="00BC05CF">
      <w:pPr>
        <w:pBdr>
          <w:top w:val="single" w:sz="4" w:space="5" w:color="auto"/>
          <w:left w:val="single" w:sz="4" w:space="4" w:color="auto"/>
          <w:bottom w:val="single" w:sz="4" w:space="15" w:color="auto"/>
          <w:right w:val="single" w:sz="4" w:space="4" w:color="auto"/>
        </w:pBdr>
        <w:spacing w:before="100"/>
        <w:ind w:left="101" w:right="115"/>
        <w:rPr>
          <w:color w:val="000000"/>
          <w:lang w:val="sv-SE"/>
        </w:rPr>
      </w:pPr>
      <w:r w:rsidRPr="00800D1B">
        <w:rPr>
          <w:color w:val="000000"/>
          <w:lang w:val="sv-SE"/>
        </w:rPr>
        <w:t xml:space="preserve">Det finns ett löpande och långsiktigt behov av att utveckla processer där parter från kommuner, regioner, näringsliv och organisationer kan mötas och utveckla koncept, planeringsunderlag och förstudier för ett långsiktigt hållbart transportsystem. Detta skapar förutsättningar för att öka förståelsen och intresset för att utveckla såväl infrastruktur som transporter i en riktning mot klimatmålen. Det innebär också förbättrade möjligheter att beskriva för olika externa aktörer och beslutsfattare hur transportsystemet ska ställas om för en långsiktig hållbar utveckling. </w:t>
      </w:r>
    </w:p>
    <w:p w14:paraId="11025DF9" w14:textId="77777777" w:rsidR="00283B1C" w:rsidRPr="00800D1B" w:rsidRDefault="00283B1C" w:rsidP="00BC05CF">
      <w:pPr>
        <w:pBdr>
          <w:top w:val="single" w:sz="4" w:space="5" w:color="auto"/>
          <w:left w:val="single" w:sz="4" w:space="4" w:color="auto"/>
          <w:bottom w:val="single" w:sz="4" w:space="15" w:color="auto"/>
          <w:right w:val="single" w:sz="4" w:space="4" w:color="auto"/>
        </w:pBdr>
        <w:spacing w:before="100"/>
        <w:ind w:left="101" w:right="115"/>
        <w:rPr>
          <w:color w:val="000000"/>
          <w:lang w:val="sv-SE"/>
        </w:rPr>
      </w:pPr>
      <w:r w:rsidRPr="00800D1B">
        <w:rPr>
          <w:color w:val="000000"/>
          <w:lang w:val="sv-SE"/>
        </w:rPr>
        <w:t>Utgångspunkten för satsningar på regional infrastruktur är att de ska växla upp effekten av nationella satsningar och TEN-T stråk. Detta bör bidra till en hållbar konsumtion och till en ökad energieffektivitet i linje med den nationella klimat- och energistrategin (NECP).</w:t>
      </w:r>
    </w:p>
    <w:p w14:paraId="22DBDCE5" w14:textId="77777777" w:rsidR="00283B1C" w:rsidRPr="00800D1B" w:rsidRDefault="00283B1C" w:rsidP="00BC05CF">
      <w:pPr>
        <w:pBdr>
          <w:top w:val="single" w:sz="4" w:space="5" w:color="auto"/>
          <w:left w:val="single" w:sz="4" w:space="4" w:color="auto"/>
          <w:bottom w:val="single" w:sz="4" w:space="15" w:color="auto"/>
          <w:right w:val="single" w:sz="4" w:space="4" w:color="auto"/>
        </w:pBdr>
        <w:spacing w:before="100"/>
        <w:ind w:left="101" w:right="115"/>
        <w:rPr>
          <w:color w:val="000000"/>
          <w:lang w:val="sv-SE"/>
        </w:rPr>
      </w:pPr>
      <w:r w:rsidRPr="00800D1B">
        <w:rPr>
          <w:color w:val="000000"/>
          <w:lang w:val="sv-SE"/>
        </w:rPr>
        <w:t>En funktionell och kapacitetsstark transportinfrastruktur är nödvändig för att alla invånare ska kunna nå viktiga samhällsfunktioner, arbetsplatser och bostäder och för att ge näringslivet goda förutsättningar för att utvecklas. Ett funktionellt transportsystem kräver såväl ett paneuropeiskt perspektiv som en förmåga att hantera ”den första och sista milen”. Det regionala och lokala transportsystemet får därför en betydande roll.</w:t>
      </w:r>
    </w:p>
    <w:p w14:paraId="67B602F3" w14:textId="77777777" w:rsidR="00283B1C" w:rsidRPr="00800D1B" w:rsidRDefault="00283B1C" w:rsidP="00BC05CF">
      <w:pPr>
        <w:pBdr>
          <w:top w:val="single" w:sz="4" w:space="5" w:color="auto"/>
          <w:left w:val="single" w:sz="4" w:space="4" w:color="auto"/>
          <w:bottom w:val="single" w:sz="4" w:space="15" w:color="auto"/>
          <w:right w:val="single" w:sz="4" w:space="4" w:color="auto"/>
        </w:pBdr>
        <w:spacing w:before="100"/>
        <w:ind w:left="101" w:right="115"/>
        <w:rPr>
          <w:color w:val="000000"/>
          <w:lang w:val="sv-SE"/>
        </w:rPr>
      </w:pPr>
      <w:r w:rsidRPr="00800D1B">
        <w:rPr>
          <w:color w:val="000000"/>
          <w:lang w:val="sv-SE"/>
        </w:rPr>
        <w:t>För tillgängligheten till regionens råvaror så är de regionala transportstråken en viktig funktion i transportkedjan. Dessa transportstråk har tillika en viktig funktion för lokalbefolkningen i dessa områden. Vägens multifunktionalitet innebär ett behov av hög trafiksäkerhet och god boendemiljö för lokalbefolkningen vilket samtidigt riskerar sämre tillgänglighet och transporteffektivitet för den långväga trafiken. Genom att separera fordonstrafiken och de oskyddade trafikanterna i dessa passager skapas bra förutsättningar för god framkomlighet för den långväga trafiken samtidigt som tillgängligheten till kollektivtrafik för boende förbättras.</w:t>
      </w:r>
    </w:p>
    <w:p w14:paraId="4C9C023D" w14:textId="77777777" w:rsidR="00283B1C" w:rsidRPr="00800D1B" w:rsidRDefault="00283B1C" w:rsidP="00BC05CF">
      <w:pPr>
        <w:pBdr>
          <w:top w:val="single" w:sz="4" w:space="5" w:color="auto"/>
          <w:left w:val="single" w:sz="4" w:space="4" w:color="auto"/>
          <w:bottom w:val="single" w:sz="4" w:space="15" w:color="auto"/>
          <w:right w:val="single" w:sz="4" w:space="4" w:color="auto"/>
        </w:pBdr>
        <w:spacing w:before="100"/>
        <w:ind w:left="101" w:right="115"/>
        <w:rPr>
          <w:color w:val="000000"/>
          <w:lang w:val="sv-SE"/>
        </w:rPr>
      </w:pPr>
      <w:r w:rsidRPr="00800D1B">
        <w:rPr>
          <w:color w:val="000000"/>
          <w:lang w:val="sv-SE"/>
        </w:rPr>
        <w:t xml:space="preserve">För att åstadkomma nödvändiga åtgärder inom eller som ansluter till TEN-T-nätet är relevanta planerings- och kunskapsunderlag av yttersta vikt. Detta kan vara inledande förstudier men också mer omfattande insatser för att ta fram nödvändigt underlag för planer och miljötillstånd som krävs för ett genomförande av en specifik åtgärd. </w:t>
      </w:r>
    </w:p>
    <w:p w14:paraId="180EAF76" w14:textId="77777777" w:rsidR="00283B1C" w:rsidRPr="00800D1B" w:rsidRDefault="00283B1C" w:rsidP="00BC05CF">
      <w:pPr>
        <w:pBdr>
          <w:top w:val="single" w:sz="4" w:space="5" w:color="auto"/>
          <w:left w:val="single" w:sz="4" w:space="4" w:color="auto"/>
          <w:bottom w:val="single" w:sz="4" w:space="15" w:color="auto"/>
          <w:right w:val="single" w:sz="4" w:space="4" w:color="auto"/>
        </w:pBdr>
        <w:spacing w:before="100"/>
        <w:ind w:left="101" w:right="115"/>
        <w:rPr>
          <w:color w:val="000000"/>
          <w:lang w:val="sv-SE"/>
        </w:rPr>
      </w:pPr>
      <w:r w:rsidRPr="00800D1B">
        <w:rPr>
          <w:color w:val="000000"/>
          <w:lang w:val="sv-SE"/>
        </w:rPr>
        <w:t>I insatserna kommer bidrag att användas eftersom det avser områden där inte tillräckliga incitament finns för att använda andra finansieringsformer. Det specifika målet fokuserar på att ge icke-finansiellt stöd till små och medelstora företag och kommer inte att generera direkta inkomster eller leda till kostnadsbesparingar för små och medelstora företag.</w:t>
      </w:r>
    </w:p>
    <w:p w14:paraId="066DF86B" w14:textId="77777777" w:rsidR="00283B1C" w:rsidRPr="00800D1B" w:rsidRDefault="00283B1C" w:rsidP="00BC05CF">
      <w:pPr>
        <w:pBdr>
          <w:top w:val="single" w:sz="4" w:space="5" w:color="auto"/>
          <w:left w:val="single" w:sz="4" w:space="4" w:color="auto"/>
          <w:bottom w:val="single" w:sz="4" w:space="15" w:color="auto"/>
          <w:right w:val="single" w:sz="4" w:space="4" w:color="auto"/>
        </w:pBdr>
        <w:spacing w:before="100"/>
        <w:ind w:left="101" w:right="115"/>
        <w:rPr>
          <w:color w:val="000000"/>
          <w:lang w:val="sv-SE"/>
        </w:rPr>
      </w:pPr>
      <w:r w:rsidRPr="00800D1B">
        <w:rPr>
          <w:color w:val="000000"/>
          <w:lang w:val="sv-SE"/>
        </w:rPr>
        <w:t>Exempel på konkreta åtgärder:</w:t>
      </w:r>
    </w:p>
    <w:p w14:paraId="43DFDD57" w14:textId="77777777" w:rsidR="00283B1C" w:rsidRPr="00800D1B" w:rsidRDefault="00283B1C">
      <w:pPr>
        <w:pStyle w:val="Liststycke"/>
        <w:numPr>
          <w:ilvl w:val="0"/>
          <w:numId w:val="46"/>
        </w:numPr>
        <w:pBdr>
          <w:top w:val="single" w:sz="4" w:space="5" w:color="auto"/>
          <w:left w:val="single" w:sz="4" w:space="4" w:color="auto"/>
          <w:bottom w:val="single" w:sz="4" w:space="15" w:color="auto"/>
          <w:right w:val="single" w:sz="4" w:space="4" w:color="auto"/>
        </w:pBdr>
        <w:spacing w:before="100"/>
        <w:ind w:left="259" w:right="115" w:hanging="158"/>
        <w:contextualSpacing w:val="0"/>
        <w:rPr>
          <w:color w:val="000000"/>
          <w:lang w:val="sv-SE"/>
        </w:rPr>
      </w:pPr>
      <w:r w:rsidRPr="00800D1B">
        <w:rPr>
          <w:color w:val="000000"/>
          <w:lang w:val="sv-SE"/>
        </w:rPr>
        <w:t>Förstudier, framtagande av underlag för nödvändiga plan och miljöbeslut samt kunskapsuppbyggande projekt. </w:t>
      </w:r>
    </w:p>
    <w:p w14:paraId="7E3B1C7B" w14:textId="77777777" w:rsidR="00283B1C" w:rsidRPr="00800D1B" w:rsidRDefault="00283B1C">
      <w:pPr>
        <w:pStyle w:val="Liststycke"/>
        <w:numPr>
          <w:ilvl w:val="0"/>
          <w:numId w:val="46"/>
        </w:numPr>
        <w:pBdr>
          <w:top w:val="single" w:sz="4" w:space="5" w:color="auto"/>
          <w:left w:val="single" w:sz="4" w:space="4" w:color="auto"/>
          <w:bottom w:val="single" w:sz="4" w:space="15" w:color="auto"/>
          <w:right w:val="single" w:sz="4" w:space="4" w:color="auto"/>
        </w:pBdr>
        <w:spacing w:before="100"/>
        <w:ind w:left="259" w:right="115" w:hanging="158"/>
        <w:contextualSpacing w:val="0"/>
        <w:rPr>
          <w:color w:val="000000"/>
          <w:lang w:val="sv-SE"/>
        </w:rPr>
      </w:pPr>
      <w:r w:rsidRPr="00800D1B">
        <w:rPr>
          <w:color w:val="000000"/>
          <w:lang w:val="sv-SE"/>
        </w:rPr>
        <w:t>Större investeringar bör kunna ha längre projekttid än 36 månader och kan eventuellt villkoras via halvtidsavstämning. </w:t>
      </w:r>
    </w:p>
    <w:p w14:paraId="3CC09EA2" w14:textId="77777777" w:rsidR="00283B1C" w:rsidRPr="00800D1B" w:rsidRDefault="00283B1C">
      <w:pPr>
        <w:pStyle w:val="Liststycke"/>
        <w:numPr>
          <w:ilvl w:val="0"/>
          <w:numId w:val="46"/>
        </w:numPr>
        <w:pBdr>
          <w:top w:val="single" w:sz="4" w:space="5" w:color="auto"/>
          <w:left w:val="single" w:sz="4" w:space="4" w:color="auto"/>
          <w:bottom w:val="single" w:sz="4" w:space="15" w:color="auto"/>
          <w:right w:val="single" w:sz="4" w:space="4" w:color="auto"/>
        </w:pBdr>
        <w:spacing w:before="100"/>
        <w:ind w:left="259" w:right="115" w:hanging="158"/>
        <w:contextualSpacing w:val="0"/>
        <w:rPr>
          <w:color w:val="000000"/>
          <w:lang w:val="sv-SE"/>
        </w:rPr>
      </w:pPr>
      <w:r w:rsidRPr="00800D1B">
        <w:rPr>
          <w:color w:val="000000"/>
          <w:lang w:val="sv-SE"/>
        </w:rPr>
        <w:t>Åtgärder som ökar tillgänglighet och ökad intermodalitet eller multimodalitet (så som terminaler och resecentrum). </w:t>
      </w:r>
    </w:p>
    <w:p w14:paraId="449281BF" w14:textId="77777777" w:rsidR="00283B1C" w:rsidRPr="00800D1B" w:rsidRDefault="00283B1C">
      <w:pPr>
        <w:pStyle w:val="Liststycke"/>
        <w:numPr>
          <w:ilvl w:val="0"/>
          <w:numId w:val="46"/>
        </w:numPr>
        <w:pBdr>
          <w:top w:val="single" w:sz="4" w:space="5" w:color="auto"/>
          <w:left w:val="single" w:sz="4" w:space="4" w:color="auto"/>
          <w:bottom w:val="single" w:sz="4" w:space="15" w:color="auto"/>
          <w:right w:val="single" w:sz="4" w:space="4" w:color="auto"/>
        </w:pBdr>
        <w:spacing w:before="100"/>
        <w:ind w:left="259" w:right="115" w:hanging="158"/>
        <w:contextualSpacing w:val="0"/>
        <w:rPr>
          <w:color w:val="000000"/>
          <w:lang w:val="sv-SE"/>
        </w:rPr>
      </w:pPr>
      <w:r w:rsidRPr="00800D1B">
        <w:rPr>
          <w:color w:val="000000"/>
          <w:lang w:val="sv-SE"/>
        </w:rPr>
        <w:t>Underlag och analyser för utbyggnad och förbättring av transportinfrastrukturen. </w:t>
      </w:r>
    </w:p>
    <w:p w14:paraId="43884E82" w14:textId="77777777" w:rsidR="00283B1C" w:rsidRPr="00800D1B" w:rsidRDefault="00283B1C">
      <w:pPr>
        <w:pStyle w:val="Liststycke"/>
        <w:numPr>
          <w:ilvl w:val="0"/>
          <w:numId w:val="46"/>
        </w:numPr>
        <w:pBdr>
          <w:top w:val="single" w:sz="4" w:space="5" w:color="auto"/>
          <w:left w:val="single" w:sz="4" w:space="4" w:color="auto"/>
          <w:bottom w:val="single" w:sz="4" w:space="15" w:color="auto"/>
          <w:right w:val="single" w:sz="4" w:space="4" w:color="auto"/>
        </w:pBdr>
        <w:spacing w:before="100"/>
        <w:ind w:left="259" w:right="115" w:hanging="158"/>
        <w:contextualSpacing w:val="0"/>
        <w:rPr>
          <w:color w:val="000000"/>
          <w:lang w:val="sv-SE"/>
        </w:rPr>
      </w:pPr>
      <w:r w:rsidRPr="00800D1B">
        <w:rPr>
          <w:color w:val="000000"/>
          <w:lang w:val="sv-SE"/>
        </w:rPr>
        <w:t>Förbättringar av den fysiska infrastrukturen, metodutveckling samt riskavlastning i syfte att utveckla och främja multimodala transporter. </w:t>
      </w:r>
    </w:p>
    <w:p w14:paraId="5F38AE10" w14:textId="77777777" w:rsidR="00283B1C" w:rsidRPr="00800D1B" w:rsidRDefault="00283B1C">
      <w:pPr>
        <w:pStyle w:val="Liststycke"/>
        <w:numPr>
          <w:ilvl w:val="0"/>
          <w:numId w:val="46"/>
        </w:numPr>
        <w:pBdr>
          <w:top w:val="single" w:sz="4" w:space="5" w:color="auto"/>
          <w:left w:val="single" w:sz="4" w:space="4" w:color="auto"/>
          <w:bottom w:val="single" w:sz="4" w:space="15" w:color="auto"/>
          <w:right w:val="single" w:sz="4" w:space="4" w:color="auto"/>
        </w:pBdr>
        <w:spacing w:before="100"/>
        <w:ind w:left="259" w:right="115" w:hanging="158"/>
        <w:contextualSpacing w:val="0"/>
        <w:rPr>
          <w:color w:val="000000"/>
          <w:lang w:val="sv-SE"/>
        </w:rPr>
      </w:pPr>
      <w:r w:rsidRPr="00800D1B">
        <w:rPr>
          <w:color w:val="000000"/>
          <w:lang w:val="sv-SE"/>
        </w:rPr>
        <w:t>Insatser som motverkar flaskhalsar i transportsystemet. </w:t>
      </w:r>
    </w:p>
    <w:p w14:paraId="1C7A77AD" w14:textId="77777777" w:rsidR="00283B1C" w:rsidRPr="00800D1B" w:rsidRDefault="00283B1C" w:rsidP="00BC05CF">
      <w:pPr>
        <w:pBdr>
          <w:top w:val="single" w:sz="4" w:space="5" w:color="auto"/>
          <w:left w:val="single" w:sz="4" w:space="4" w:color="auto"/>
          <w:bottom w:val="single" w:sz="4" w:space="15" w:color="auto"/>
          <w:right w:val="single" w:sz="4" w:space="4" w:color="auto"/>
        </w:pBdr>
        <w:spacing w:before="100"/>
        <w:ind w:left="101" w:right="115"/>
        <w:rPr>
          <w:color w:val="000000"/>
          <w:lang w:val="sv-SE"/>
        </w:rPr>
      </w:pPr>
      <w:r w:rsidRPr="00800D1B">
        <w:rPr>
          <w:color w:val="000000"/>
          <w:u w:val="single"/>
          <w:lang w:val="sv-SE"/>
        </w:rPr>
        <w:t>Förenlighet med principen om att inte orsaka betydande skada (art. 9.4 i förordningen om gemensamma bestämmelser</w:t>
      </w:r>
      <w:r w:rsidRPr="00800D1B">
        <w:rPr>
          <w:color w:val="000000"/>
          <w:lang w:val="sv-SE"/>
        </w:rPr>
        <w:t>)</w:t>
      </w:r>
    </w:p>
    <w:p w14:paraId="214DF5DA" w14:textId="77777777" w:rsidR="00283B1C" w:rsidRPr="00800D1B" w:rsidRDefault="00283B1C" w:rsidP="00BC05CF">
      <w:pPr>
        <w:pBdr>
          <w:top w:val="single" w:sz="4" w:space="5" w:color="auto"/>
          <w:left w:val="single" w:sz="4" w:space="4" w:color="auto"/>
          <w:bottom w:val="single" w:sz="4" w:space="15" w:color="auto"/>
          <w:right w:val="single" w:sz="4" w:space="4" w:color="auto"/>
        </w:pBdr>
        <w:spacing w:before="100"/>
        <w:ind w:left="101" w:right="115"/>
        <w:rPr>
          <w:color w:val="000000"/>
          <w:lang w:val="sv-SE"/>
        </w:rPr>
      </w:pPr>
      <w:r w:rsidRPr="00800D1B">
        <w:rPr>
          <w:color w:val="000000"/>
          <w:lang w:val="sv-SE"/>
        </w:rPr>
        <w:t>Insatserna har bedömts vara förenliga med principen om att inte orsaka betydande skada eftersom de har bedömts i enlighet med kommissionens tekniska vägledning om tillämpningen av principen om att inte orsaka betydande skada inom ramen för förordningen om faciliteten för återhämtning och resiliens.</w:t>
      </w:r>
    </w:p>
    <w:p w14:paraId="2D0665E0" w14:textId="0FF12D5C" w:rsidR="00A77B3E" w:rsidRPr="00800D1B" w:rsidRDefault="00623E14" w:rsidP="0070219E">
      <w:pPr>
        <w:spacing w:before="480" w:after="100"/>
        <w:rPr>
          <w:lang w:val="sv-SE"/>
        </w:rPr>
      </w:pPr>
      <w:bookmarkStart w:id="182" w:name="_Toc256000423"/>
      <w:r w:rsidRPr="00800D1B">
        <w:rPr>
          <w:lang w:val="sv-SE"/>
        </w:rPr>
        <w:t>Huvudsakliga målgrupper – artikel 22.3 d iii i förordningen om gemensamma bestämmelser</w:t>
      </w:r>
      <w:bookmarkEnd w:id="182"/>
    </w:p>
    <w:p w14:paraId="2F1BCD32" w14:textId="77777777" w:rsidR="00BC05CF" w:rsidRPr="00800D1B" w:rsidRDefault="00BC05CF" w:rsidP="0070219E">
      <w:pPr>
        <w:pBdr>
          <w:top w:val="single" w:sz="4" w:space="5" w:color="auto"/>
          <w:left w:val="single" w:sz="4" w:space="4" w:color="auto"/>
          <w:bottom w:val="single" w:sz="4" w:space="15" w:color="auto"/>
          <w:right w:val="single" w:sz="4" w:space="4" w:color="auto"/>
        </w:pBdr>
        <w:spacing w:after="360"/>
        <w:ind w:left="101" w:right="115"/>
        <w:rPr>
          <w:color w:val="000000"/>
          <w:lang w:val="sv-SE"/>
        </w:rPr>
      </w:pPr>
      <w:r w:rsidRPr="00800D1B">
        <w:rPr>
          <w:color w:val="000000"/>
          <w:lang w:val="sv-SE"/>
        </w:rPr>
        <w:t>De huvudsakliga målgrupperna är offentliga aktörer, universitet och högskolor, forskningsinstitut och övriga forsknings- och utbildningsaktörer, små och medelstora företag, ekonomiska föreningar och civilsamhället. Särskilt fokus bör läggas på att säkerställa att insatserna bidrar till att inkludera underrepresenterade grupper såsom kvinnor och personer med utländsk bakgrund samt att nå en bredd av organisationer och företag. Vid utformandet av insatser är det viktigt att använda ett jämställdhets- och mångfaldsperspektiv.</w:t>
      </w:r>
    </w:p>
    <w:p w14:paraId="2D0665E7" w14:textId="12FC88E0" w:rsidR="00A77B3E" w:rsidRPr="00800D1B" w:rsidRDefault="00623E14" w:rsidP="0070219E">
      <w:pPr>
        <w:spacing w:before="480" w:after="100"/>
        <w:rPr>
          <w:lang w:val="sv-SE"/>
        </w:rPr>
      </w:pPr>
      <w:bookmarkStart w:id="183" w:name="_Toc256000424"/>
      <w:r w:rsidRPr="00800D1B">
        <w:rPr>
          <w:lang w:val="sv-SE"/>
        </w:rPr>
        <w:t>Åtgärder för säkerställande av jämställdhet, inkludering och icke-diskriminering – artikel 22.3 d iv i förordningen om gemensamma bestämmelser och artikel 6 i ESF+-förordningen</w:t>
      </w:r>
      <w:bookmarkEnd w:id="183"/>
    </w:p>
    <w:p w14:paraId="7EFF5E89" w14:textId="77777777" w:rsidR="00BC05CF" w:rsidRPr="00800D1B" w:rsidRDefault="00BC05CF" w:rsidP="0070219E">
      <w:pPr>
        <w:pBdr>
          <w:top w:val="single" w:sz="4" w:space="6" w:color="auto"/>
          <w:left w:val="single" w:sz="4" w:space="4" w:color="auto"/>
          <w:bottom w:val="single" w:sz="4" w:space="20" w:color="auto"/>
          <w:right w:val="single" w:sz="4" w:space="4" w:color="auto"/>
        </w:pBdr>
        <w:spacing w:before="240"/>
        <w:ind w:left="101" w:right="115"/>
        <w:rPr>
          <w:color w:val="000000"/>
          <w:lang w:val="sv-SE"/>
        </w:rPr>
      </w:pPr>
      <w:r w:rsidRPr="00800D1B">
        <w:rPr>
          <w:color w:val="000000"/>
          <w:lang w:val="sv-SE"/>
        </w:rPr>
        <w:t>Jämställdhet, icke- diskriminering och tillgänglighet ska genomsyra insatserna i programmet, det vill säga, jämställdhetsintegrering är ett krav. Ingen får diskrimineras på grund av kön, könsöverskridande identitet eller uttryck, etnisk tillhörighet, religion eller annan trosuppfattning, funktionsnedsättning, sexuell läggning eller ålder. Projekten ska innehålla särskilda insatser för jämställdhet även om huvudsyftet är ett annat. Det ska tydligt beskrivas förväntade resultat kopplat till jämställdhet. Vid ansökningsförfarandet genomförs en jämställdhetsanalys som synkroniseras med övriga hållbarhetsaspekter att ta hänsyn till. Analysen ska visa hur framtagandet av insatser påverkar jämställdheten och det ska finnas minst ett mål som adresserar detsamma. Detta betyder att samtliga insatser i detta särskilda mål minst möter kraven för kod 02 i tabell 8.</w:t>
      </w:r>
    </w:p>
    <w:p w14:paraId="25DA9F5D" w14:textId="77777777" w:rsidR="00BC05CF" w:rsidRPr="00800D1B" w:rsidRDefault="00BC05CF" w:rsidP="00BC05CF">
      <w:pPr>
        <w:pBdr>
          <w:top w:val="single" w:sz="4" w:space="6" w:color="auto"/>
          <w:left w:val="single" w:sz="4" w:space="4" w:color="auto"/>
          <w:bottom w:val="single" w:sz="4" w:space="20" w:color="auto"/>
          <w:right w:val="single" w:sz="4" w:space="4" w:color="auto"/>
        </w:pBdr>
        <w:spacing w:before="100"/>
        <w:ind w:left="101" w:right="115"/>
        <w:rPr>
          <w:color w:val="000000"/>
          <w:lang w:val="sv-SE"/>
        </w:rPr>
      </w:pPr>
      <w:r w:rsidRPr="00800D1B">
        <w:rPr>
          <w:color w:val="000000"/>
          <w:lang w:val="sv-SE"/>
        </w:rPr>
        <w:t>Förutom att alla insatser inom detta särskilda mål ska möta kod 02 ser vi även att flera projekt ska innehålla särskilda insatser för jämställdhet. Särskilda insatser innebär att projektets huvudsakliga mål är att förbättra jämställdhet mellan kvinnor och män. Analysen ska därmed visa hur utmaningar och problem inom jämställdhetsområdet ligger till grund varför projektet behövs och målen tar tydligt fasta på en förflyttning mot ökad jämställdhet. Projekten bidrar därmed direkt till det globala målet 5.</w:t>
      </w:r>
    </w:p>
    <w:p w14:paraId="4F207459" w14:textId="77777777" w:rsidR="00BC05CF" w:rsidRPr="00800D1B" w:rsidRDefault="00BC05CF" w:rsidP="00BC05CF">
      <w:pPr>
        <w:pBdr>
          <w:top w:val="single" w:sz="4" w:space="6" w:color="auto"/>
          <w:left w:val="single" w:sz="4" w:space="4" w:color="auto"/>
          <w:bottom w:val="single" w:sz="4" w:space="20" w:color="auto"/>
          <w:right w:val="single" w:sz="4" w:space="4" w:color="auto"/>
        </w:pBdr>
        <w:spacing w:before="100" w:after="360"/>
        <w:ind w:left="101" w:right="115"/>
        <w:rPr>
          <w:color w:val="000000"/>
          <w:lang w:val="sv-SE"/>
        </w:rPr>
      </w:pPr>
      <w:r w:rsidRPr="00800D1B">
        <w:rPr>
          <w:color w:val="000000"/>
          <w:lang w:val="sv-SE"/>
        </w:rPr>
        <w:t>Samtliga projekt ska vid rapportering påvisa hur resultatet bidragit till att framsteg gjorts gentemot en ökad jämställdhet.</w:t>
      </w:r>
    </w:p>
    <w:p w14:paraId="2D0665F0" w14:textId="73D290E7" w:rsidR="00A77B3E" w:rsidRPr="00800D1B" w:rsidRDefault="00623E14" w:rsidP="0070219E">
      <w:pPr>
        <w:spacing w:before="480" w:after="100"/>
        <w:rPr>
          <w:lang w:val="sv-SE"/>
        </w:rPr>
      </w:pPr>
      <w:bookmarkStart w:id="184" w:name="_Toc256000425"/>
      <w:r w:rsidRPr="00800D1B">
        <w:rPr>
          <w:lang w:val="sv-SE"/>
        </w:rPr>
        <w:t>Angivande av de specifika målterritorierna, inbegripet planerad användning av territoriella verktyg – artikel 22.3 d v i förordningen om gemensamma bestämmelser</w:t>
      </w:r>
      <w:bookmarkEnd w:id="184"/>
    </w:p>
    <w:p w14:paraId="700DE820" w14:textId="067853C0" w:rsidR="005A13CE" w:rsidRPr="00800D1B" w:rsidRDefault="005A13CE" w:rsidP="001C4055">
      <w:pPr>
        <w:pBdr>
          <w:top w:val="single" w:sz="4" w:space="10" w:color="auto"/>
          <w:left w:val="single" w:sz="4" w:space="4" w:color="auto"/>
          <w:bottom w:val="single" w:sz="4" w:space="20" w:color="auto"/>
          <w:right w:val="single" w:sz="4" w:space="4" w:color="auto"/>
          <w:between w:val="single" w:sz="4" w:space="10" w:color="auto"/>
          <w:bar w:val="single" w:sz="4" w:color="auto"/>
        </w:pBdr>
        <w:ind w:left="86"/>
        <w:rPr>
          <w:lang w:val="sv-SE"/>
        </w:rPr>
      </w:pPr>
      <w:r w:rsidRPr="00800D1B">
        <w:rPr>
          <w:lang w:val="sv-SE"/>
        </w:rPr>
        <w:t>Nej</w:t>
      </w:r>
    </w:p>
    <w:p w14:paraId="2D0665F7" w14:textId="4207EE5B" w:rsidR="00A77B3E" w:rsidRPr="00800D1B" w:rsidRDefault="00623E14" w:rsidP="0070219E">
      <w:pPr>
        <w:spacing w:before="1680" w:after="100"/>
        <w:rPr>
          <w:lang w:val="sv-SE"/>
        </w:rPr>
      </w:pPr>
      <w:bookmarkStart w:id="185" w:name="_Toc256000426"/>
      <w:r w:rsidRPr="00800D1B">
        <w:rPr>
          <w:lang w:val="sv-SE"/>
        </w:rPr>
        <w:t>Interregionala, gränsregionala och transnationella åtgärder – artikel 22.3 d vi i förordningen om gemensamma bestämmelser</w:t>
      </w:r>
      <w:bookmarkEnd w:id="185"/>
    </w:p>
    <w:p w14:paraId="0A31934B" w14:textId="77777777" w:rsidR="00BC05CF" w:rsidRPr="00800D1B" w:rsidRDefault="00BC05CF" w:rsidP="00BC05CF">
      <w:pPr>
        <w:pBdr>
          <w:top w:val="single" w:sz="4" w:space="8" w:color="auto"/>
          <w:left w:val="single" w:sz="4" w:space="4" w:color="auto"/>
          <w:bottom w:val="single" w:sz="4" w:space="20" w:color="auto"/>
          <w:right w:val="single" w:sz="4" w:space="4" w:color="auto"/>
        </w:pBdr>
        <w:spacing w:before="100"/>
        <w:ind w:left="101" w:right="115"/>
        <w:rPr>
          <w:color w:val="000000"/>
          <w:lang w:val="sv-SE"/>
        </w:rPr>
      </w:pPr>
      <w:r w:rsidRPr="00800D1B">
        <w:rPr>
          <w:color w:val="000000"/>
          <w:lang w:val="sv-SE"/>
        </w:rPr>
        <w:t>Regionen samarbetar med omgivande parter i Norge, Nordland och Troms- och Finnmarks fylkeskommuner, samt i Finland med landskapsförbunden för Lappland, Norra Österbotten, Mellersta Österbotten, Österbotten och Södra Österbotten. Samarbetet sker dels direkt, dels via framför allt samverkansorganisationerna Nordkalottrådet, Bottenviksbågen, Kvarkenrådet och Mittskandia.</w:t>
      </w:r>
    </w:p>
    <w:p w14:paraId="2AEC4F08" w14:textId="77777777" w:rsidR="00BC05CF" w:rsidRPr="00800D1B" w:rsidRDefault="00BC05CF" w:rsidP="00BC05CF">
      <w:pPr>
        <w:pBdr>
          <w:top w:val="single" w:sz="4" w:space="8" w:color="auto"/>
          <w:left w:val="single" w:sz="4" w:space="4" w:color="auto"/>
          <w:bottom w:val="single" w:sz="4" w:space="20" w:color="auto"/>
          <w:right w:val="single" w:sz="4" w:space="4" w:color="auto"/>
        </w:pBdr>
        <w:spacing w:before="100"/>
        <w:ind w:left="101" w:right="115"/>
        <w:rPr>
          <w:color w:val="000000"/>
          <w:lang w:val="sv-SE"/>
        </w:rPr>
      </w:pPr>
      <w:r w:rsidRPr="00800D1B">
        <w:rPr>
          <w:color w:val="000000"/>
          <w:lang w:val="sv-SE"/>
        </w:rPr>
        <w:t>Under de senaste åren har samarbetet även kanaliserats i det regionala Barentsrådet, där konstellationen arbetat med Joint Barents Transport Plan, som en strategisk del i Barents Euro-Arctic Transport Area (BEATA). Regionen deltar i samarbetet Bottniska korridoren som under de senaste åren framgångsrikt arbetat för att de europeiska stomnätskorridorerna Skandinavien-Medelhavet och Nordsjön-Östersjön ska förlängas för att anknyta till de nordliga delarna av Norge, Sverige och Finland. I detta arbete har samarbete skett med de finländska och norska intressenterna för en förlängning av stomnätskorridorerna och även direkt med berörda regioner samt via de olika regionernas brysselkontor.</w:t>
      </w:r>
    </w:p>
    <w:p w14:paraId="46A0B4E1" w14:textId="77777777" w:rsidR="00BC05CF" w:rsidRPr="00800D1B" w:rsidRDefault="00BC05CF" w:rsidP="00BC05CF">
      <w:pPr>
        <w:pBdr>
          <w:top w:val="single" w:sz="4" w:space="8" w:color="auto"/>
          <w:left w:val="single" w:sz="4" w:space="4" w:color="auto"/>
          <w:bottom w:val="single" w:sz="4" w:space="20" w:color="auto"/>
          <w:right w:val="single" w:sz="4" w:space="4" w:color="auto"/>
        </w:pBdr>
        <w:spacing w:before="100"/>
        <w:ind w:left="101" w:right="115"/>
        <w:rPr>
          <w:color w:val="000000"/>
          <w:lang w:val="sv-SE"/>
        </w:rPr>
      </w:pPr>
      <w:r w:rsidRPr="00800D1B">
        <w:rPr>
          <w:color w:val="000000"/>
          <w:lang w:val="sv-SE"/>
        </w:rPr>
        <w:t xml:space="preserve">Via den paneuropeiska samarbetsorganisationen CPMR deltar regionen aktivt för att utveckla den europeiska transportpolitiken och skapa förutsättningar för en flernivåstyrning av dess utveckling. </w:t>
      </w:r>
    </w:p>
    <w:p w14:paraId="1E4806D0" w14:textId="77777777" w:rsidR="00BC05CF" w:rsidRPr="00800D1B" w:rsidRDefault="00BC05CF" w:rsidP="00BC05CF">
      <w:pPr>
        <w:pBdr>
          <w:top w:val="single" w:sz="4" w:space="8" w:color="auto"/>
          <w:left w:val="single" w:sz="4" w:space="4" w:color="auto"/>
          <w:bottom w:val="single" w:sz="4" w:space="20" w:color="auto"/>
          <w:right w:val="single" w:sz="4" w:space="4" w:color="auto"/>
        </w:pBdr>
        <w:spacing w:before="100"/>
        <w:ind w:left="101" w:right="115"/>
        <w:rPr>
          <w:color w:val="000000"/>
          <w:lang w:val="sv-SE"/>
        </w:rPr>
      </w:pPr>
      <w:r w:rsidRPr="00800D1B">
        <w:rPr>
          <w:color w:val="000000"/>
          <w:lang w:val="sv-SE"/>
        </w:rPr>
        <w:t>Under kommande år avser regionen att vidmakthålla samma höga ambition att följa och även påverka transport- och logistikutvecklingen i norra Norden samt även att upprätthålla den europeiska politiska dimensionen avseende framtida transport- och infrastrukturutveckling, såväl regionalt som för Sverige som helhet.</w:t>
      </w:r>
    </w:p>
    <w:p w14:paraId="2D066601" w14:textId="32BA4441" w:rsidR="00A77B3E" w:rsidRPr="00800D1B" w:rsidRDefault="00623E14" w:rsidP="0070219E">
      <w:pPr>
        <w:spacing w:before="480" w:after="100"/>
        <w:rPr>
          <w:lang w:val="sv-SE"/>
        </w:rPr>
      </w:pPr>
      <w:bookmarkStart w:id="186" w:name="_Toc256000427"/>
      <w:r w:rsidRPr="00800D1B">
        <w:rPr>
          <w:lang w:val="sv-SE"/>
        </w:rPr>
        <w:t>Planerad användning av finansieringsinstrument – artikel 22.3 d vii i förordningen om gemensamma bestämmelser</w:t>
      </w:r>
      <w:bookmarkEnd w:id="186"/>
    </w:p>
    <w:p w14:paraId="3E1EA459" w14:textId="77777777" w:rsidR="005D0334" w:rsidRPr="00800D1B" w:rsidRDefault="005D0334" w:rsidP="001C4055">
      <w:pPr>
        <w:pBdr>
          <w:top w:val="single" w:sz="4" w:space="10" w:color="auto"/>
          <w:left w:val="single" w:sz="4" w:space="4" w:color="auto"/>
          <w:bottom w:val="single" w:sz="4" w:space="20" w:color="auto"/>
          <w:right w:val="single" w:sz="4" w:space="4" w:color="auto"/>
        </w:pBdr>
        <w:spacing w:before="100"/>
        <w:ind w:left="86" w:right="115"/>
        <w:rPr>
          <w:color w:val="000000"/>
          <w:lang w:val="sv-SE"/>
        </w:rPr>
      </w:pPr>
      <w:r w:rsidRPr="00800D1B">
        <w:rPr>
          <w:color w:val="000000"/>
          <w:lang w:val="sv-SE"/>
        </w:rPr>
        <w:t>Nej</w:t>
      </w:r>
    </w:p>
    <w:p w14:paraId="2D066609" w14:textId="660470E6" w:rsidR="00A77B3E" w:rsidRPr="00800D1B" w:rsidRDefault="00623E14" w:rsidP="00267E2F">
      <w:pPr>
        <w:pStyle w:val="Rubrik6"/>
        <w:numPr>
          <w:ilvl w:val="4"/>
          <w:numId w:val="44"/>
        </w:numPr>
        <w:spacing w:before="360"/>
        <w:ind w:left="360"/>
      </w:pPr>
      <w:bookmarkStart w:id="187" w:name="_Toc256000428"/>
      <w:r w:rsidRPr="00800D1B">
        <w:t>Indikatorer</w:t>
      </w:r>
      <w:bookmarkEnd w:id="187"/>
    </w:p>
    <w:p w14:paraId="2D06660A" w14:textId="77777777" w:rsidR="00A77B3E" w:rsidRPr="00800D1B" w:rsidRDefault="00623E14">
      <w:pPr>
        <w:spacing w:before="100"/>
        <w:rPr>
          <w:color w:val="000000"/>
          <w:sz w:val="0"/>
          <w:lang w:val="sv-SE"/>
        </w:rPr>
      </w:pPr>
      <w:r w:rsidRPr="00800D1B">
        <w:rPr>
          <w:color w:val="000000"/>
          <w:lang w:val="sv-SE"/>
        </w:rPr>
        <w:t>Referens: Artikel 22.3 d ii i förordningen om gemensamma bestämmelser och artikel 8 i Eruf-förordningen och förordningen om Sammanhållningsfonden</w:t>
      </w:r>
    </w:p>
    <w:p w14:paraId="2D06660B" w14:textId="5CF32BE2" w:rsidR="00A77B3E" w:rsidRPr="00800D1B" w:rsidRDefault="00623E14" w:rsidP="003878E8">
      <w:pPr>
        <w:spacing w:before="100" w:after="100"/>
        <w:rPr>
          <w:lang w:val="sv-SE"/>
        </w:rPr>
      </w:pPr>
      <w:bookmarkStart w:id="188" w:name="_Toc256000429"/>
      <w:r w:rsidRPr="00800D1B">
        <w:rPr>
          <w:lang w:val="sv-SE"/>
        </w:rPr>
        <w:t>Tabell 2: Utfallsindikatorer</w:t>
      </w:r>
      <w:bookmarkEnd w:id="188"/>
    </w:p>
    <w:tbl>
      <w:tblPr>
        <w:tblStyle w:val="Tabellrutnt"/>
        <w:tblW w:w="5000" w:type="pct"/>
        <w:tblLook w:val="04A0" w:firstRow="1" w:lastRow="0" w:firstColumn="1" w:lastColumn="0" w:noHBand="0" w:noVBand="1"/>
        <w:tblDescription w:val="En tabell med nio kolumner: Prioritering; Specifikt mål; Fond; Regionkategori; ID; Indikator; Mätenhet; Delmål (2024); Mål (2029). Tabellen visar information om Utfallsindikatorer."/>
      </w:tblPr>
      <w:tblGrid>
        <w:gridCol w:w="1122"/>
        <w:gridCol w:w="1109"/>
        <w:gridCol w:w="610"/>
        <w:gridCol w:w="3695"/>
        <w:gridCol w:w="810"/>
        <w:gridCol w:w="3821"/>
        <w:gridCol w:w="1963"/>
        <w:gridCol w:w="1102"/>
        <w:gridCol w:w="940"/>
      </w:tblGrid>
      <w:tr w:rsidR="003422DB" w:rsidRPr="00800D1B" w14:paraId="2D066616" w14:textId="77777777" w:rsidTr="00DF49F1">
        <w:tc>
          <w:tcPr>
            <w:tcW w:w="0" w:type="auto"/>
          </w:tcPr>
          <w:p w14:paraId="2D06660D" w14:textId="77777777" w:rsidR="00A77B3E" w:rsidRPr="00800D1B" w:rsidRDefault="00623E14" w:rsidP="00DF49F1">
            <w:pPr>
              <w:spacing w:before="100" w:after="100"/>
              <w:ind w:left="-72"/>
              <w:jc w:val="center"/>
              <w:rPr>
                <w:color w:val="000000"/>
                <w:sz w:val="20"/>
                <w:lang w:val="sv-SE"/>
              </w:rPr>
            </w:pPr>
            <w:r w:rsidRPr="00800D1B">
              <w:rPr>
                <w:color w:val="000000"/>
                <w:sz w:val="20"/>
                <w:lang w:val="sv-SE"/>
              </w:rPr>
              <w:t>Prioritering</w:t>
            </w:r>
          </w:p>
        </w:tc>
        <w:tc>
          <w:tcPr>
            <w:tcW w:w="0" w:type="auto"/>
          </w:tcPr>
          <w:p w14:paraId="2D06660E" w14:textId="77777777" w:rsidR="00A77B3E" w:rsidRPr="00800D1B" w:rsidRDefault="00623E14" w:rsidP="00DF49F1">
            <w:pPr>
              <w:spacing w:before="100" w:after="100"/>
              <w:ind w:left="-72"/>
              <w:jc w:val="center"/>
              <w:rPr>
                <w:color w:val="000000"/>
                <w:sz w:val="20"/>
                <w:lang w:val="sv-SE"/>
              </w:rPr>
            </w:pPr>
            <w:r w:rsidRPr="00800D1B">
              <w:rPr>
                <w:color w:val="000000"/>
                <w:sz w:val="20"/>
                <w:lang w:val="sv-SE"/>
              </w:rPr>
              <w:t>Specifikt mål</w:t>
            </w:r>
          </w:p>
        </w:tc>
        <w:tc>
          <w:tcPr>
            <w:tcW w:w="0" w:type="auto"/>
          </w:tcPr>
          <w:p w14:paraId="2D06660F" w14:textId="77777777" w:rsidR="00A77B3E" w:rsidRPr="00800D1B" w:rsidRDefault="00623E14" w:rsidP="00DF49F1">
            <w:pPr>
              <w:spacing w:before="100" w:after="100"/>
              <w:ind w:left="-72"/>
              <w:jc w:val="center"/>
              <w:rPr>
                <w:color w:val="000000"/>
                <w:sz w:val="20"/>
                <w:lang w:val="sv-SE"/>
              </w:rPr>
            </w:pPr>
            <w:r w:rsidRPr="00800D1B">
              <w:rPr>
                <w:color w:val="000000"/>
                <w:sz w:val="20"/>
                <w:lang w:val="sv-SE"/>
              </w:rPr>
              <w:t>Fond</w:t>
            </w:r>
          </w:p>
        </w:tc>
        <w:tc>
          <w:tcPr>
            <w:tcW w:w="0" w:type="auto"/>
          </w:tcPr>
          <w:p w14:paraId="2D066610" w14:textId="77777777" w:rsidR="00A77B3E" w:rsidRPr="00800D1B" w:rsidRDefault="00623E14" w:rsidP="00DF49F1">
            <w:pPr>
              <w:spacing w:before="100" w:after="100"/>
              <w:ind w:left="-72"/>
              <w:jc w:val="center"/>
              <w:rPr>
                <w:color w:val="000000"/>
                <w:sz w:val="20"/>
                <w:lang w:val="sv-SE"/>
              </w:rPr>
            </w:pPr>
            <w:r w:rsidRPr="00800D1B">
              <w:rPr>
                <w:color w:val="000000"/>
                <w:sz w:val="20"/>
                <w:lang w:val="sv-SE"/>
              </w:rPr>
              <w:t>Regionkategori</w:t>
            </w:r>
          </w:p>
        </w:tc>
        <w:tc>
          <w:tcPr>
            <w:tcW w:w="0" w:type="auto"/>
          </w:tcPr>
          <w:p w14:paraId="2D066611" w14:textId="77777777" w:rsidR="00A77B3E" w:rsidRPr="00800D1B" w:rsidRDefault="00623E14" w:rsidP="00DF49F1">
            <w:pPr>
              <w:spacing w:before="100" w:after="100"/>
              <w:ind w:left="-72"/>
              <w:jc w:val="center"/>
              <w:rPr>
                <w:color w:val="000000"/>
                <w:sz w:val="20"/>
                <w:lang w:val="sv-SE"/>
              </w:rPr>
            </w:pPr>
            <w:r w:rsidRPr="00800D1B">
              <w:rPr>
                <w:color w:val="000000"/>
                <w:sz w:val="20"/>
                <w:lang w:val="sv-SE"/>
              </w:rPr>
              <w:t>ID</w:t>
            </w:r>
          </w:p>
        </w:tc>
        <w:tc>
          <w:tcPr>
            <w:tcW w:w="0" w:type="auto"/>
          </w:tcPr>
          <w:p w14:paraId="2D066612" w14:textId="77777777" w:rsidR="00A77B3E" w:rsidRPr="00800D1B" w:rsidRDefault="00623E14" w:rsidP="00DF49F1">
            <w:pPr>
              <w:spacing w:before="100" w:after="100"/>
              <w:ind w:left="-72"/>
              <w:jc w:val="center"/>
              <w:rPr>
                <w:color w:val="000000"/>
                <w:sz w:val="20"/>
                <w:lang w:val="sv-SE"/>
              </w:rPr>
            </w:pPr>
            <w:r w:rsidRPr="00800D1B">
              <w:rPr>
                <w:color w:val="000000"/>
                <w:sz w:val="20"/>
                <w:lang w:val="sv-SE"/>
              </w:rPr>
              <w:t>Indikator</w:t>
            </w:r>
          </w:p>
        </w:tc>
        <w:tc>
          <w:tcPr>
            <w:tcW w:w="0" w:type="auto"/>
          </w:tcPr>
          <w:p w14:paraId="2D066613" w14:textId="77777777" w:rsidR="00A77B3E" w:rsidRPr="00800D1B" w:rsidRDefault="00623E14" w:rsidP="00DF49F1">
            <w:pPr>
              <w:spacing w:before="100" w:after="100"/>
              <w:ind w:left="-72"/>
              <w:jc w:val="center"/>
              <w:rPr>
                <w:color w:val="000000"/>
                <w:sz w:val="20"/>
                <w:lang w:val="sv-SE"/>
              </w:rPr>
            </w:pPr>
            <w:r w:rsidRPr="00800D1B">
              <w:rPr>
                <w:color w:val="000000"/>
                <w:sz w:val="20"/>
                <w:lang w:val="sv-SE"/>
              </w:rPr>
              <w:t>Mätenhet</w:t>
            </w:r>
          </w:p>
        </w:tc>
        <w:tc>
          <w:tcPr>
            <w:tcW w:w="0" w:type="auto"/>
          </w:tcPr>
          <w:p w14:paraId="2D066614" w14:textId="77777777" w:rsidR="00A77B3E" w:rsidRPr="00800D1B" w:rsidRDefault="00623E14" w:rsidP="00DF49F1">
            <w:pPr>
              <w:spacing w:before="100" w:after="100"/>
              <w:ind w:left="-72"/>
              <w:jc w:val="center"/>
              <w:rPr>
                <w:color w:val="000000"/>
                <w:sz w:val="20"/>
                <w:lang w:val="sv-SE"/>
              </w:rPr>
            </w:pPr>
            <w:r w:rsidRPr="00800D1B">
              <w:rPr>
                <w:color w:val="000000"/>
                <w:sz w:val="20"/>
                <w:lang w:val="sv-SE"/>
              </w:rPr>
              <w:t>Delmål (2024)</w:t>
            </w:r>
          </w:p>
        </w:tc>
        <w:tc>
          <w:tcPr>
            <w:tcW w:w="0" w:type="auto"/>
          </w:tcPr>
          <w:p w14:paraId="2D066615" w14:textId="77777777" w:rsidR="00A77B3E" w:rsidRPr="00800D1B" w:rsidRDefault="00623E14" w:rsidP="00DF49F1">
            <w:pPr>
              <w:spacing w:before="100" w:after="100"/>
              <w:ind w:left="-72"/>
              <w:jc w:val="center"/>
              <w:rPr>
                <w:color w:val="000000"/>
                <w:sz w:val="20"/>
                <w:lang w:val="sv-SE"/>
              </w:rPr>
            </w:pPr>
            <w:r w:rsidRPr="00800D1B">
              <w:rPr>
                <w:color w:val="000000"/>
                <w:sz w:val="20"/>
                <w:lang w:val="sv-SE"/>
              </w:rPr>
              <w:t>Mål (2029)</w:t>
            </w:r>
          </w:p>
        </w:tc>
      </w:tr>
      <w:tr w:rsidR="003422DB" w:rsidRPr="00800D1B" w14:paraId="2D066620" w14:textId="77777777" w:rsidTr="00DF49F1">
        <w:tc>
          <w:tcPr>
            <w:tcW w:w="0" w:type="auto"/>
          </w:tcPr>
          <w:p w14:paraId="2D066617" w14:textId="77777777" w:rsidR="00A77B3E" w:rsidRPr="00800D1B" w:rsidRDefault="00623E14" w:rsidP="00DF49F1">
            <w:pPr>
              <w:spacing w:before="100" w:after="100"/>
              <w:ind w:left="-72"/>
              <w:rPr>
                <w:color w:val="000000"/>
                <w:sz w:val="20"/>
                <w:lang w:val="sv-SE"/>
              </w:rPr>
            </w:pPr>
            <w:r w:rsidRPr="00800D1B">
              <w:rPr>
                <w:color w:val="000000"/>
                <w:sz w:val="20"/>
                <w:lang w:val="sv-SE"/>
              </w:rPr>
              <w:t>5</w:t>
            </w:r>
          </w:p>
        </w:tc>
        <w:tc>
          <w:tcPr>
            <w:tcW w:w="0" w:type="auto"/>
          </w:tcPr>
          <w:p w14:paraId="2D066618" w14:textId="77777777" w:rsidR="00A77B3E" w:rsidRPr="00800D1B" w:rsidRDefault="00623E14" w:rsidP="00DF49F1">
            <w:pPr>
              <w:spacing w:before="100" w:after="100"/>
              <w:ind w:left="-72"/>
              <w:rPr>
                <w:color w:val="000000"/>
                <w:sz w:val="20"/>
                <w:lang w:val="sv-SE"/>
              </w:rPr>
            </w:pPr>
            <w:r w:rsidRPr="00800D1B">
              <w:rPr>
                <w:color w:val="000000"/>
                <w:sz w:val="20"/>
                <w:lang w:val="sv-SE"/>
              </w:rPr>
              <w:t>RSO3.2</w:t>
            </w:r>
          </w:p>
        </w:tc>
        <w:tc>
          <w:tcPr>
            <w:tcW w:w="0" w:type="auto"/>
          </w:tcPr>
          <w:p w14:paraId="2D066619" w14:textId="77777777" w:rsidR="00A77B3E" w:rsidRPr="00800D1B" w:rsidRDefault="00623E14" w:rsidP="00DF49F1">
            <w:pPr>
              <w:spacing w:before="100" w:after="100"/>
              <w:ind w:left="-72"/>
              <w:rPr>
                <w:color w:val="000000"/>
                <w:sz w:val="20"/>
                <w:lang w:val="sv-SE"/>
              </w:rPr>
            </w:pPr>
            <w:r w:rsidRPr="00800D1B">
              <w:rPr>
                <w:color w:val="000000"/>
                <w:sz w:val="20"/>
                <w:lang w:val="sv-SE"/>
              </w:rPr>
              <w:t>Eruf</w:t>
            </w:r>
          </w:p>
        </w:tc>
        <w:tc>
          <w:tcPr>
            <w:tcW w:w="0" w:type="auto"/>
          </w:tcPr>
          <w:p w14:paraId="2D06661A" w14:textId="77777777" w:rsidR="00A77B3E" w:rsidRPr="00800D1B" w:rsidRDefault="00623E14" w:rsidP="00DF49F1">
            <w:pPr>
              <w:spacing w:before="100" w:after="100"/>
              <w:ind w:left="-72"/>
              <w:rPr>
                <w:color w:val="000000"/>
                <w:sz w:val="20"/>
                <w:lang w:val="sv-SE"/>
              </w:rPr>
            </w:pPr>
            <w:r w:rsidRPr="00800D1B">
              <w:rPr>
                <w:color w:val="000000"/>
                <w:sz w:val="20"/>
                <w:lang w:val="sv-SE"/>
              </w:rPr>
              <w:t>De yttersta randområdena eller de nordliga glesbefolkade områdena</w:t>
            </w:r>
          </w:p>
        </w:tc>
        <w:tc>
          <w:tcPr>
            <w:tcW w:w="0" w:type="auto"/>
          </w:tcPr>
          <w:p w14:paraId="2D06661B" w14:textId="77777777" w:rsidR="00A77B3E" w:rsidRPr="00800D1B" w:rsidRDefault="00623E14" w:rsidP="00DF49F1">
            <w:pPr>
              <w:spacing w:before="100" w:after="100"/>
              <w:ind w:left="-72"/>
              <w:rPr>
                <w:color w:val="000000"/>
                <w:sz w:val="20"/>
                <w:lang w:val="sv-SE"/>
              </w:rPr>
            </w:pPr>
            <w:r w:rsidRPr="00800D1B">
              <w:rPr>
                <w:color w:val="000000"/>
                <w:sz w:val="20"/>
                <w:lang w:val="sv-SE"/>
              </w:rPr>
              <w:t>RCO50</w:t>
            </w:r>
          </w:p>
        </w:tc>
        <w:tc>
          <w:tcPr>
            <w:tcW w:w="0" w:type="auto"/>
          </w:tcPr>
          <w:p w14:paraId="2D06661C" w14:textId="77777777" w:rsidR="00A77B3E" w:rsidRPr="00800D1B" w:rsidRDefault="00623E14" w:rsidP="00DF49F1">
            <w:pPr>
              <w:spacing w:before="100" w:after="100"/>
              <w:ind w:left="-72"/>
              <w:rPr>
                <w:color w:val="000000"/>
                <w:sz w:val="20"/>
                <w:lang w:val="sv-SE"/>
              </w:rPr>
            </w:pPr>
            <w:r w:rsidRPr="00800D1B">
              <w:rPr>
                <w:color w:val="000000"/>
                <w:sz w:val="20"/>
                <w:lang w:val="sv-SE"/>
              </w:rPr>
              <w:t>Längd på ombyggd eller moderniserad järnväg – utanför TEN-T</w:t>
            </w:r>
          </w:p>
        </w:tc>
        <w:tc>
          <w:tcPr>
            <w:tcW w:w="0" w:type="auto"/>
          </w:tcPr>
          <w:p w14:paraId="2D06661D" w14:textId="77777777" w:rsidR="00A77B3E" w:rsidRPr="00800D1B" w:rsidRDefault="00623E14" w:rsidP="00DF49F1">
            <w:pPr>
              <w:spacing w:before="100" w:after="100"/>
              <w:ind w:left="-72"/>
              <w:rPr>
                <w:color w:val="000000"/>
                <w:sz w:val="20"/>
                <w:lang w:val="sv-SE"/>
              </w:rPr>
            </w:pPr>
            <w:r w:rsidRPr="00800D1B">
              <w:rPr>
                <w:color w:val="000000"/>
                <w:sz w:val="20"/>
                <w:lang w:val="sv-SE"/>
              </w:rPr>
              <w:t>km</w:t>
            </w:r>
          </w:p>
        </w:tc>
        <w:tc>
          <w:tcPr>
            <w:tcW w:w="0" w:type="auto"/>
          </w:tcPr>
          <w:p w14:paraId="2D06661E" w14:textId="77777777" w:rsidR="00A77B3E" w:rsidRPr="00800D1B" w:rsidRDefault="00623E14" w:rsidP="00DF49F1">
            <w:pPr>
              <w:spacing w:before="100" w:after="100"/>
              <w:ind w:left="-72"/>
              <w:jc w:val="right"/>
              <w:rPr>
                <w:color w:val="000000"/>
                <w:sz w:val="20"/>
                <w:lang w:val="sv-SE"/>
              </w:rPr>
            </w:pPr>
            <w:r w:rsidRPr="00800D1B">
              <w:rPr>
                <w:color w:val="000000"/>
                <w:sz w:val="20"/>
                <w:lang w:val="sv-SE"/>
              </w:rPr>
              <w:t>8,00</w:t>
            </w:r>
          </w:p>
        </w:tc>
        <w:tc>
          <w:tcPr>
            <w:tcW w:w="0" w:type="auto"/>
          </w:tcPr>
          <w:p w14:paraId="2D06661F" w14:textId="77777777" w:rsidR="00A77B3E" w:rsidRPr="00800D1B" w:rsidRDefault="00623E14" w:rsidP="00DF49F1">
            <w:pPr>
              <w:spacing w:before="100" w:after="100"/>
              <w:ind w:left="-72"/>
              <w:jc w:val="right"/>
              <w:rPr>
                <w:color w:val="000000"/>
                <w:sz w:val="20"/>
                <w:lang w:val="sv-SE"/>
              </w:rPr>
            </w:pPr>
            <w:r w:rsidRPr="00800D1B">
              <w:rPr>
                <w:color w:val="000000"/>
                <w:sz w:val="20"/>
                <w:lang w:val="sv-SE"/>
              </w:rPr>
              <w:t>164,00</w:t>
            </w:r>
          </w:p>
        </w:tc>
      </w:tr>
      <w:tr w:rsidR="003422DB" w:rsidRPr="00800D1B" w14:paraId="2D06662A" w14:textId="77777777" w:rsidTr="00DF49F1">
        <w:tc>
          <w:tcPr>
            <w:tcW w:w="0" w:type="auto"/>
          </w:tcPr>
          <w:p w14:paraId="2D066621" w14:textId="77777777" w:rsidR="00A77B3E" w:rsidRPr="00800D1B" w:rsidRDefault="00623E14" w:rsidP="00DF49F1">
            <w:pPr>
              <w:spacing w:before="100" w:after="100"/>
              <w:ind w:left="-72"/>
              <w:rPr>
                <w:color w:val="000000"/>
                <w:sz w:val="20"/>
                <w:lang w:val="sv-SE"/>
              </w:rPr>
            </w:pPr>
            <w:r w:rsidRPr="00800D1B">
              <w:rPr>
                <w:color w:val="000000"/>
                <w:sz w:val="20"/>
                <w:lang w:val="sv-SE"/>
              </w:rPr>
              <w:t>5</w:t>
            </w:r>
          </w:p>
        </w:tc>
        <w:tc>
          <w:tcPr>
            <w:tcW w:w="0" w:type="auto"/>
          </w:tcPr>
          <w:p w14:paraId="2D066622" w14:textId="77777777" w:rsidR="00A77B3E" w:rsidRPr="00800D1B" w:rsidRDefault="00623E14" w:rsidP="00DF49F1">
            <w:pPr>
              <w:spacing w:before="100" w:after="100"/>
              <w:ind w:left="-72"/>
              <w:rPr>
                <w:color w:val="000000"/>
                <w:sz w:val="20"/>
                <w:lang w:val="sv-SE"/>
              </w:rPr>
            </w:pPr>
            <w:r w:rsidRPr="00800D1B">
              <w:rPr>
                <w:color w:val="000000"/>
                <w:sz w:val="20"/>
                <w:lang w:val="sv-SE"/>
              </w:rPr>
              <w:t>RSO3.2</w:t>
            </w:r>
          </w:p>
        </w:tc>
        <w:tc>
          <w:tcPr>
            <w:tcW w:w="0" w:type="auto"/>
          </w:tcPr>
          <w:p w14:paraId="2D066623" w14:textId="77777777" w:rsidR="00A77B3E" w:rsidRPr="00800D1B" w:rsidRDefault="00623E14" w:rsidP="00DF49F1">
            <w:pPr>
              <w:spacing w:before="100" w:after="100"/>
              <w:ind w:left="-72"/>
              <w:rPr>
                <w:color w:val="000000"/>
                <w:sz w:val="20"/>
                <w:lang w:val="sv-SE"/>
              </w:rPr>
            </w:pPr>
            <w:r w:rsidRPr="00800D1B">
              <w:rPr>
                <w:color w:val="000000"/>
                <w:sz w:val="20"/>
                <w:lang w:val="sv-SE"/>
              </w:rPr>
              <w:t>Eruf</w:t>
            </w:r>
          </w:p>
        </w:tc>
        <w:tc>
          <w:tcPr>
            <w:tcW w:w="0" w:type="auto"/>
          </w:tcPr>
          <w:p w14:paraId="2D066624" w14:textId="77777777" w:rsidR="00A77B3E" w:rsidRPr="00800D1B" w:rsidRDefault="00623E14" w:rsidP="00DF49F1">
            <w:pPr>
              <w:spacing w:before="100" w:after="100"/>
              <w:ind w:left="-72"/>
              <w:rPr>
                <w:color w:val="000000"/>
                <w:sz w:val="20"/>
                <w:lang w:val="sv-SE"/>
              </w:rPr>
            </w:pPr>
            <w:r w:rsidRPr="00800D1B">
              <w:rPr>
                <w:color w:val="000000"/>
                <w:sz w:val="20"/>
                <w:lang w:val="sv-SE"/>
              </w:rPr>
              <w:t>De yttersta randområdena eller de nordliga glesbefolkade områdena</w:t>
            </w:r>
          </w:p>
        </w:tc>
        <w:tc>
          <w:tcPr>
            <w:tcW w:w="0" w:type="auto"/>
          </w:tcPr>
          <w:p w14:paraId="2D066625" w14:textId="77777777" w:rsidR="00A77B3E" w:rsidRPr="00800D1B" w:rsidRDefault="00623E14" w:rsidP="00DF49F1">
            <w:pPr>
              <w:spacing w:before="100" w:after="100"/>
              <w:ind w:left="-72"/>
              <w:rPr>
                <w:color w:val="000000"/>
                <w:sz w:val="20"/>
                <w:lang w:val="sv-SE"/>
              </w:rPr>
            </w:pPr>
            <w:r w:rsidRPr="00800D1B">
              <w:rPr>
                <w:color w:val="000000"/>
                <w:sz w:val="20"/>
                <w:lang w:val="sv-SE"/>
              </w:rPr>
              <w:t>RCO54</w:t>
            </w:r>
          </w:p>
        </w:tc>
        <w:tc>
          <w:tcPr>
            <w:tcW w:w="0" w:type="auto"/>
          </w:tcPr>
          <w:p w14:paraId="2D066626" w14:textId="77777777" w:rsidR="00A77B3E" w:rsidRPr="00800D1B" w:rsidRDefault="00623E14" w:rsidP="00DF49F1">
            <w:pPr>
              <w:spacing w:before="100" w:after="100"/>
              <w:ind w:left="-72"/>
              <w:rPr>
                <w:color w:val="000000"/>
                <w:sz w:val="20"/>
                <w:lang w:val="sv-SE"/>
              </w:rPr>
            </w:pPr>
            <w:r w:rsidRPr="00800D1B">
              <w:rPr>
                <w:color w:val="000000"/>
                <w:sz w:val="20"/>
                <w:lang w:val="sv-SE"/>
              </w:rPr>
              <w:t>Nya eller moderniserade intermodala förbindelser</w:t>
            </w:r>
          </w:p>
        </w:tc>
        <w:tc>
          <w:tcPr>
            <w:tcW w:w="0" w:type="auto"/>
          </w:tcPr>
          <w:p w14:paraId="2D066627" w14:textId="77777777" w:rsidR="00A77B3E" w:rsidRPr="00800D1B" w:rsidRDefault="00623E14" w:rsidP="00DF49F1">
            <w:pPr>
              <w:spacing w:before="100" w:after="100"/>
              <w:ind w:left="-72"/>
              <w:rPr>
                <w:color w:val="000000"/>
                <w:sz w:val="20"/>
                <w:lang w:val="sv-SE"/>
              </w:rPr>
            </w:pPr>
            <w:r w:rsidRPr="00800D1B">
              <w:rPr>
                <w:color w:val="000000"/>
                <w:sz w:val="20"/>
                <w:lang w:val="sv-SE"/>
              </w:rPr>
              <w:t>intermodala förbindelser</w:t>
            </w:r>
          </w:p>
        </w:tc>
        <w:tc>
          <w:tcPr>
            <w:tcW w:w="0" w:type="auto"/>
          </w:tcPr>
          <w:p w14:paraId="2D066628" w14:textId="77777777" w:rsidR="00A77B3E" w:rsidRPr="00800D1B" w:rsidRDefault="00623E14" w:rsidP="00DF49F1">
            <w:pPr>
              <w:spacing w:before="100" w:after="100"/>
              <w:ind w:left="-72"/>
              <w:jc w:val="right"/>
              <w:rPr>
                <w:color w:val="000000"/>
                <w:sz w:val="20"/>
                <w:lang w:val="sv-SE"/>
              </w:rPr>
            </w:pPr>
            <w:r w:rsidRPr="00800D1B">
              <w:rPr>
                <w:color w:val="000000"/>
                <w:sz w:val="20"/>
                <w:lang w:val="sv-SE"/>
              </w:rPr>
              <w:t>1,00</w:t>
            </w:r>
          </w:p>
        </w:tc>
        <w:tc>
          <w:tcPr>
            <w:tcW w:w="0" w:type="auto"/>
          </w:tcPr>
          <w:p w14:paraId="2D066629" w14:textId="77777777" w:rsidR="00A77B3E" w:rsidRPr="00800D1B" w:rsidRDefault="00623E14" w:rsidP="00DF49F1">
            <w:pPr>
              <w:spacing w:before="100" w:after="100"/>
              <w:ind w:left="-72"/>
              <w:jc w:val="right"/>
              <w:rPr>
                <w:color w:val="000000"/>
                <w:sz w:val="20"/>
                <w:lang w:val="sv-SE"/>
              </w:rPr>
            </w:pPr>
            <w:r w:rsidRPr="00800D1B">
              <w:rPr>
                <w:color w:val="000000"/>
                <w:sz w:val="20"/>
                <w:lang w:val="sv-SE"/>
              </w:rPr>
              <w:t>11,00</w:t>
            </w:r>
          </w:p>
        </w:tc>
      </w:tr>
      <w:tr w:rsidR="003422DB" w:rsidRPr="00800D1B" w14:paraId="2D066634" w14:textId="77777777" w:rsidTr="00DF49F1">
        <w:tc>
          <w:tcPr>
            <w:tcW w:w="0" w:type="auto"/>
          </w:tcPr>
          <w:p w14:paraId="2D06662B" w14:textId="77777777" w:rsidR="00A77B3E" w:rsidRPr="00800D1B" w:rsidRDefault="00623E14" w:rsidP="00DF49F1">
            <w:pPr>
              <w:spacing w:before="100" w:after="100"/>
              <w:ind w:left="-72"/>
              <w:rPr>
                <w:color w:val="000000"/>
                <w:sz w:val="20"/>
                <w:lang w:val="sv-SE"/>
              </w:rPr>
            </w:pPr>
            <w:r w:rsidRPr="00800D1B">
              <w:rPr>
                <w:color w:val="000000"/>
                <w:sz w:val="20"/>
                <w:lang w:val="sv-SE"/>
              </w:rPr>
              <w:t>5</w:t>
            </w:r>
          </w:p>
        </w:tc>
        <w:tc>
          <w:tcPr>
            <w:tcW w:w="0" w:type="auto"/>
          </w:tcPr>
          <w:p w14:paraId="2D06662C" w14:textId="77777777" w:rsidR="00A77B3E" w:rsidRPr="00800D1B" w:rsidRDefault="00623E14" w:rsidP="00DF49F1">
            <w:pPr>
              <w:spacing w:before="100" w:after="100"/>
              <w:ind w:left="-72"/>
              <w:rPr>
                <w:color w:val="000000"/>
                <w:sz w:val="20"/>
                <w:lang w:val="sv-SE"/>
              </w:rPr>
            </w:pPr>
            <w:r w:rsidRPr="00800D1B">
              <w:rPr>
                <w:color w:val="000000"/>
                <w:sz w:val="20"/>
                <w:lang w:val="sv-SE"/>
              </w:rPr>
              <w:t>RSO3.2</w:t>
            </w:r>
          </w:p>
        </w:tc>
        <w:tc>
          <w:tcPr>
            <w:tcW w:w="0" w:type="auto"/>
          </w:tcPr>
          <w:p w14:paraId="2D06662D" w14:textId="77777777" w:rsidR="00A77B3E" w:rsidRPr="00800D1B" w:rsidRDefault="00623E14" w:rsidP="00DF49F1">
            <w:pPr>
              <w:spacing w:before="100" w:after="100"/>
              <w:ind w:left="-72"/>
              <w:rPr>
                <w:color w:val="000000"/>
                <w:sz w:val="20"/>
                <w:lang w:val="sv-SE"/>
              </w:rPr>
            </w:pPr>
            <w:r w:rsidRPr="00800D1B">
              <w:rPr>
                <w:color w:val="000000"/>
                <w:sz w:val="20"/>
                <w:lang w:val="sv-SE"/>
              </w:rPr>
              <w:t>Eruf</w:t>
            </w:r>
          </w:p>
        </w:tc>
        <w:tc>
          <w:tcPr>
            <w:tcW w:w="0" w:type="auto"/>
          </w:tcPr>
          <w:p w14:paraId="2D06662E" w14:textId="77777777" w:rsidR="00A77B3E" w:rsidRPr="00800D1B" w:rsidRDefault="00623E14" w:rsidP="00DF49F1">
            <w:pPr>
              <w:spacing w:before="100" w:after="100"/>
              <w:ind w:left="-72"/>
              <w:rPr>
                <w:color w:val="000000"/>
                <w:sz w:val="20"/>
                <w:lang w:val="sv-SE"/>
              </w:rPr>
            </w:pPr>
            <w:r w:rsidRPr="00800D1B">
              <w:rPr>
                <w:color w:val="000000"/>
                <w:sz w:val="20"/>
                <w:lang w:val="sv-SE"/>
              </w:rPr>
              <w:t>De yttersta randområdena eller de nordliga glesbefolkade områdena</w:t>
            </w:r>
          </w:p>
        </w:tc>
        <w:tc>
          <w:tcPr>
            <w:tcW w:w="0" w:type="auto"/>
          </w:tcPr>
          <w:p w14:paraId="2D06662F" w14:textId="77777777" w:rsidR="00A77B3E" w:rsidRPr="00800D1B" w:rsidRDefault="00623E14" w:rsidP="00DF49F1">
            <w:pPr>
              <w:spacing w:before="100" w:after="100"/>
              <w:ind w:left="-72"/>
              <w:rPr>
                <w:color w:val="000000"/>
                <w:sz w:val="20"/>
                <w:lang w:val="sv-SE"/>
              </w:rPr>
            </w:pPr>
            <w:r w:rsidRPr="00800D1B">
              <w:rPr>
                <w:color w:val="000000"/>
                <w:sz w:val="20"/>
                <w:lang w:val="sv-SE"/>
              </w:rPr>
              <w:t>RCO59</w:t>
            </w:r>
          </w:p>
        </w:tc>
        <w:tc>
          <w:tcPr>
            <w:tcW w:w="0" w:type="auto"/>
          </w:tcPr>
          <w:p w14:paraId="2D066630" w14:textId="77777777" w:rsidR="00A77B3E" w:rsidRPr="00800D1B" w:rsidRDefault="00623E14" w:rsidP="00DF49F1">
            <w:pPr>
              <w:spacing w:before="100" w:after="100"/>
              <w:ind w:left="-72"/>
              <w:rPr>
                <w:color w:val="000000"/>
                <w:sz w:val="20"/>
                <w:lang w:val="sv-SE"/>
              </w:rPr>
            </w:pPr>
            <w:r w:rsidRPr="00800D1B">
              <w:rPr>
                <w:color w:val="000000"/>
                <w:sz w:val="20"/>
                <w:lang w:val="sv-SE"/>
              </w:rPr>
              <w:t>Alternativ bränsleinfrastruktur (påfyllnings- och laddningspunkter)</w:t>
            </w:r>
          </w:p>
        </w:tc>
        <w:tc>
          <w:tcPr>
            <w:tcW w:w="0" w:type="auto"/>
          </w:tcPr>
          <w:p w14:paraId="2D066631" w14:textId="77777777" w:rsidR="00A77B3E" w:rsidRPr="00800D1B" w:rsidRDefault="00623E14" w:rsidP="00DF49F1">
            <w:pPr>
              <w:spacing w:before="100" w:after="100"/>
              <w:ind w:left="-72"/>
              <w:rPr>
                <w:color w:val="000000"/>
                <w:sz w:val="20"/>
                <w:lang w:val="sv-SE"/>
              </w:rPr>
            </w:pPr>
            <w:r w:rsidRPr="00800D1B">
              <w:rPr>
                <w:color w:val="000000"/>
                <w:sz w:val="20"/>
                <w:lang w:val="sv-SE"/>
              </w:rPr>
              <w:t>tank-/laddningsstationer</w:t>
            </w:r>
          </w:p>
        </w:tc>
        <w:tc>
          <w:tcPr>
            <w:tcW w:w="0" w:type="auto"/>
          </w:tcPr>
          <w:p w14:paraId="2D066632" w14:textId="77777777" w:rsidR="00A77B3E" w:rsidRPr="00800D1B" w:rsidRDefault="00623E14" w:rsidP="00DF49F1">
            <w:pPr>
              <w:spacing w:before="100" w:after="100"/>
              <w:ind w:left="-72"/>
              <w:jc w:val="right"/>
              <w:rPr>
                <w:color w:val="000000"/>
                <w:sz w:val="20"/>
                <w:lang w:val="sv-SE"/>
              </w:rPr>
            </w:pPr>
            <w:r w:rsidRPr="00800D1B">
              <w:rPr>
                <w:color w:val="000000"/>
                <w:sz w:val="20"/>
                <w:lang w:val="sv-SE"/>
              </w:rPr>
              <w:t>2,00</w:t>
            </w:r>
          </w:p>
        </w:tc>
        <w:tc>
          <w:tcPr>
            <w:tcW w:w="0" w:type="auto"/>
          </w:tcPr>
          <w:p w14:paraId="2D066633" w14:textId="77777777" w:rsidR="00A77B3E" w:rsidRPr="00800D1B" w:rsidRDefault="00623E14" w:rsidP="00DF49F1">
            <w:pPr>
              <w:spacing w:before="100" w:after="100"/>
              <w:ind w:left="-72"/>
              <w:jc w:val="right"/>
              <w:rPr>
                <w:color w:val="000000"/>
                <w:sz w:val="20"/>
                <w:lang w:val="sv-SE"/>
              </w:rPr>
            </w:pPr>
            <w:r w:rsidRPr="00800D1B">
              <w:rPr>
                <w:color w:val="000000"/>
                <w:sz w:val="20"/>
                <w:lang w:val="sv-SE"/>
              </w:rPr>
              <w:t>30,00</w:t>
            </w:r>
          </w:p>
        </w:tc>
      </w:tr>
    </w:tbl>
    <w:p w14:paraId="2D066636" w14:textId="77777777" w:rsidR="00A77B3E" w:rsidRPr="00800D1B" w:rsidRDefault="00623E14" w:rsidP="00267E2F">
      <w:pPr>
        <w:spacing w:before="360"/>
        <w:rPr>
          <w:color w:val="000000"/>
          <w:sz w:val="0"/>
          <w:lang w:val="sv-SE"/>
        </w:rPr>
      </w:pPr>
      <w:r w:rsidRPr="00800D1B">
        <w:rPr>
          <w:color w:val="000000"/>
          <w:lang w:val="sv-SE"/>
        </w:rPr>
        <w:t>Referens: Artikel 22.3 d ii i förordningen om gemensamma bestämmelser</w:t>
      </w:r>
    </w:p>
    <w:p w14:paraId="2D066637" w14:textId="0F809792" w:rsidR="00A77B3E" w:rsidRPr="00800D1B" w:rsidRDefault="00623E14" w:rsidP="003878E8">
      <w:pPr>
        <w:spacing w:before="100" w:after="100"/>
        <w:rPr>
          <w:lang w:val="sv-SE"/>
        </w:rPr>
      </w:pPr>
      <w:bookmarkStart w:id="189" w:name="_Toc256000430"/>
      <w:r w:rsidRPr="00800D1B">
        <w:rPr>
          <w:lang w:val="sv-SE"/>
        </w:rPr>
        <w:t>Tabell 3: Resultatindikatorer</w:t>
      </w:r>
      <w:bookmarkEnd w:id="189"/>
    </w:p>
    <w:tbl>
      <w:tblPr>
        <w:tblStyle w:val="Tabellrutnt"/>
        <w:tblW w:w="5000" w:type="pct"/>
        <w:tblLook w:val="04A0" w:firstRow="1" w:lastRow="0" w:firstColumn="1" w:lastColumn="0" w:noHBand="0" w:noVBand="1"/>
        <w:tblDescription w:val="En tabell med tolv kolumner: Prioritering; Specifikt mål; Fond; Regionkategori; ID; Indikator; Mätenhet; Utgångsvärde eller referensvärde; Referensår; Mål (2029); Datakälla; Kommentarer. Tabellen visar information om Resultatindikatorer."/>
      </w:tblPr>
      <w:tblGrid>
        <w:gridCol w:w="1085"/>
        <w:gridCol w:w="947"/>
        <w:gridCol w:w="574"/>
        <w:gridCol w:w="2147"/>
        <w:gridCol w:w="863"/>
        <w:gridCol w:w="2851"/>
        <w:gridCol w:w="1162"/>
        <w:gridCol w:w="1549"/>
        <w:gridCol w:w="1029"/>
        <w:gridCol w:w="763"/>
        <w:gridCol w:w="929"/>
        <w:gridCol w:w="1273"/>
      </w:tblGrid>
      <w:tr w:rsidR="003422DB" w:rsidRPr="00800D1B" w14:paraId="2D066645" w14:textId="77777777" w:rsidTr="00DF49F1">
        <w:tc>
          <w:tcPr>
            <w:tcW w:w="0" w:type="auto"/>
          </w:tcPr>
          <w:p w14:paraId="2D066639" w14:textId="77777777" w:rsidR="00A77B3E" w:rsidRPr="00800D1B" w:rsidRDefault="00623E14" w:rsidP="00DF49F1">
            <w:pPr>
              <w:spacing w:before="100" w:after="100"/>
              <w:ind w:left="-72"/>
              <w:jc w:val="center"/>
              <w:rPr>
                <w:color w:val="000000"/>
                <w:sz w:val="20"/>
                <w:lang w:val="sv-SE"/>
              </w:rPr>
            </w:pPr>
            <w:r w:rsidRPr="00800D1B">
              <w:rPr>
                <w:color w:val="000000"/>
                <w:sz w:val="20"/>
                <w:lang w:val="sv-SE"/>
              </w:rPr>
              <w:t>Prioritering</w:t>
            </w:r>
          </w:p>
        </w:tc>
        <w:tc>
          <w:tcPr>
            <w:tcW w:w="0" w:type="auto"/>
          </w:tcPr>
          <w:p w14:paraId="2D06663A" w14:textId="77777777" w:rsidR="00A77B3E" w:rsidRPr="00800D1B" w:rsidRDefault="00623E14" w:rsidP="00DF49F1">
            <w:pPr>
              <w:spacing w:before="100" w:after="100"/>
              <w:ind w:left="-72"/>
              <w:jc w:val="center"/>
              <w:rPr>
                <w:color w:val="000000"/>
                <w:sz w:val="20"/>
                <w:lang w:val="sv-SE"/>
              </w:rPr>
            </w:pPr>
            <w:r w:rsidRPr="00800D1B">
              <w:rPr>
                <w:color w:val="000000"/>
                <w:sz w:val="20"/>
                <w:lang w:val="sv-SE"/>
              </w:rPr>
              <w:t>Specifikt mål</w:t>
            </w:r>
          </w:p>
        </w:tc>
        <w:tc>
          <w:tcPr>
            <w:tcW w:w="0" w:type="auto"/>
          </w:tcPr>
          <w:p w14:paraId="2D06663B" w14:textId="77777777" w:rsidR="00A77B3E" w:rsidRPr="00800D1B" w:rsidRDefault="00623E14" w:rsidP="00DF49F1">
            <w:pPr>
              <w:spacing w:before="100" w:after="100"/>
              <w:ind w:left="-72"/>
              <w:jc w:val="center"/>
              <w:rPr>
                <w:color w:val="000000"/>
                <w:sz w:val="20"/>
                <w:lang w:val="sv-SE"/>
              </w:rPr>
            </w:pPr>
            <w:r w:rsidRPr="00800D1B">
              <w:rPr>
                <w:color w:val="000000"/>
                <w:sz w:val="20"/>
                <w:lang w:val="sv-SE"/>
              </w:rPr>
              <w:t>Fond</w:t>
            </w:r>
          </w:p>
        </w:tc>
        <w:tc>
          <w:tcPr>
            <w:tcW w:w="0" w:type="auto"/>
          </w:tcPr>
          <w:p w14:paraId="2D06663C" w14:textId="77777777" w:rsidR="00A77B3E" w:rsidRPr="00800D1B" w:rsidRDefault="00623E14" w:rsidP="00DF49F1">
            <w:pPr>
              <w:spacing w:before="100" w:after="100"/>
              <w:ind w:left="-72"/>
              <w:jc w:val="center"/>
              <w:rPr>
                <w:color w:val="000000"/>
                <w:sz w:val="20"/>
                <w:lang w:val="sv-SE"/>
              </w:rPr>
            </w:pPr>
            <w:r w:rsidRPr="00800D1B">
              <w:rPr>
                <w:color w:val="000000"/>
                <w:sz w:val="20"/>
                <w:lang w:val="sv-SE"/>
              </w:rPr>
              <w:t>Regionkategori</w:t>
            </w:r>
          </w:p>
        </w:tc>
        <w:tc>
          <w:tcPr>
            <w:tcW w:w="0" w:type="auto"/>
          </w:tcPr>
          <w:p w14:paraId="2D06663D" w14:textId="77777777" w:rsidR="00A77B3E" w:rsidRPr="00800D1B" w:rsidRDefault="00623E14" w:rsidP="00DF49F1">
            <w:pPr>
              <w:spacing w:before="100" w:after="100"/>
              <w:ind w:left="-72"/>
              <w:jc w:val="center"/>
              <w:rPr>
                <w:color w:val="000000"/>
                <w:sz w:val="20"/>
                <w:lang w:val="sv-SE"/>
              </w:rPr>
            </w:pPr>
            <w:r w:rsidRPr="00800D1B">
              <w:rPr>
                <w:color w:val="000000"/>
                <w:sz w:val="20"/>
                <w:lang w:val="sv-SE"/>
              </w:rPr>
              <w:t>ID</w:t>
            </w:r>
          </w:p>
        </w:tc>
        <w:tc>
          <w:tcPr>
            <w:tcW w:w="0" w:type="auto"/>
          </w:tcPr>
          <w:p w14:paraId="2D06663E" w14:textId="77777777" w:rsidR="00A77B3E" w:rsidRPr="00800D1B" w:rsidRDefault="00623E14" w:rsidP="00DF49F1">
            <w:pPr>
              <w:spacing w:before="100" w:after="100"/>
              <w:ind w:left="-72"/>
              <w:jc w:val="center"/>
              <w:rPr>
                <w:color w:val="000000"/>
                <w:sz w:val="20"/>
                <w:lang w:val="sv-SE"/>
              </w:rPr>
            </w:pPr>
            <w:r w:rsidRPr="00800D1B">
              <w:rPr>
                <w:color w:val="000000"/>
                <w:sz w:val="20"/>
                <w:lang w:val="sv-SE"/>
              </w:rPr>
              <w:t>Indikator</w:t>
            </w:r>
          </w:p>
        </w:tc>
        <w:tc>
          <w:tcPr>
            <w:tcW w:w="0" w:type="auto"/>
          </w:tcPr>
          <w:p w14:paraId="2D06663F" w14:textId="77777777" w:rsidR="00A77B3E" w:rsidRPr="00800D1B" w:rsidRDefault="00623E14" w:rsidP="00DF49F1">
            <w:pPr>
              <w:spacing w:before="100" w:after="100"/>
              <w:ind w:left="-72"/>
              <w:jc w:val="center"/>
              <w:rPr>
                <w:color w:val="000000"/>
                <w:sz w:val="20"/>
                <w:lang w:val="sv-SE"/>
              </w:rPr>
            </w:pPr>
            <w:r w:rsidRPr="00800D1B">
              <w:rPr>
                <w:color w:val="000000"/>
                <w:sz w:val="20"/>
                <w:lang w:val="sv-SE"/>
              </w:rPr>
              <w:t>Mätenhet</w:t>
            </w:r>
          </w:p>
        </w:tc>
        <w:tc>
          <w:tcPr>
            <w:tcW w:w="0" w:type="auto"/>
          </w:tcPr>
          <w:p w14:paraId="2D066640" w14:textId="77777777" w:rsidR="00A77B3E" w:rsidRPr="00800D1B" w:rsidRDefault="00623E14" w:rsidP="00DF49F1">
            <w:pPr>
              <w:spacing w:before="100" w:after="100"/>
              <w:ind w:left="-72"/>
              <w:jc w:val="center"/>
              <w:rPr>
                <w:color w:val="000000"/>
                <w:sz w:val="20"/>
                <w:lang w:val="sv-SE"/>
              </w:rPr>
            </w:pPr>
            <w:r w:rsidRPr="00800D1B">
              <w:rPr>
                <w:color w:val="000000"/>
                <w:sz w:val="20"/>
                <w:lang w:val="sv-SE"/>
              </w:rPr>
              <w:t>Utgångsvärde eller referensvärde</w:t>
            </w:r>
          </w:p>
        </w:tc>
        <w:tc>
          <w:tcPr>
            <w:tcW w:w="0" w:type="auto"/>
          </w:tcPr>
          <w:p w14:paraId="2D066641" w14:textId="77777777" w:rsidR="00A77B3E" w:rsidRPr="00800D1B" w:rsidRDefault="00623E14" w:rsidP="00DF49F1">
            <w:pPr>
              <w:spacing w:before="100" w:after="100"/>
              <w:ind w:left="-72"/>
              <w:jc w:val="center"/>
              <w:rPr>
                <w:color w:val="000000"/>
                <w:sz w:val="20"/>
                <w:lang w:val="sv-SE"/>
              </w:rPr>
            </w:pPr>
            <w:r w:rsidRPr="00800D1B">
              <w:rPr>
                <w:color w:val="000000"/>
                <w:sz w:val="20"/>
                <w:lang w:val="sv-SE"/>
              </w:rPr>
              <w:t>Referensår</w:t>
            </w:r>
          </w:p>
        </w:tc>
        <w:tc>
          <w:tcPr>
            <w:tcW w:w="0" w:type="auto"/>
          </w:tcPr>
          <w:p w14:paraId="2D066642" w14:textId="77777777" w:rsidR="00A77B3E" w:rsidRPr="00800D1B" w:rsidRDefault="00623E14" w:rsidP="00DF49F1">
            <w:pPr>
              <w:spacing w:before="100" w:after="100"/>
              <w:ind w:left="-72"/>
              <w:jc w:val="center"/>
              <w:rPr>
                <w:color w:val="000000"/>
                <w:sz w:val="20"/>
                <w:lang w:val="sv-SE"/>
              </w:rPr>
            </w:pPr>
            <w:r w:rsidRPr="00800D1B">
              <w:rPr>
                <w:color w:val="000000"/>
                <w:sz w:val="20"/>
                <w:lang w:val="sv-SE"/>
              </w:rPr>
              <w:t>Mål (2029)</w:t>
            </w:r>
          </w:p>
        </w:tc>
        <w:tc>
          <w:tcPr>
            <w:tcW w:w="0" w:type="auto"/>
          </w:tcPr>
          <w:p w14:paraId="2D066643" w14:textId="77777777" w:rsidR="00A77B3E" w:rsidRPr="00800D1B" w:rsidRDefault="00623E14" w:rsidP="00DF49F1">
            <w:pPr>
              <w:spacing w:before="100" w:after="100"/>
              <w:ind w:left="-72"/>
              <w:jc w:val="center"/>
              <w:rPr>
                <w:color w:val="000000"/>
                <w:sz w:val="20"/>
                <w:lang w:val="sv-SE"/>
              </w:rPr>
            </w:pPr>
            <w:r w:rsidRPr="00800D1B">
              <w:rPr>
                <w:color w:val="000000"/>
                <w:sz w:val="20"/>
                <w:lang w:val="sv-SE"/>
              </w:rPr>
              <w:t>Datakälla</w:t>
            </w:r>
          </w:p>
        </w:tc>
        <w:tc>
          <w:tcPr>
            <w:tcW w:w="0" w:type="auto"/>
          </w:tcPr>
          <w:p w14:paraId="2D066644" w14:textId="77777777" w:rsidR="00A77B3E" w:rsidRPr="00800D1B" w:rsidRDefault="00623E14" w:rsidP="00DF49F1">
            <w:pPr>
              <w:spacing w:before="100" w:after="100"/>
              <w:ind w:left="-72"/>
              <w:jc w:val="center"/>
              <w:rPr>
                <w:color w:val="000000"/>
                <w:sz w:val="20"/>
                <w:lang w:val="sv-SE"/>
              </w:rPr>
            </w:pPr>
            <w:r w:rsidRPr="00800D1B">
              <w:rPr>
                <w:color w:val="000000"/>
                <w:sz w:val="20"/>
                <w:lang w:val="sv-SE"/>
              </w:rPr>
              <w:t>Kommentarer</w:t>
            </w:r>
          </w:p>
        </w:tc>
      </w:tr>
      <w:tr w:rsidR="003422DB" w:rsidRPr="00800D1B" w14:paraId="2D066652" w14:textId="77777777" w:rsidTr="00DF49F1">
        <w:tc>
          <w:tcPr>
            <w:tcW w:w="0" w:type="auto"/>
          </w:tcPr>
          <w:p w14:paraId="2D066646" w14:textId="77777777" w:rsidR="00A77B3E" w:rsidRPr="00800D1B" w:rsidRDefault="00623E14" w:rsidP="00DF49F1">
            <w:pPr>
              <w:spacing w:before="100" w:after="100"/>
              <w:ind w:left="-72"/>
              <w:rPr>
                <w:color w:val="000000"/>
                <w:sz w:val="20"/>
                <w:lang w:val="sv-SE"/>
              </w:rPr>
            </w:pPr>
            <w:r w:rsidRPr="00800D1B">
              <w:rPr>
                <w:color w:val="000000"/>
                <w:sz w:val="20"/>
                <w:lang w:val="sv-SE"/>
              </w:rPr>
              <w:t>5</w:t>
            </w:r>
          </w:p>
        </w:tc>
        <w:tc>
          <w:tcPr>
            <w:tcW w:w="0" w:type="auto"/>
          </w:tcPr>
          <w:p w14:paraId="2D066647" w14:textId="77777777" w:rsidR="00A77B3E" w:rsidRPr="00800D1B" w:rsidRDefault="00623E14" w:rsidP="00DF49F1">
            <w:pPr>
              <w:spacing w:before="100" w:after="100"/>
              <w:ind w:left="-72"/>
              <w:rPr>
                <w:color w:val="000000"/>
                <w:sz w:val="20"/>
                <w:lang w:val="sv-SE"/>
              </w:rPr>
            </w:pPr>
            <w:r w:rsidRPr="00800D1B">
              <w:rPr>
                <w:color w:val="000000"/>
                <w:sz w:val="20"/>
                <w:lang w:val="sv-SE"/>
              </w:rPr>
              <w:t>RSO3.2</w:t>
            </w:r>
          </w:p>
        </w:tc>
        <w:tc>
          <w:tcPr>
            <w:tcW w:w="0" w:type="auto"/>
          </w:tcPr>
          <w:p w14:paraId="2D066648" w14:textId="77777777" w:rsidR="00A77B3E" w:rsidRPr="00800D1B" w:rsidRDefault="00623E14" w:rsidP="00DF49F1">
            <w:pPr>
              <w:spacing w:before="100" w:after="100"/>
              <w:ind w:left="-72"/>
              <w:rPr>
                <w:color w:val="000000"/>
                <w:sz w:val="20"/>
                <w:lang w:val="sv-SE"/>
              </w:rPr>
            </w:pPr>
            <w:r w:rsidRPr="00800D1B">
              <w:rPr>
                <w:color w:val="000000"/>
                <w:sz w:val="20"/>
                <w:lang w:val="sv-SE"/>
              </w:rPr>
              <w:t>Eruf</w:t>
            </w:r>
          </w:p>
        </w:tc>
        <w:tc>
          <w:tcPr>
            <w:tcW w:w="0" w:type="auto"/>
          </w:tcPr>
          <w:p w14:paraId="2D066649" w14:textId="77777777" w:rsidR="00A77B3E" w:rsidRPr="00800D1B" w:rsidRDefault="00623E14" w:rsidP="009B5EF9">
            <w:pPr>
              <w:spacing w:before="100" w:after="100"/>
              <w:ind w:left="-72" w:right="-300"/>
              <w:rPr>
                <w:color w:val="000000"/>
                <w:sz w:val="20"/>
                <w:lang w:val="sv-SE"/>
              </w:rPr>
            </w:pPr>
            <w:r w:rsidRPr="00800D1B">
              <w:rPr>
                <w:color w:val="000000"/>
                <w:sz w:val="20"/>
                <w:lang w:val="sv-SE"/>
              </w:rPr>
              <w:t>De yttersta randområdena eller de nordliga glesbefolkade områdena</w:t>
            </w:r>
          </w:p>
        </w:tc>
        <w:tc>
          <w:tcPr>
            <w:tcW w:w="0" w:type="auto"/>
          </w:tcPr>
          <w:p w14:paraId="2D06664A" w14:textId="77777777" w:rsidR="00A77B3E" w:rsidRPr="00800D1B" w:rsidRDefault="00623E14" w:rsidP="00DF49F1">
            <w:pPr>
              <w:spacing w:before="100" w:after="100"/>
              <w:ind w:left="-72"/>
              <w:rPr>
                <w:color w:val="000000"/>
                <w:sz w:val="20"/>
                <w:lang w:val="sv-SE"/>
              </w:rPr>
            </w:pPr>
            <w:r w:rsidRPr="00800D1B">
              <w:rPr>
                <w:color w:val="000000"/>
                <w:sz w:val="20"/>
                <w:lang w:val="sv-SE"/>
              </w:rPr>
              <w:t>RCR101</w:t>
            </w:r>
          </w:p>
        </w:tc>
        <w:tc>
          <w:tcPr>
            <w:tcW w:w="0" w:type="auto"/>
          </w:tcPr>
          <w:p w14:paraId="2D06664B" w14:textId="77777777" w:rsidR="00A77B3E" w:rsidRPr="00800D1B" w:rsidRDefault="00623E14" w:rsidP="00DF49F1">
            <w:pPr>
              <w:spacing w:before="100" w:after="100"/>
              <w:ind w:left="-72"/>
              <w:rPr>
                <w:color w:val="000000"/>
                <w:sz w:val="20"/>
                <w:lang w:val="sv-SE"/>
              </w:rPr>
            </w:pPr>
            <w:r w:rsidRPr="00800D1B">
              <w:rPr>
                <w:color w:val="000000"/>
                <w:sz w:val="20"/>
                <w:lang w:val="sv-SE"/>
              </w:rPr>
              <w:t>Tidsbesparingar till följd av förbättrade järnvägsinfrastrukturer</w:t>
            </w:r>
          </w:p>
        </w:tc>
        <w:tc>
          <w:tcPr>
            <w:tcW w:w="0" w:type="auto"/>
          </w:tcPr>
          <w:p w14:paraId="2D06664C" w14:textId="77777777" w:rsidR="00A77B3E" w:rsidRPr="00800D1B" w:rsidRDefault="00623E14" w:rsidP="00DF49F1">
            <w:pPr>
              <w:spacing w:before="100" w:after="100"/>
              <w:ind w:left="-72"/>
              <w:rPr>
                <w:color w:val="000000"/>
                <w:sz w:val="20"/>
                <w:lang w:val="sv-SE"/>
              </w:rPr>
            </w:pPr>
            <w:r w:rsidRPr="00800D1B">
              <w:rPr>
                <w:color w:val="000000"/>
                <w:sz w:val="20"/>
                <w:lang w:val="sv-SE"/>
              </w:rPr>
              <w:t>mandagar/år</w:t>
            </w:r>
          </w:p>
        </w:tc>
        <w:tc>
          <w:tcPr>
            <w:tcW w:w="0" w:type="auto"/>
          </w:tcPr>
          <w:p w14:paraId="2D06664D" w14:textId="77777777" w:rsidR="00A77B3E" w:rsidRPr="00800D1B" w:rsidRDefault="00623E14" w:rsidP="00DF49F1">
            <w:pPr>
              <w:spacing w:before="100" w:after="100"/>
              <w:ind w:left="-72"/>
              <w:jc w:val="right"/>
              <w:rPr>
                <w:color w:val="000000"/>
                <w:sz w:val="20"/>
                <w:lang w:val="sv-SE"/>
              </w:rPr>
            </w:pPr>
            <w:r w:rsidRPr="00800D1B">
              <w:rPr>
                <w:color w:val="000000"/>
                <w:sz w:val="20"/>
                <w:lang w:val="sv-SE"/>
              </w:rPr>
              <w:t>0,00</w:t>
            </w:r>
          </w:p>
        </w:tc>
        <w:tc>
          <w:tcPr>
            <w:tcW w:w="0" w:type="auto"/>
          </w:tcPr>
          <w:p w14:paraId="2D06664E" w14:textId="77777777" w:rsidR="00A77B3E" w:rsidRPr="00800D1B" w:rsidRDefault="00623E14" w:rsidP="00DF49F1">
            <w:pPr>
              <w:spacing w:before="100" w:after="100"/>
              <w:ind w:left="-72"/>
              <w:jc w:val="center"/>
              <w:rPr>
                <w:color w:val="000000"/>
                <w:sz w:val="20"/>
                <w:lang w:val="sv-SE"/>
              </w:rPr>
            </w:pPr>
            <w:r w:rsidRPr="00800D1B">
              <w:rPr>
                <w:color w:val="000000"/>
                <w:sz w:val="20"/>
                <w:lang w:val="sv-SE"/>
              </w:rPr>
              <w:t>2021</w:t>
            </w:r>
          </w:p>
        </w:tc>
        <w:tc>
          <w:tcPr>
            <w:tcW w:w="0" w:type="auto"/>
          </w:tcPr>
          <w:p w14:paraId="2D06664F" w14:textId="77777777" w:rsidR="00A77B3E" w:rsidRPr="00800D1B" w:rsidRDefault="00623E14" w:rsidP="00DF49F1">
            <w:pPr>
              <w:spacing w:before="100" w:after="100"/>
              <w:ind w:left="-72"/>
              <w:jc w:val="right"/>
              <w:rPr>
                <w:color w:val="000000"/>
                <w:sz w:val="20"/>
                <w:lang w:val="sv-SE"/>
              </w:rPr>
            </w:pPr>
            <w:r w:rsidRPr="00800D1B">
              <w:rPr>
                <w:color w:val="000000"/>
                <w:sz w:val="20"/>
                <w:lang w:val="sv-SE"/>
              </w:rPr>
              <w:t>3,00</w:t>
            </w:r>
          </w:p>
        </w:tc>
        <w:tc>
          <w:tcPr>
            <w:tcW w:w="0" w:type="auto"/>
          </w:tcPr>
          <w:p w14:paraId="2D066650" w14:textId="77777777" w:rsidR="00A77B3E" w:rsidRPr="00800D1B" w:rsidRDefault="00623E14" w:rsidP="00DF49F1">
            <w:pPr>
              <w:spacing w:before="100" w:after="100"/>
              <w:ind w:left="-72"/>
              <w:rPr>
                <w:color w:val="000000"/>
                <w:sz w:val="20"/>
                <w:lang w:val="sv-SE"/>
              </w:rPr>
            </w:pPr>
            <w:r w:rsidRPr="00800D1B">
              <w:rPr>
                <w:color w:val="000000"/>
                <w:sz w:val="20"/>
                <w:lang w:val="sv-SE"/>
              </w:rPr>
              <w:t>Projekt</w:t>
            </w:r>
          </w:p>
        </w:tc>
        <w:tc>
          <w:tcPr>
            <w:tcW w:w="0" w:type="auto"/>
          </w:tcPr>
          <w:p w14:paraId="2D066651" w14:textId="77777777" w:rsidR="00A77B3E" w:rsidRPr="00800D1B" w:rsidRDefault="00A77B3E" w:rsidP="00DF49F1">
            <w:pPr>
              <w:spacing w:before="100" w:after="100"/>
              <w:ind w:left="-72"/>
              <w:rPr>
                <w:color w:val="000000"/>
                <w:sz w:val="20"/>
                <w:lang w:val="sv-SE"/>
              </w:rPr>
            </w:pPr>
          </w:p>
        </w:tc>
      </w:tr>
      <w:tr w:rsidR="003422DB" w:rsidRPr="00800D1B" w14:paraId="2D06665F" w14:textId="77777777" w:rsidTr="00DF49F1">
        <w:tc>
          <w:tcPr>
            <w:tcW w:w="0" w:type="auto"/>
          </w:tcPr>
          <w:p w14:paraId="2D066653" w14:textId="77777777" w:rsidR="00A77B3E" w:rsidRPr="00800D1B" w:rsidRDefault="00623E14" w:rsidP="00DF49F1">
            <w:pPr>
              <w:spacing w:before="100" w:after="100"/>
              <w:ind w:left="-72"/>
              <w:rPr>
                <w:color w:val="000000"/>
                <w:sz w:val="20"/>
                <w:lang w:val="sv-SE"/>
              </w:rPr>
            </w:pPr>
            <w:r w:rsidRPr="00800D1B">
              <w:rPr>
                <w:color w:val="000000"/>
                <w:sz w:val="20"/>
                <w:lang w:val="sv-SE"/>
              </w:rPr>
              <w:t>5</w:t>
            </w:r>
          </w:p>
        </w:tc>
        <w:tc>
          <w:tcPr>
            <w:tcW w:w="0" w:type="auto"/>
          </w:tcPr>
          <w:p w14:paraId="2D066654" w14:textId="77777777" w:rsidR="00A77B3E" w:rsidRPr="00800D1B" w:rsidRDefault="00623E14" w:rsidP="00DF49F1">
            <w:pPr>
              <w:spacing w:before="100" w:after="100"/>
              <w:ind w:left="-72"/>
              <w:rPr>
                <w:color w:val="000000"/>
                <w:sz w:val="20"/>
                <w:lang w:val="sv-SE"/>
              </w:rPr>
            </w:pPr>
            <w:r w:rsidRPr="00800D1B">
              <w:rPr>
                <w:color w:val="000000"/>
                <w:sz w:val="20"/>
                <w:lang w:val="sv-SE"/>
              </w:rPr>
              <w:t>RSO3.2</w:t>
            </w:r>
          </w:p>
        </w:tc>
        <w:tc>
          <w:tcPr>
            <w:tcW w:w="0" w:type="auto"/>
          </w:tcPr>
          <w:p w14:paraId="2D066655" w14:textId="77777777" w:rsidR="00A77B3E" w:rsidRPr="00800D1B" w:rsidRDefault="00623E14" w:rsidP="00DF49F1">
            <w:pPr>
              <w:spacing w:before="100" w:after="100"/>
              <w:ind w:left="-72"/>
              <w:rPr>
                <w:color w:val="000000"/>
                <w:sz w:val="20"/>
                <w:lang w:val="sv-SE"/>
              </w:rPr>
            </w:pPr>
            <w:r w:rsidRPr="00800D1B">
              <w:rPr>
                <w:color w:val="000000"/>
                <w:sz w:val="20"/>
                <w:lang w:val="sv-SE"/>
              </w:rPr>
              <w:t>Eruf</w:t>
            </w:r>
          </w:p>
        </w:tc>
        <w:tc>
          <w:tcPr>
            <w:tcW w:w="0" w:type="auto"/>
          </w:tcPr>
          <w:p w14:paraId="2D066656" w14:textId="77777777" w:rsidR="00A77B3E" w:rsidRPr="00800D1B" w:rsidRDefault="00623E14" w:rsidP="009B5EF9">
            <w:pPr>
              <w:spacing w:before="100" w:after="100"/>
              <w:ind w:left="-72" w:right="-210"/>
              <w:rPr>
                <w:color w:val="000000"/>
                <w:sz w:val="20"/>
                <w:lang w:val="sv-SE"/>
              </w:rPr>
            </w:pPr>
            <w:r w:rsidRPr="00800D1B">
              <w:rPr>
                <w:color w:val="000000"/>
                <w:sz w:val="20"/>
                <w:lang w:val="sv-SE"/>
              </w:rPr>
              <w:t>De yttersta randområdena eller de nordliga glesbefolkade områdena</w:t>
            </w:r>
          </w:p>
        </w:tc>
        <w:tc>
          <w:tcPr>
            <w:tcW w:w="0" w:type="auto"/>
          </w:tcPr>
          <w:p w14:paraId="2D066657" w14:textId="77777777" w:rsidR="00A77B3E" w:rsidRPr="00800D1B" w:rsidRDefault="00623E14" w:rsidP="00DF49F1">
            <w:pPr>
              <w:spacing w:before="100" w:after="100"/>
              <w:ind w:left="-72"/>
              <w:rPr>
                <w:color w:val="000000"/>
                <w:sz w:val="20"/>
                <w:lang w:val="sv-SE"/>
              </w:rPr>
            </w:pPr>
            <w:r w:rsidRPr="00800D1B">
              <w:rPr>
                <w:color w:val="000000"/>
                <w:sz w:val="20"/>
                <w:lang w:val="sv-SE"/>
              </w:rPr>
              <w:t>SWR04</w:t>
            </w:r>
          </w:p>
        </w:tc>
        <w:tc>
          <w:tcPr>
            <w:tcW w:w="0" w:type="auto"/>
          </w:tcPr>
          <w:p w14:paraId="2D066658" w14:textId="77777777" w:rsidR="00A77B3E" w:rsidRPr="00800D1B" w:rsidRDefault="00623E14" w:rsidP="00DF49F1">
            <w:pPr>
              <w:spacing w:before="100" w:after="100"/>
              <w:ind w:left="-72"/>
              <w:rPr>
                <w:color w:val="000000"/>
                <w:sz w:val="20"/>
                <w:lang w:val="sv-SE"/>
              </w:rPr>
            </w:pPr>
            <w:r w:rsidRPr="00800D1B">
              <w:rPr>
                <w:color w:val="000000"/>
                <w:sz w:val="20"/>
                <w:lang w:val="sv-SE"/>
              </w:rPr>
              <w:t>Nationella/regionala/lokala strategier</w:t>
            </w:r>
          </w:p>
        </w:tc>
        <w:tc>
          <w:tcPr>
            <w:tcW w:w="0" w:type="auto"/>
          </w:tcPr>
          <w:p w14:paraId="2D066659" w14:textId="77777777" w:rsidR="00A77B3E" w:rsidRPr="00800D1B" w:rsidRDefault="00623E14" w:rsidP="00DF49F1">
            <w:pPr>
              <w:spacing w:before="100" w:after="100"/>
              <w:ind w:left="-72"/>
              <w:rPr>
                <w:color w:val="000000"/>
                <w:sz w:val="20"/>
                <w:lang w:val="sv-SE"/>
              </w:rPr>
            </w:pPr>
            <w:r w:rsidRPr="00800D1B">
              <w:rPr>
                <w:color w:val="000000"/>
                <w:sz w:val="20"/>
                <w:lang w:val="sv-SE"/>
              </w:rPr>
              <w:t>Antal</w:t>
            </w:r>
          </w:p>
        </w:tc>
        <w:tc>
          <w:tcPr>
            <w:tcW w:w="0" w:type="auto"/>
          </w:tcPr>
          <w:p w14:paraId="2D06665A" w14:textId="77777777" w:rsidR="00A77B3E" w:rsidRPr="00800D1B" w:rsidRDefault="00623E14" w:rsidP="00DF49F1">
            <w:pPr>
              <w:spacing w:before="100" w:after="100"/>
              <w:ind w:left="-72"/>
              <w:jc w:val="right"/>
              <w:rPr>
                <w:color w:val="000000"/>
                <w:sz w:val="20"/>
                <w:lang w:val="sv-SE"/>
              </w:rPr>
            </w:pPr>
            <w:r w:rsidRPr="00800D1B">
              <w:rPr>
                <w:color w:val="000000"/>
                <w:sz w:val="20"/>
                <w:lang w:val="sv-SE"/>
              </w:rPr>
              <w:t>0,00</w:t>
            </w:r>
          </w:p>
        </w:tc>
        <w:tc>
          <w:tcPr>
            <w:tcW w:w="0" w:type="auto"/>
          </w:tcPr>
          <w:p w14:paraId="2D06665B" w14:textId="77777777" w:rsidR="00A77B3E" w:rsidRPr="00800D1B" w:rsidRDefault="00623E14" w:rsidP="00DF49F1">
            <w:pPr>
              <w:spacing w:before="100" w:after="100"/>
              <w:ind w:left="-72"/>
              <w:jc w:val="center"/>
              <w:rPr>
                <w:color w:val="000000"/>
                <w:sz w:val="20"/>
                <w:lang w:val="sv-SE"/>
              </w:rPr>
            </w:pPr>
            <w:r w:rsidRPr="00800D1B">
              <w:rPr>
                <w:color w:val="000000"/>
                <w:sz w:val="20"/>
                <w:lang w:val="sv-SE"/>
              </w:rPr>
              <w:t>2021</w:t>
            </w:r>
          </w:p>
        </w:tc>
        <w:tc>
          <w:tcPr>
            <w:tcW w:w="0" w:type="auto"/>
          </w:tcPr>
          <w:p w14:paraId="2D06665C" w14:textId="77777777" w:rsidR="00A77B3E" w:rsidRPr="00800D1B" w:rsidRDefault="00623E14" w:rsidP="00DF49F1">
            <w:pPr>
              <w:spacing w:before="100" w:after="100"/>
              <w:ind w:left="-72"/>
              <w:jc w:val="right"/>
              <w:rPr>
                <w:color w:val="000000"/>
                <w:sz w:val="20"/>
                <w:lang w:val="sv-SE"/>
              </w:rPr>
            </w:pPr>
            <w:r w:rsidRPr="00800D1B">
              <w:rPr>
                <w:color w:val="000000"/>
                <w:sz w:val="20"/>
                <w:lang w:val="sv-SE"/>
              </w:rPr>
              <w:t>16,00</w:t>
            </w:r>
          </w:p>
        </w:tc>
        <w:tc>
          <w:tcPr>
            <w:tcW w:w="0" w:type="auto"/>
          </w:tcPr>
          <w:p w14:paraId="2D06665D" w14:textId="77777777" w:rsidR="00A77B3E" w:rsidRPr="00800D1B" w:rsidRDefault="00623E14" w:rsidP="00DF49F1">
            <w:pPr>
              <w:spacing w:before="100" w:after="100"/>
              <w:ind w:left="-72"/>
              <w:rPr>
                <w:color w:val="000000"/>
                <w:sz w:val="20"/>
                <w:lang w:val="sv-SE"/>
              </w:rPr>
            </w:pPr>
            <w:r w:rsidRPr="00800D1B">
              <w:rPr>
                <w:color w:val="000000"/>
                <w:sz w:val="20"/>
                <w:lang w:val="sv-SE"/>
              </w:rPr>
              <w:t>Projekt</w:t>
            </w:r>
          </w:p>
        </w:tc>
        <w:tc>
          <w:tcPr>
            <w:tcW w:w="0" w:type="auto"/>
          </w:tcPr>
          <w:p w14:paraId="2D06665E" w14:textId="77777777" w:rsidR="00A77B3E" w:rsidRPr="00800D1B" w:rsidRDefault="00A77B3E" w:rsidP="00DF49F1">
            <w:pPr>
              <w:spacing w:before="100" w:after="100"/>
              <w:ind w:left="-72"/>
              <w:rPr>
                <w:color w:val="000000"/>
                <w:sz w:val="20"/>
                <w:lang w:val="sv-SE"/>
              </w:rPr>
            </w:pPr>
          </w:p>
        </w:tc>
      </w:tr>
    </w:tbl>
    <w:p w14:paraId="2D066661" w14:textId="27F3FC3A" w:rsidR="00A77B3E" w:rsidRPr="00800D1B" w:rsidRDefault="00623E14" w:rsidP="00267E2F">
      <w:pPr>
        <w:pStyle w:val="Rubrik6"/>
        <w:numPr>
          <w:ilvl w:val="4"/>
          <w:numId w:val="45"/>
        </w:numPr>
        <w:spacing w:before="360"/>
        <w:ind w:left="360"/>
      </w:pPr>
      <w:bookmarkStart w:id="190" w:name="_Toc256000431"/>
      <w:r w:rsidRPr="00800D1B">
        <w:t>Preliminär fördelning av anslagna (EU-)medel efter interventionstyp</w:t>
      </w:r>
      <w:bookmarkEnd w:id="190"/>
    </w:p>
    <w:p w14:paraId="2D066663" w14:textId="77777777" w:rsidR="00A77B3E" w:rsidRPr="00800D1B" w:rsidRDefault="00623E14" w:rsidP="009B5EF9">
      <w:pPr>
        <w:spacing w:before="200"/>
        <w:rPr>
          <w:color w:val="000000"/>
          <w:sz w:val="0"/>
          <w:lang w:val="sv-SE"/>
        </w:rPr>
      </w:pPr>
      <w:r w:rsidRPr="00800D1B">
        <w:rPr>
          <w:color w:val="000000"/>
          <w:lang w:val="sv-SE"/>
        </w:rPr>
        <w:t>Referens: artikel 22.3 d viii i förordningen om gemensamma bestämmelser</w:t>
      </w:r>
    </w:p>
    <w:p w14:paraId="2D066664" w14:textId="03B0B0A8" w:rsidR="00A77B3E" w:rsidRPr="00800D1B" w:rsidRDefault="00623E14" w:rsidP="009B5EF9">
      <w:pPr>
        <w:spacing w:before="200" w:after="100"/>
        <w:rPr>
          <w:lang w:val="sv-SE"/>
        </w:rPr>
      </w:pPr>
      <w:bookmarkStart w:id="191" w:name="_Toc256000432"/>
      <w:r w:rsidRPr="00800D1B">
        <w:rPr>
          <w:lang w:val="sv-SE"/>
        </w:rPr>
        <w:t>Tabell 4: Dimension 1 – interventionsområde</w:t>
      </w:r>
      <w:bookmarkEnd w:id="191"/>
    </w:p>
    <w:tbl>
      <w:tblPr>
        <w:tblStyle w:val="Tabellrutnt"/>
        <w:tblW w:w="5000" w:type="pct"/>
        <w:tblLook w:val="04A0" w:firstRow="1" w:lastRow="0" w:firstColumn="1" w:lastColumn="0" w:noHBand="0" w:noVBand="1"/>
        <w:tblDescription w:val="En tabell med sex kolumner: Prioritering; Specifikt mål; Fond; Regionkategori; Kod; Belopp (euro). Tabellen visar information om interventionsområde."/>
      </w:tblPr>
      <w:tblGrid>
        <w:gridCol w:w="1201"/>
        <w:gridCol w:w="1354"/>
        <w:gridCol w:w="743"/>
        <w:gridCol w:w="5834"/>
        <w:gridCol w:w="4606"/>
        <w:gridCol w:w="1434"/>
      </w:tblGrid>
      <w:tr w:rsidR="003422DB" w:rsidRPr="00800D1B" w14:paraId="2D06666C" w14:textId="77777777" w:rsidTr="00DF49F1">
        <w:tc>
          <w:tcPr>
            <w:tcW w:w="0" w:type="auto"/>
          </w:tcPr>
          <w:p w14:paraId="2D066666" w14:textId="77777777" w:rsidR="00A77B3E" w:rsidRPr="00800D1B" w:rsidRDefault="00623E14" w:rsidP="00DF49F1">
            <w:pPr>
              <w:spacing w:before="100" w:after="100"/>
              <w:ind w:left="-72"/>
              <w:jc w:val="center"/>
              <w:rPr>
                <w:color w:val="000000"/>
                <w:sz w:val="20"/>
                <w:lang w:val="sv-SE"/>
              </w:rPr>
            </w:pPr>
            <w:r w:rsidRPr="00800D1B">
              <w:rPr>
                <w:color w:val="000000"/>
                <w:sz w:val="20"/>
                <w:lang w:val="sv-SE"/>
              </w:rPr>
              <w:t>Prioritering</w:t>
            </w:r>
          </w:p>
        </w:tc>
        <w:tc>
          <w:tcPr>
            <w:tcW w:w="0" w:type="auto"/>
          </w:tcPr>
          <w:p w14:paraId="2D066667" w14:textId="77777777" w:rsidR="00A77B3E" w:rsidRPr="00800D1B" w:rsidRDefault="00623E14" w:rsidP="00DF49F1">
            <w:pPr>
              <w:spacing w:before="100" w:after="100"/>
              <w:ind w:left="-72"/>
              <w:jc w:val="center"/>
              <w:rPr>
                <w:color w:val="000000"/>
                <w:sz w:val="20"/>
                <w:lang w:val="sv-SE"/>
              </w:rPr>
            </w:pPr>
            <w:r w:rsidRPr="00800D1B">
              <w:rPr>
                <w:color w:val="000000"/>
                <w:sz w:val="20"/>
                <w:lang w:val="sv-SE"/>
              </w:rPr>
              <w:t>Specifikt mål</w:t>
            </w:r>
          </w:p>
        </w:tc>
        <w:tc>
          <w:tcPr>
            <w:tcW w:w="0" w:type="auto"/>
          </w:tcPr>
          <w:p w14:paraId="2D066668" w14:textId="77777777" w:rsidR="00A77B3E" w:rsidRPr="00800D1B" w:rsidRDefault="00623E14" w:rsidP="00DF49F1">
            <w:pPr>
              <w:spacing w:before="100" w:after="100"/>
              <w:ind w:left="-72"/>
              <w:jc w:val="center"/>
              <w:rPr>
                <w:color w:val="000000"/>
                <w:sz w:val="20"/>
                <w:lang w:val="sv-SE"/>
              </w:rPr>
            </w:pPr>
            <w:r w:rsidRPr="00800D1B">
              <w:rPr>
                <w:color w:val="000000"/>
                <w:sz w:val="20"/>
                <w:lang w:val="sv-SE"/>
              </w:rPr>
              <w:t>Fond</w:t>
            </w:r>
          </w:p>
        </w:tc>
        <w:tc>
          <w:tcPr>
            <w:tcW w:w="0" w:type="auto"/>
          </w:tcPr>
          <w:p w14:paraId="2D066669" w14:textId="77777777" w:rsidR="00A77B3E" w:rsidRPr="00800D1B" w:rsidRDefault="00623E14" w:rsidP="00DF49F1">
            <w:pPr>
              <w:spacing w:before="100" w:after="100"/>
              <w:ind w:left="-72"/>
              <w:jc w:val="center"/>
              <w:rPr>
                <w:color w:val="000000"/>
                <w:sz w:val="20"/>
                <w:lang w:val="sv-SE"/>
              </w:rPr>
            </w:pPr>
            <w:r w:rsidRPr="00800D1B">
              <w:rPr>
                <w:color w:val="000000"/>
                <w:sz w:val="20"/>
                <w:lang w:val="sv-SE"/>
              </w:rPr>
              <w:t>Regionkategori</w:t>
            </w:r>
          </w:p>
        </w:tc>
        <w:tc>
          <w:tcPr>
            <w:tcW w:w="0" w:type="auto"/>
          </w:tcPr>
          <w:p w14:paraId="2D06666A" w14:textId="77777777" w:rsidR="00A77B3E" w:rsidRPr="00800D1B" w:rsidRDefault="00623E14" w:rsidP="00DF49F1">
            <w:pPr>
              <w:spacing w:before="100" w:after="100"/>
              <w:ind w:left="-72"/>
              <w:jc w:val="center"/>
              <w:rPr>
                <w:color w:val="000000"/>
                <w:sz w:val="20"/>
                <w:lang w:val="sv-SE"/>
              </w:rPr>
            </w:pPr>
            <w:r w:rsidRPr="00800D1B">
              <w:rPr>
                <w:color w:val="000000"/>
                <w:sz w:val="20"/>
                <w:lang w:val="sv-SE"/>
              </w:rPr>
              <w:t>Kod</w:t>
            </w:r>
          </w:p>
        </w:tc>
        <w:tc>
          <w:tcPr>
            <w:tcW w:w="0" w:type="auto"/>
          </w:tcPr>
          <w:p w14:paraId="2D06666B" w14:textId="77777777" w:rsidR="00A77B3E" w:rsidRPr="00800D1B" w:rsidRDefault="00623E14" w:rsidP="00DF49F1">
            <w:pPr>
              <w:spacing w:before="100" w:after="100"/>
              <w:ind w:left="-72"/>
              <w:jc w:val="center"/>
              <w:rPr>
                <w:color w:val="000000"/>
                <w:sz w:val="20"/>
                <w:lang w:val="sv-SE"/>
              </w:rPr>
            </w:pPr>
            <w:r w:rsidRPr="00800D1B">
              <w:rPr>
                <w:color w:val="000000"/>
                <w:sz w:val="20"/>
                <w:lang w:val="sv-SE"/>
              </w:rPr>
              <w:t>Belopp (euro)</w:t>
            </w:r>
          </w:p>
        </w:tc>
      </w:tr>
      <w:tr w:rsidR="003422DB" w:rsidRPr="00800D1B" w14:paraId="2D066673" w14:textId="77777777" w:rsidTr="00DF49F1">
        <w:tc>
          <w:tcPr>
            <w:tcW w:w="0" w:type="auto"/>
          </w:tcPr>
          <w:p w14:paraId="2D06666D" w14:textId="77777777" w:rsidR="00A77B3E" w:rsidRPr="00800D1B" w:rsidRDefault="00623E14" w:rsidP="00DF49F1">
            <w:pPr>
              <w:spacing w:before="100" w:after="100"/>
              <w:ind w:left="-72"/>
              <w:rPr>
                <w:color w:val="000000"/>
                <w:sz w:val="20"/>
                <w:lang w:val="sv-SE"/>
              </w:rPr>
            </w:pPr>
            <w:r w:rsidRPr="00800D1B">
              <w:rPr>
                <w:color w:val="000000"/>
                <w:sz w:val="20"/>
                <w:lang w:val="sv-SE"/>
              </w:rPr>
              <w:t>5</w:t>
            </w:r>
          </w:p>
        </w:tc>
        <w:tc>
          <w:tcPr>
            <w:tcW w:w="0" w:type="auto"/>
          </w:tcPr>
          <w:p w14:paraId="2D06666E" w14:textId="77777777" w:rsidR="00A77B3E" w:rsidRPr="00800D1B" w:rsidRDefault="00623E14" w:rsidP="00DF49F1">
            <w:pPr>
              <w:spacing w:before="100" w:after="100"/>
              <w:ind w:left="-72"/>
              <w:rPr>
                <w:color w:val="000000"/>
                <w:sz w:val="20"/>
                <w:lang w:val="sv-SE"/>
              </w:rPr>
            </w:pPr>
            <w:r w:rsidRPr="00800D1B">
              <w:rPr>
                <w:color w:val="000000"/>
                <w:sz w:val="20"/>
                <w:lang w:val="sv-SE"/>
              </w:rPr>
              <w:t>RSO3.2</w:t>
            </w:r>
          </w:p>
        </w:tc>
        <w:tc>
          <w:tcPr>
            <w:tcW w:w="0" w:type="auto"/>
          </w:tcPr>
          <w:p w14:paraId="2D06666F" w14:textId="77777777" w:rsidR="00A77B3E" w:rsidRPr="00800D1B" w:rsidRDefault="00623E14" w:rsidP="00DF49F1">
            <w:pPr>
              <w:spacing w:before="100" w:after="100"/>
              <w:ind w:left="-72"/>
              <w:rPr>
                <w:color w:val="000000"/>
                <w:sz w:val="20"/>
                <w:lang w:val="sv-SE"/>
              </w:rPr>
            </w:pPr>
            <w:r w:rsidRPr="00800D1B">
              <w:rPr>
                <w:color w:val="000000"/>
                <w:sz w:val="20"/>
                <w:lang w:val="sv-SE"/>
              </w:rPr>
              <w:t>Eruf</w:t>
            </w:r>
          </w:p>
        </w:tc>
        <w:tc>
          <w:tcPr>
            <w:tcW w:w="0" w:type="auto"/>
          </w:tcPr>
          <w:p w14:paraId="2D066670" w14:textId="77777777" w:rsidR="00A77B3E" w:rsidRPr="00800D1B" w:rsidRDefault="00623E14" w:rsidP="00DF49F1">
            <w:pPr>
              <w:spacing w:before="100" w:after="100"/>
              <w:ind w:left="-72"/>
              <w:rPr>
                <w:color w:val="000000"/>
                <w:sz w:val="20"/>
                <w:lang w:val="sv-SE"/>
              </w:rPr>
            </w:pPr>
            <w:r w:rsidRPr="00800D1B">
              <w:rPr>
                <w:color w:val="000000"/>
                <w:sz w:val="20"/>
                <w:lang w:val="sv-SE"/>
              </w:rPr>
              <w:t>De yttersta randområdena eller de nordliga glesbefolkade områdena</w:t>
            </w:r>
          </w:p>
        </w:tc>
        <w:tc>
          <w:tcPr>
            <w:tcW w:w="0" w:type="auto"/>
          </w:tcPr>
          <w:p w14:paraId="2D066671" w14:textId="77777777" w:rsidR="00A77B3E" w:rsidRPr="00800D1B" w:rsidRDefault="00623E14" w:rsidP="00DF49F1">
            <w:pPr>
              <w:spacing w:before="100" w:after="100"/>
              <w:ind w:left="-72"/>
              <w:rPr>
                <w:color w:val="000000"/>
                <w:sz w:val="20"/>
                <w:lang w:val="sv-SE"/>
              </w:rPr>
            </w:pPr>
            <w:r w:rsidRPr="00800D1B">
              <w:rPr>
                <w:color w:val="000000"/>
                <w:sz w:val="20"/>
                <w:lang w:val="sv-SE"/>
              </w:rPr>
              <w:t>086. Infrastruktur för alternativa bränslen</w:t>
            </w:r>
          </w:p>
        </w:tc>
        <w:tc>
          <w:tcPr>
            <w:tcW w:w="0" w:type="auto"/>
          </w:tcPr>
          <w:p w14:paraId="2D066672" w14:textId="77777777" w:rsidR="00A77B3E" w:rsidRPr="00800D1B" w:rsidRDefault="00623E14" w:rsidP="00DF49F1">
            <w:pPr>
              <w:spacing w:before="100" w:after="100"/>
              <w:ind w:left="-72"/>
              <w:jc w:val="right"/>
              <w:rPr>
                <w:color w:val="000000"/>
                <w:sz w:val="20"/>
                <w:lang w:val="sv-SE"/>
              </w:rPr>
            </w:pPr>
            <w:r w:rsidRPr="00800D1B">
              <w:rPr>
                <w:color w:val="000000"/>
                <w:sz w:val="20"/>
                <w:lang w:val="sv-SE"/>
              </w:rPr>
              <w:t>4 232 465,00</w:t>
            </w:r>
          </w:p>
        </w:tc>
      </w:tr>
      <w:tr w:rsidR="003422DB" w:rsidRPr="00800D1B" w14:paraId="2D06667A" w14:textId="77777777" w:rsidTr="00DF49F1">
        <w:tc>
          <w:tcPr>
            <w:tcW w:w="0" w:type="auto"/>
          </w:tcPr>
          <w:p w14:paraId="2D066674" w14:textId="77777777" w:rsidR="00A77B3E" w:rsidRPr="00800D1B" w:rsidRDefault="00623E14" w:rsidP="00DF49F1">
            <w:pPr>
              <w:spacing w:before="100" w:after="100"/>
              <w:ind w:left="-72"/>
              <w:rPr>
                <w:color w:val="000000"/>
                <w:sz w:val="20"/>
                <w:lang w:val="sv-SE"/>
              </w:rPr>
            </w:pPr>
            <w:r w:rsidRPr="00800D1B">
              <w:rPr>
                <w:color w:val="000000"/>
                <w:sz w:val="20"/>
                <w:lang w:val="sv-SE"/>
              </w:rPr>
              <w:t>5</w:t>
            </w:r>
          </w:p>
        </w:tc>
        <w:tc>
          <w:tcPr>
            <w:tcW w:w="0" w:type="auto"/>
          </w:tcPr>
          <w:p w14:paraId="2D066675" w14:textId="77777777" w:rsidR="00A77B3E" w:rsidRPr="00800D1B" w:rsidRDefault="00623E14" w:rsidP="00DF49F1">
            <w:pPr>
              <w:spacing w:before="100" w:after="100"/>
              <w:ind w:left="-72"/>
              <w:rPr>
                <w:color w:val="000000"/>
                <w:sz w:val="20"/>
                <w:lang w:val="sv-SE"/>
              </w:rPr>
            </w:pPr>
            <w:r w:rsidRPr="00800D1B">
              <w:rPr>
                <w:color w:val="000000"/>
                <w:sz w:val="20"/>
                <w:lang w:val="sv-SE"/>
              </w:rPr>
              <w:t>RSO3.2</w:t>
            </w:r>
          </w:p>
        </w:tc>
        <w:tc>
          <w:tcPr>
            <w:tcW w:w="0" w:type="auto"/>
          </w:tcPr>
          <w:p w14:paraId="2D066676" w14:textId="77777777" w:rsidR="00A77B3E" w:rsidRPr="00800D1B" w:rsidRDefault="00623E14" w:rsidP="00DF49F1">
            <w:pPr>
              <w:spacing w:before="100" w:after="100"/>
              <w:ind w:left="-72"/>
              <w:rPr>
                <w:color w:val="000000"/>
                <w:sz w:val="20"/>
                <w:lang w:val="sv-SE"/>
              </w:rPr>
            </w:pPr>
            <w:r w:rsidRPr="00800D1B">
              <w:rPr>
                <w:color w:val="000000"/>
                <w:sz w:val="20"/>
                <w:lang w:val="sv-SE"/>
              </w:rPr>
              <w:t>Eruf</w:t>
            </w:r>
          </w:p>
        </w:tc>
        <w:tc>
          <w:tcPr>
            <w:tcW w:w="0" w:type="auto"/>
          </w:tcPr>
          <w:p w14:paraId="2D066677" w14:textId="77777777" w:rsidR="00A77B3E" w:rsidRPr="00800D1B" w:rsidRDefault="00623E14" w:rsidP="00DF49F1">
            <w:pPr>
              <w:spacing w:before="100" w:after="100"/>
              <w:ind w:left="-72"/>
              <w:rPr>
                <w:color w:val="000000"/>
                <w:sz w:val="20"/>
                <w:lang w:val="sv-SE"/>
              </w:rPr>
            </w:pPr>
            <w:r w:rsidRPr="00800D1B">
              <w:rPr>
                <w:color w:val="000000"/>
                <w:sz w:val="20"/>
                <w:lang w:val="sv-SE"/>
              </w:rPr>
              <w:t>De yttersta randområdena eller de nordliga glesbefolkade områdena</w:t>
            </w:r>
          </w:p>
        </w:tc>
        <w:tc>
          <w:tcPr>
            <w:tcW w:w="0" w:type="auto"/>
          </w:tcPr>
          <w:p w14:paraId="2D066678" w14:textId="77777777" w:rsidR="00A77B3E" w:rsidRPr="00800D1B" w:rsidRDefault="00623E14" w:rsidP="00DF49F1">
            <w:pPr>
              <w:spacing w:before="100" w:after="100"/>
              <w:ind w:left="-72"/>
              <w:rPr>
                <w:color w:val="000000"/>
                <w:sz w:val="20"/>
                <w:lang w:val="sv-SE"/>
              </w:rPr>
            </w:pPr>
            <w:r w:rsidRPr="00800D1B">
              <w:rPr>
                <w:color w:val="000000"/>
                <w:sz w:val="20"/>
                <w:lang w:val="sv-SE"/>
              </w:rPr>
              <w:t>102. Andra ombyggda eller moderniserade järnvägar</w:t>
            </w:r>
          </w:p>
        </w:tc>
        <w:tc>
          <w:tcPr>
            <w:tcW w:w="0" w:type="auto"/>
          </w:tcPr>
          <w:p w14:paraId="2D066679" w14:textId="77777777" w:rsidR="00A77B3E" w:rsidRPr="00800D1B" w:rsidRDefault="00623E14" w:rsidP="00DF49F1">
            <w:pPr>
              <w:spacing w:before="100" w:after="100"/>
              <w:ind w:left="-72"/>
              <w:jc w:val="right"/>
              <w:rPr>
                <w:color w:val="000000"/>
                <w:sz w:val="20"/>
                <w:lang w:val="sv-SE"/>
              </w:rPr>
            </w:pPr>
            <w:r w:rsidRPr="00800D1B">
              <w:rPr>
                <w:color w:val="000000"/>
                <w:sz w:val="20"/>
                <w:lang w:val="sv-SE"/>
              </w:rPr>
              <w:t>4 232 465,00</w:t>
            </w:r>
          </w:p>
        </w:tc>
      </w:tr>
      <w:tr w:rsidR="003422DB" w:rsidRPr="00800D1B" w14:paraId="2D066681" w14:textId="77777777" w:rsidTr="00DF49F1">
        <w:tc>
          <w:tcPr>
            <w:tcW w:w="0" w:type="auto"/>
          </w:tcPr>
          <w:p w14:paraId="2D06667B" w14:textId="77777777" w:rsidR="00A77B3E" w:rsidRPr="00800D1B" w:rsidRDefault="00623E14" w:rsidP="00DF49F1">
            <w:pPr>
              <w:spacing w:before="100" w:after="100"/>
              <w:ind w:left="-72"/>
              <w:rPr>
                <w:color w:val="000000"/>
                <w:sz w:val="20"/>
                <w:lang w:val="sv-SE"/>
              </w:rPr>
            </w:pPr>
            <w:r w:rsidRPr="00800D1B">
              <w:rPr>
                <w:color w:val="000000"/>
                <w:sz w:val="20"/>
                <w:lang w:val="sv-SE"/>
              </w:rPr>
              <w:t>5</w:t>
            </w:r>
          </w:p>
        </w:tc>
        <w:tc>
          <w:tcPr>
            <w:tcW w:w="0" w:type="auto"/>
          </w:tcPr>
          <w:p w14:paraId="2D06667C" w14:textId="77777777" w:rsidR="00A77B3E" w:rsidRPr="00800D1B" w:rsidRDefault="00623E14" w:rsidP="00DF49F1">
            <w:pPr>
              <w:spacing w:before="100" w:after="100"/>
              <w:ind w:left="-72"/>
              <w:rPr>
                <w:color w:val="000000"/>
                <w:sz w:val="20"/>
                <w:lang w:val="sv-SE"/>
              </w:rPr>
            </w:pPr>
            <w:r w:rsidRPr="00800D1B">
              <w:rPr>
                <w:color w:val="000000"/>
                <w:sz w:val="20"/>
                <w:lang w:val="sv-SE"/>
              </w:rPr>
              <w:t>RSO3.2</w:t>
            </w:r>
          </w:p>
        </w:tc>
        <w:tc>
          <w:tcPr>
            <w:tcW w:w="0" w:type="auto"/>
          </w:tcPr>
          <w:p w14:paraId="2D06667D" w14:textId="77777777" w:rsidR="00A77B3E" w:rsidRPr="00800D1B" w:rsidRDefault="00623E14" w:rsidP="00DF49F1">
            <w:pPr>
              <w:spacing w:before="100" w:after="100"/>
              <w:ind w:left="-72"/>
              <w:rPr>
                <w:color w:val="000000"/>
                <w:sz w:val="20"/>
                <w:lang w:val="sv-SE"/>
              </w:rPr>
            </w:pPr>
            <w:r w:rsidRPr="00800D1B">
              <w:rPr>
                <w:color w:val="000000"/>
                <w:sz w:val="20"/>
                <w:lang w:val="sv-SE"/>
              </w:rPr>
              <w:t>Eruf</w:t>
            </w:r>
          </w:p>
        </w:tc>
        <w:tc>
          <w:tcPr>
            <w:tcW w:w="0" w:type="auto"/>
          </w:tcPr>
          <w:p w14:paraId="2D06667E" w14:textId="77777777" w:rsidR="00A77B3E" w:rsidRPr="00800D1B" w:rsidRDefault="00623E14" w:rsidP="00DF49F1">
            <w:pPr>
              <w:spacing w:before="100" w:after="100"/>
              <w:ind w:left="-72"/>
              <w:rPr>
                <w:color w:val="000000"/>
                <w:sz w:val="20"/>
                <w:lang w:val="sv-SE"/>
              </w:rPr>
            </w:pPr>
            <w:r w:rsidRPr="00800D1B">
              <w:rPr>
                <w:color w:val="000000"/>
                <w:sz w:val="20"/>
                <w:lang w:val="sv-SE"/>
              </w:rPr>
              <w:t>De yttersta randområdena eller de nordliga glesbefolkade områdena</w:t>
            </w:r>
          </w:p>
        </w:tc>
        <w:tc>
          <w:tcPr>
            <w:tcW w:w="0" w:type="auto"/>
          </w:tcPr>
          <w:p w14:paraId="2D06667F" w14:textId="77777777" w:rsidR="00A77B3E" w:rsidRPr="00800D1B" w:rsidRDefault="00623E14" w:rsidP="00DF49F1">
            <w:pPr>
              <w:spacing w:before="100" w:after="100"/>
              <w:ind w:left="-72"/>
              <w:rPr>
                <w:color w:val="000000"/>
                <w:sz w:val="20"/>
                <w:lang w:val="sv-SE"/>
              </w:rPr>
            </w:pPr>
            <w:r w:rsidRPr="00800D1B">
              <w:rPr>
                <w:color w:val="000000"/>
                <w:sz w:val="20"/>
                <w:lang w:val="sv-SE"/>
              </w:rPr>
              <w:t>109. Multimodala transporter (utanför städer)</w:t>
            </w:r>
          </w:p>
        </w:tc>
        <w:tc>
          <w:tcPr>
            <w:tcW w:w="0" w:type="auto"/>
          </w:tcPr>
          <w:p w14:paraId="2D066680" w14:textId="77777777" w:rsidR="00A77B3E" w:rsidRPr="00800D1B" w:rsidRDefault="00623E14" w:rsidP="00DF49F1">
            <w:pPr>
              <w:spacing w:before="100" w:after="100"/>
              <w:ind w:left="-72"/>
              <w:jc w:val="right"/>
              <w:rPr>
                <w:color w:val="000000"/>
                <w:sz w:val="20"/>
                <w:lang w:val="sv-SE"/>
              </w:rPr>
            </w:pPr>
            <w:r w:rsidRPr="00800D1B">
              <w:rPr>
                <w:color w:val="000000"/>
                <w:sz w:val="20"/>
                <w:lang w:val="sv-SE"/>
              </w:rPr>
              <w:t>12 697 394,00</w:t>
            </w:r>
          </w:p>
        </w:tc>
      </w:tr>
      <w:tr w:rsidR="003422DB" w:rsidRPr="00800D1B" w14:paraId="2D066688" w14:textId="77777777" w:rsidTr="00DF49F1">
        <w:tc>
          <w:tcPr>
            <w:tcW w:w="0" w:type="auto"/>
          </w:tcPr>
          <w:p w14:paraId="2D066682" w14:textId="77777777" w:rsidR="00A77B3E" w:rsidRPr="00800D1B" w:rsidRDefault="00623E14" w:rsidP="00DF49F1">
            <w:pPr>
              <w:spacing w:before="100" w:after="100"/>
              <w:ind w:left="-72"/>
              <w:rPr>
                <w:color w:val="000000"/>
                <w:sz w:val="20"/>
                <w:lang w:val="sv-SE"/>
              </w:rPr>
            </w:pPr>
            <w:r w:rsidRPr="00800D1B">
              <w:rPr>
                <w:color w:val="000000"/>
                <w:sz w:val="20"/>
                <w:lang w:val="sv-SE"/>
              </w:rPr>
              <w:t>5</w:t>
            </w:r>
          </w:p>
        </w:tc>
        <w:tc>
          <w:tcPr>
            <w:tcW w:w="0" w:type="auto"/>
          </w:tcPr>
          <w:p w14:paraId="2D066683" w14:textId="77777777" w:rsidR="00A77B3E" w:rsidRPr="00800D1B" w:rsidRDefault="00623E14" w:rsidP="00DF49F1">
            <w:pPr>
              <w:spacing w:before="100" w:after="100"/>
              <w:ind w:left="-72"/>
              <w:rPr>
                <w:color w:val="000000"/>
                <w:sz w:val="20"/>
                <w:lang w:val="sv-SE"/>
              </w:rPr>
            </w:pPr>
            <w:r w:rsidRPr="00800D1B">
              <w:rPr>
                <w:color w:val="000000"/>
                <w:sz w:val="20"/>
                <w:lang w:val="sv-SE"/>
              </w:rPr>
              <w:t>RSO3.2</w:t>
            </w:r>
          </w:p>
        </w:tc>
        <w:tc>
          <w:tcPr>
            <w:tcW w:w="0" w:type="auto"/>
          </w:tcPr>
          <w:p w14:paraId="2D066684" w14:textId="77777777" w:rsidR="00A77B3E" w:rsidRPr="00800D1B" w:rsidRDefault="00623E14" w:rsidP="00DF49F1">
            <w:pPr>
              <w:spacing w:before="100" w:after="100"/>
              <w:ind w:left="-72"/>
              <w:rPr>
                <w:color w:val="000000"/>
                <w:sz w:val="20"/>
                <w:lang w:val="sv-SE"/>
              </w:rPr>
            </w:pPr>
            <w:r w:rsidRPr="00800D1B">
              <w:rPr>
                <w:color w:val="000000"/>
                <w:sz w:val="20"/>
                <w:lang w:val="sv-SE"/>
              </w:rPr>
              <w:t>Totalt</w:t>
            </w:r>
          </w:p>
        </w:tc>
        <w:tc>
          <w:tcPr>
            <w:tcW w:w="0" w:type="auto"/>
          </w:tcPr>
          <w:p w14:paraId="2D066685" w14:textId="77777777" w:rsidR="00A77B3E" w:rsidRPr="00800D1B" w:rsidRDefault="00A77B3E" w:rsidP="00DF49F1">
            <w:pPr>
              <w:spacing w:before="100" w:after="100"/>
              <w:ind w:left="-72"/>
              <w:rPr>
                <w:color w:val="000000"/>
                <w:sz w:val="20"/>
                <w:lang w:val="sv-SE"/>
              </w:rPr>
            </w:pPr>
          </w:p>
        </w:tc>
        <w:tc>
          <w:tcPr>
            <w:tcW w:w="0" w:type="auto"/>
          </w:tcPr>
          <w:p w14:paraId="2D066686" w14:textId="77777777" w:rsidR="00A77B3E" w:rsidRPr="00800D1B" w:rsidRDefault="00A77B3E" w:rsidP="00DF49F1">
            <w:pPr>
              <w:spacing w:before="100" w:after="100"/>
              <w:ind w:left="-72"/>
              <w:rPr>
                <w:color w:val="000000"/>
                <w:sz w:val="20"/>
                <w:lang w:val="sv-SE"/>
              </w:rPr>
            </w:pPr>
          </w:p>
        </w:tc>
        <w:tc>
          <w:tcPr>
            <w:tcW w:w="0" w:type="auto"/>
          </w:tcPr>
          <w:p w14:paraId="2D066687" w14:textId="77777777" w:rsidR="00A77B3E" w:rsidRPr="00800D1B" w:rsidRDefault="00623E14" w:rsidP="00DF49F1">
            <w:pPr>
              <w:spacing w:before="100" w:after="100"/>
              <w:ind w:left="-72"/>
              <w:jc w:val="right"/>
              <w:rPr>
                <w:color w:val="000000"/>
                <w:sz w:val="20"/>
                <w:lang w:val="sv-SE"/>
              </w:rPr>
            </w:pPr>
            <w:r w:rsidRPr="00800D1B">
              <w:rPr>
                <w:color w:val="000000"/>
                <w:sz w:val="20"/>
                <w:lang w:val="sv-SE"/>
              </w:rPr>
              <w:t>21 162 324,00</w:t>
            </w:r>
          </w:p>
        </w:tc>
      </w:tr>
    </w:tbl>
    <w:p w14:paraId="2D06668A" w14:textId="5B6B1381" w:rsidR="00A77B3E" w:rsidRPr="00800D1B" w:rsidRDefault="00623E14" w:rsidP="009B5EF9">
      <w:pPr>
        <w:spacing w:before="360" w:after="100"/>
        <w:rPr>
          <w:lang w:val="sv-SE"/>
        </w:rPr>
      </w:pPr>
      <w:bookmarkStart w:id="192" w:name="_Toc256000433"/>
      <w:r w:rsidRPr="00800D1B">
        <w:rPr>
          <w:lang w:val="sv-SE"/>
        </w:rPr>
        <w:t>Tabell 5: Dimension 2 – finansieringsform</w:t>
      </w:r>
      <w:bookmarkEnd w:id="192"/>
    </w:p>
    <w:tbl>
      <w:tblPr>
        <w:tblStyle w:val="Tabellrutnt"/>
        <w:tblW w:w="5000" w:type="pct"/>
        <w:tblLook w:val="04A0" w:firstRow="1" w:lastRow="0" w:firstColumn="1" w:lastColumn="0" w:noHBand="0" w:noVBand="1"/>
        <w:tblDescription w:val="En tabell med sex kolumner: Prioritering; Specifikt mål; Fond; Regionkategori; Kod; Belopp (euro). Tabellen visar information om finansieringsform."/>
      </w:tblPr>
      <w:tblGrid>
        <w:gridCol w:w="1554"/>
        <w:gridCol w:w="1753"/>
        <w:gridCol w:w="962"/>
        <w:gridCol w:w="7552"/>
        <w:gridCol w:w="1494"/>
        <w:gridCol w:w="1857"/>
      </w:tblGrid>
      <w:tr w:rsidR="003422DB" w:rsidRPr="00800D1B" w14:paraId="2D066692" w14:textId="77777777" w:rsidTr="00DF49F1">
        <w:tc>
          <w:tcPr>
            <w:tcW w:w="0" w:type="auto"/>
          </w:tcPr>
          <w:p w14:paraId="2D06668C" w14:textId="77777777" w:rsidR="00A77B3E" w:rsidRPr="00800D1B" w:rsidRDefault="00623E14" w:rsidP="00DF49F1">
            <w:pPr>
              <w:spacing w:before="100" w:after="100"/>
              <w:ind w:left="-72"/>
              <w:jc w:val="center"/>
              <w:rPr>
                <w:color w:val="000000"/>
                <w:sz w:val="20"/>
                <w:lang w:val="sv-SE"/>
              </w:rPr>
            </w:pPr>
            <w:r w:rsidRPr="00800D1B">
              <w:rPr>
                <w:color w:val="000000"/>
                <w:sz w:val="20"/>
                <w:lang w:val="sv-SE"/>
              </w:rPr>
              <w:t>Prioritering</w:t>
            </w:r>
          </w:p>
        </w:tc>
        <w:tc>
          <w:tcPr>
            <w:tcW w:w="0" w:type="auto"/>
          </w:tcPr>
          <w:p w14:paraId="2D06668D" w14:textId="77777777" w:rsidR="00A77B3E" w:rsidRPr="00800D1B" w:rsidRDefault="00623E14" w:rsidP="00DF49F1">
            <w:pPr>
              <w:spacing w:before="100" w:after="100"/>
              <w:ind w:left="-72"/>
              <w:jc w:val="center"/>
              <w:rPr>
                <w:color w:val="000000"/>
                <w:sz w:val="20"/>
                <w:lang w:val="sv-SE"/>
              </w:rPr>
            </w:pPr>
            <w:r w:rsidRPr="00800D1B">
              <w:rPr>
                <w:color w:val="000000"/>
                <w:sz w:val="20"/>
                <w:lang w:val="sv-SE"/>
              </w:rPr>
              <w:t>Specifikt mål</w:t>
            </w:r>
          </w:p>
        </w:tc>
        <w:tc>
          <w:tcPr>
            <w:tcW w:w="0" w:type="auto"/>
          </w:tcPr>
          <w:p w14:paraId="2D06668E" w14:textId="77777777" w:rsidR="00A77B3E" w:rsidRPr="00800D1B" w:rsidRDefault="00623E14" w:rsidP="00DF49F1">
            <w:pPr>
              <w:spacing w:before="100" w:after="100"/>
              <w:ind w:left="-72"/>
              <w:jc w:val="center"/>
              <w:rPr>
                <w:color w:val="000000"/>
                <w:sz w:val="20"/>
                <w:lang w:val="sv-SE"/>
              </w:rPr>
            </w:pPr>
            <w:r w:rsidRPr="00800D1B">
              <w:rPr>
                <w:color w:val="000000"/>
                <w:sz w:val="20"/>
                <w:lang w:val="sv-SE"/>
              </w:rPr>
              <w:t>Fond</w:t>
            </w:r>
          </w:p>
        </w:tc>
        <w:tc>
          <w:tcPr>
            <w:tcW w:w="0" w:type="auto"/>
          </w:tcPr>
          <w:p w14:paraId="2D06668F" w14:textId="77777777" w:rsidR="00A77B3E" w:rsidRPr="00800D1B" w:rsidRDefault="00623E14" w:rsidP="00DF49F1">
            <w:pPr>
              <w:spacing w:before="100" w:after="100"/>
              <w:ind w:left="-72"/>
              <w:jc w:val="center"/>
              <w:rPr>
                <w:color w:val="000000"/>
                <w:sz w:val="20"/>
                <w:lang w:val="sv-SE"/>
              </w:rPr>
            </w:pPr>
            <w:r w:rsidRPr="00800D1B">
              <w:rPr>
                <w:color w:val="000000"/>
                <w:sz w:val="20"/>
                <w:lang w:val="sv-SE"/>
              </w:rPr>
              <w:t>Regionkategori</w:t>
            </w:r>
          </w:p>
        </w:tc>
        <w:tc>
          <w:tcPr>
            <w:tcW w:w="0" w:type="auto"/>
          </w:tcPr>
          <w:p w14:paraId="2D066690" w14:textId="77777777" w:rsidR="00A77B3E" w:rsidRPr="00800D1B" w:rsidRDefault="00623E14" w:rsidP="00DF49F1">
            <w:pPr>
              <w:spacing w:before="100" w:after="100"/>
              <w:ind w:left="-72"/>
              <w:jc w:val="center"/>
              <w:rPr>
                <w:color w:val="000000"/>
                <w:sz w:val="20"/>
                <w:lang w:val="sv-SE"/>
              </w:rPr>
            </w:pPr>
            <w:r w:rsidRPr="00800D1B">
              <w:rPr>
                <w:color w:val="000000"/>
                <w:sz w:val="20"/>
                <w:lang w:val="sv-SE"/>
              </w:rPr>
              <w:t>Kod</w:t>
            </w:r>
          </w:p>
        </w:tc>
        <w:tc>
          <w:tcPr>
            <w:tcW w:w="0" w:type="auto"/>
          </w:tcPr>
          <w:p w14:paraId="2D066691" w14:textId="77777777" w:rsidR="00A77B3E" w:rsidRPr="00800D1B" w:rsidRDefault="00623E14" w:rsidP="00DF49F1">
            <w:pPr>
              <w:spacing w:before="100" w:after="100"/>
              <w:ind w:left="-72"/>
              <w:jc w:val="center"/>
              <w:rPr>
                <w:color w:val="000000"/>
                <w:sz w:val="20"/>
                <w:lang w:val="sv-SE"/>
              </w:rPr>
            </w:pPr>
            <w:r w:rsidRPr="00800D1B">
              <w:rPr>
                <w:color w:val="000000"/>
                <w:sz w:val="20"/>
                <w:lang w:val="sv-SE"/>
              </w:rPr>
              <w:t>Belopp (euro)</w:t>
            </w:r>
          </w:p>
        </w:tc>
      </w:tr>
      <w:tr w:rsidR="003422DB" w:rsidRPr="00800D1B" w14:paraId="2D066699" w14:textId="77777777" w:rsidTr="00DF49F1">
        <w:tc>
          <w:tcPr>
            <w:tcW w:w="0" w:type="auto"/>
          </w:tcPr>
          <w:p w14:paraId="2D066693" w14:textId="77777777" w:rsidR="00A77B3E" w:rsidRPr="00800D1B" w:rsidRDefault="00623E14" w:rsidP="00DF49F1">
            <w:pPr>
              <w:spacing w:before="100" w:after="100"/>
              <w:ind w:left="-72"/>
              <w:rPr>
                <w:color w:val="000000"/>
                <w:sz w:val="20"/>
                <w:lang w:val="sv-SE"/>
              </w:rPr>
            </w:pPr>
            <w:r w:rsidRPr="00800D1B">
              <w:rPr>
                <w:color w:val="000000"/>
                <w:sz w:val="20"/>
                <w:lang w:val="sv-SE"/>
              </w:rPr>
              <w:t>5</w:t>
            </w:r>
          </w:p>
        </w:tc>
        <w:tc>
          <w:tcPr>
            <w:tcW w:w="0" w:type="auto"/>
          </w:tcPr>
          <w:p w14:paraId="2D066694" w14:textId="77777777" w:rsidR="00A77B3E" w:rsidRPr="00800D1B" w:rsidRDefault="00623E14" w:rsidP="00DF49F1">
            <w:pPr>
              <w:spacing w:before="100" w:after="100"/>
              <w:ind w:left="-72"/>
              <w:rPr>
                <w:color w:val="000000"/>
                <w:sz w:val="20"/>
                <w:lang w:val="sv-SE"/>
              </w:rPr>
            </w:pPr>
            <w:r w:rsidRPr="00800D1B">
              <w:rPr>
                <w:color w:val="000000"/>
                <w:sz w:val="20"/>
                <w:lang w:val="sv-SE"/>
              </w:rPr>
              <w:t>RSO3.2</w:t>
            </w:r>
          </w:p>
        </w:tc>
        <w:tc>
          <w:tcPr>
            <w:tcW w:w="0" w:type="auto"/>
          </w:tcPr>
          <w:p w14:paraId="2D066695" w14:textId="77777777" w:rsidR="00A77B3E" w:rsidRPr="00800D1B" w:rsidRDefault="00623E14" w:rsidP="00DF49F1">
            <w:pPr>
              <w:spacing w:before="100" w:after="100"/>
              <w:ind w:left="-72"/>
              <w:rPr>
                <w:color w:val="000000"/>
                <w:sz w:val="20"/>
                <w:lang w:val="sv-SE"/>
              </w:rPr>
            </w:pPr>
            <w:r w:rsidRPr="00800D1B">
              <w:rPr>
                <w:color w:val="000000"/>
                <w:sz w:val="20"/>
                <w:lang w:val="sv-SE"/>
              </w:rPr>
              <w:t>Eruf</w:t>
            </w:r>
          </w:p>
        </w:tc>
        <w:tc>
          <w:tcPr>
            <w:tcW w:w="0" w:type="auto"/>
          </w:tcPr>
          <w:p w14:paraId="2D066696" w14:textId="77777777" w:rsidR="00A77B3E" w:rsidRPr="00800D1B" w:rsidRDefault="00623E14" w:rsidP="00DF49F1">
            <w:pPr>
              <w:spacing w:before="100" w:after="100"/>
              <w:ind w:left="-72"/>
              <w:rPr>
                <w:color w:val="000000"/>
                <w:sz w:val="20"/>
                <w:lang w:val="sv-SE"/>
              </w:rPr>
            </w:pPr>
            <w:r w:rsidRPr="00800D1B">
              <w:rPr>
                <w:color w:val="000000"/>
                <w:sz w:val="20"/>
                <w:lang w:val="sv-SE"/>
              </w:rPr>
              <w:t>De yttersta randområdena eller de nordliga glesbefolkade områdena</w:t>
            </w:r>
          </w:p>
        </w:tc>
        <w:tc>
          <w:tcPr>
            <w:tcW w:w="0" w:type="auto"/>
          </w:tcPr>
          <w:p w14:paraId="2D066697" w14:textId="77777777" w:rsidR="00A77B3E" w:rsidRPr="00800D1B" w:rsidRDefault="00623E14" w:rsidP="00DF49F1">
            <w:pPr>
              <w:spacing w:before="100" w:after="100"/>
              <w:ind w:left="-72"/>
              <w:rPr>
                <w:color w:val="000000"/>
                <w:sz w:val="20"/>
                <w:lang w:val="sv-SE"/>
              </w:rPr>
            </w:pPr>
            <w:r w:rsidRPr="00800D1B">
              <w:rPr>
                <w:color w:val="000000"/>
                <w:sz w:val="20"/>
                <w:lang w:val="sv-SE"/>
              </w:rPr>
              <w:t>01. Bevilja</w:t>
            </w:r>
          </w:p>
        </w:tc>
        <w:tc>
          <w:tcPr>
            <w:tcW w:w="0" w:type="auto"/>
          </w:tcPr>
          <w:p w14:paraId="2D066698" w14:textId="77777777" w:rsidR="00A77B3E" w:rsidRPr="00800D1B" w:rsidRDefault="00623E14" w:rsidP="00DF49F1">
            <w:pPr>
              <w:spacing w:before="100" w:after="100"/>
              <w:ind w:left="-72"/>
              <w:jc w:val="right"/>
              <w:rPr>
                <w:color w:val="000000"/>
                <w:sz w:val="20"/>
                <w:lang w:val="sv-SE"/>
              </w:rPr>
            </w:pPr>
            <w:r w:rsidRPr="00800D1B">
              <w:rPr>
                <w:color w:val="000000"/>
                <w:sz w:val="20"/>
                <w:lang w:val="sv-SE"/>
              </w:rPr>
              <w:t>21 162 324,00</w:t>
            </w:r>
          </w:p>
        </w:tc>
      </w:tr>
      <w:tr w:rsidR="003422DB" w:rsidRPr="00800D1B" w14:paraId="2D0666A0" w14:textId="77777777" w:rsidTr="00DF49F1">
        <w:tc>
          <w:tcPr>
            <w:tcW w:w="0" w:type="auto"/>
          </w:tcPr>
          <w:p w14:paraId="2D06669A" w14:textId="77777777" w:rsidR="00A77B3E" w:rsidRPr="00800D1B" w:rsidRDefault="00623E14" w:rsidP="00DF49F1">
            <w:pPr>
              <w:spacing w:before="100" w:after="100"/>
              <w:ind w:left="-72"/>
              <w:rPr>
                <w:color w:val="000000"/>
                <w:sz w:val="20"/>
                <w:lang w:val="sv-SE"/>
              </w:rPr>
            </w:pPr>
            <w:r w:rsidRPr="00800D1B">
              <w:rPr>
                <w:color w:val="000000"/>
                <w:sz w:val="20"/>
                <w:lang w:val="sv-SE"/>
              </w:rPr>
              <w:t>5</w:t>
            </w:r>
          </w:p>
        </w:tc>
        <w:tc>
          <w:tcPr>
            <w:tcW w:w="0" w:type="auto"/>
          </w:tcPr>
          <w:p w14:paraId="2D06669B" w14:textId="77777777" w:rsidR="00A77B3E" w:rsidRPr="00800D1B" w:rsidRDefault="00623E14" w:rsidP="00DF49F1">
            <w:pPr>
              <w:spacing w:before="100" w:after="100"/>
              <w:ind w:left="-72"/>
              <w:rPr>
                <w:color w:val="000000"/>
                <w:sz w:val="20"/>
                <w:lang w:val="sv-SE"/>
              </w:rPr>
            </w:pPr>
            <w:r w:rsidRPr="00800D1B">
              <w:rPr>
                <w:color w:val="000000"/>
                <w:sz w:val="20"/>
                <w:lang w:val="sv-SE"/>
              </w:rPr>
              <w:t>RSO3.2</w:t>
            </w:r>
          </w:p>
        </w:tc>
        <w:tc>
          <w:tcPr>
            <w:tcW w:w="0" w:type="auto"/>
          </w:tcPr>
          <w:p w14:paraId="2D06669C" w14:textId="77777777" w:rsidR="00A77B3E" w:rsidRPr="00800D1B" w:rsidRDefault="00623E14" w:rsidP="00DF49F1">
            <w:pPr>
              <w:spacing w:before="100" w:after="100"/>
              <w:ind w:left="-72"/>
              <w:rPr>
                <w:color w:val="000000"/>
                <w:sz w:val="20"/>
                <w:lang w:val="sv-SE"/>
              </w:rPr>
            </w:pPr>
            <w:r w:rsidRPr="00800D1B">
              <w:rPr>
                <w:color w:val="000000"/>
                <w:sz w:val="20"/>
                <w:lang w:val="sv-SE"/>
              </w:rPr>
              <w:t>Totalt</w:t>
            </w:r>
          </w:p>
        </w:tc>
        <w:tc>
          <w:tcPr>
            <w:tcW w:w="0" w:type="auto"/>
          </w:tcPr>
          <w:p w14:paraId="2D06669D" w14:textId="77777777" w:rsidR="00A77B3E" w:rsidRPr="00800D1B" w:rsidRDefault="00A77B3E" w:rsidP="00DF49F1">
            <w:pPr>
              <w:spacing w:before="100" w:after="100"/>
              <w:ind w:left="-72"/>
              <w:rPr>
                <w:color w:val="000000"/>
                <w:sz w:val="20"/>
                <w:lang w:val="sv-SE"/>
              </w:rPr>
            </w:pPr>
          </w:p>
        </w:tc>
        <w:tc>
          <w:tcPr>
            <w:tcW w:w="0" w:type="auto"/>
          </w:tcPr>
          <w:p w14:paraId="2D06669E" w14:textId="77777777" w:rsidR="00A77B3E" w:rsidRPr="00800D1B" w:rsidRDefault="00A77B3E" w:rsidP="00DF49F1">
            <w:pPr>
              <w:spacing w:before="100" w:after="100"/>
              <w:ind w:left="-72"/>
              <w:rPr>
                <w:color w:val="000000"/>
                <w:sz w:val="20"/>
                <w:lang w:val="sv-SE"/>
              </w:rPr>
            </w:pPr>
          </w:p>
        </w:tc>
        <w:tc>
          <w:tcPr>
            <w:tcW w:w="0" w:type="auto"/>
          </w:tcPr>
          <w:p w14:paraId="2D06669F" w14:textId="77777777" w:rsidR="00A77B3E" w:rsidRPr="00800D1B" w:rsidRDefault="00623E14" w:rsidP="00DF49F1">
            <w:pPr>
              <w:spacing w:before="100" w:after="100"/>
              <w:ind w:left="-72"/>
              <w:jc w:val="right"/>
              <w:rPr>
                <w:color w:val="000000"/>
                <w:sz w:val="20"/>
                <w:lang w:val="sv-SE"/>
              </w:rPr>
            </w:pPr>
            <w:r w:rsidRPr="00800D1B">
              <w:rPr>
                <w:color w:val="000000"/>
                <w:sz w:val="20"/>
                <w:lang w:val="sv-SE"/>
              </w:rPr>
              <w:t>21 162 324,00</w:t>
            </w:r>
          </w:p>
        </w:tc>
      </w:tr>
    </w:tbl>
    <w:p w14:paraId="2D0666A2" w14:textId="05EDCF2D" w:rsidR="00A77B3E" w:rsidRPr="00800D1B" w:rsidRDefault="00623E14" w:rsidP="009B5EF9">
      <w:pPr>
        <w:spacing w:before="360" w:after="100"/>
        <w:rPr>
          <w:lang w:val="sv-SE"/>
        </w:rPr>
      </w:pPr>
      <w:bookmarkStart w:id="193" w:name="_Toc256000434"/>
      <w:r w:rsidRPr="00800D1B">
        <w:rPr>
          <w:lang w:val="sv-SE"/>
        </w:rPr>
        <w:t>Tabell 6: Dimension 3 – territoriell genomförandemetod och territoriellt fokus</w:t>
      </w:r>
      <w:bookmarkEnd w:id="193"/>
    </w:p>
    <w:p w14:paraId="2D0666A3" w14:textId="77777777" w:rsidR="00A77B3E" w:rsidRPr="00800D1B" w:rsidRDefault="00A77B3E">
      <w:pPr>
        <w:spacing w:before="100"/>
        <w:rPr>
          <w:color w:val="000000"/>
          <w:sz w:val="0"/>
          <w:lang w:val="sv-SE"/>
        </w:rPr>
      </w:pPr>
    </w:p>
    <w:tbl>
      <w:tblPr>
        <w:tblStyle w:val="Tabellrutnt"/>
        <w:tblW w:w="5000" w:type="pct"/>
        <w:tblLook w:val="04A0" w:firstRow="1" w:lastRow="0" w:firstColumn="1" w:lastColumn="0" w:noHBand="0" w:noVBand="1"/>
        <w:tblDescription w:val="En tabell med sex kolumner: Prioritering; Specifikt mål; Fond; Regionkategori; Kod; Belopp (euro). Tabellen visar information om territoriell genomförandemetod och territoriellt fokus."/>
      </w:tblPr>
      <w:tblGrid>
        <w:gridCol w:w="1237"/>
        <w:gridCol w:w="1394"/>
        <w:gridCol w:w="765"/>
        <w:gridCol w:w="6008"/>
        <w:gridCol w:w="4291"/>
        <w:gridCol w:w="1477"/>
      </w:tblGrid>
      <w:tr w:rsidR="003422DB" w:rsidRPr="00800D1B" w14:paraId="2D0666AA" w14:textId="77777777" w:rsidTr="00DF49F1">
        <w:tc>
          <w:tcPr>
            <w:tcW w:w="0" w:type="auto"/>
          </w:tcPr>
          <w:p w14:paraId="2D0666A4" w14:textId="77777777" w:rsidR="00A77B3E" w:rsidRPr="00800D1B" w:rsidRDefault="00623E14" w:rsidP="00DF49F1">
            <w:pPr>
              <w:spacing w:before="100" w:after="100"/>
              <w:ind w:left="-72"/>
              <w:jc w:val="center"/>
              <w:rPr>
                <w:color w:val="000000"/>
                <w:sz w:val="20"/>
                <w:lang w:val="sv-SE"/>
              </w:rPr>
            </w:pPr>
            <w:r w:rsidRPr="00800D1B">
              <w:rPr>
                <w:color w:val="000000"/>
                <w:sz w:val="20"/>
                <w:lang w:val="sv-SE"/>
              </w:rPr>
              <w:t>Prioritering</w:t>
            </w:r>
          </w:p>
        </w:tc>
        <w:tc>
          <w:tcPr>
            <w:tcW w:w="0" w:type="auto"/>
          </w:tcPr>
          <w:p w14:paraId="2D0666A5" w14:textId="77777777" w:rsidR="00A77B3E" w:rsidRPr="00800D1B" w:rsidRDefault="00623E14" w:rsidP="00DF49F1">
            <w:pPr>
              <w:spacing w:before="100" w:after="100"/>
              <w:ind w:left="-72"/>
              <w:jc w:val="center"/>
              <w:rPr>
                <w:color w:val="000000"/>
                <w:sz w:val="20"/>
                <w:lang w:val="sv-SE"/>
              </w:rPr>
            </w:pPr>
            <w:r w:rsidRPr="00800D1B">
              <w:rPr>
                <w:color w:val="000000"/>
                <w:sz w:val="20"/>
                <w:lang w:val="sv-SE"/>
              </w:rPr>
              <w:t>Specifikt mål</w:t>
            </w:r>
          </w:p>
        </w:tc>
        <w:tc>
          <w:tcPr>
            <w:tcW w:w="0" w:type="auto"/>
          </w:tcPr>
          <w:p w14:paraId="2D0666A6" w14:textId="77777777" w:rsidR="00A77B3E" w:rsidRPr="00800D1B" w:rsidRDefault="00623E14" w:rsidP="00DF49F1">
            <w:pPr>
              <w:spacing w:before="100" w:after="100"/>
              <w:ind w:left="-72"/>
              <w:jc w:val="center"/>
              <w:rPr>
                <w:color w:val="000000"/>
                <w:sz w:val="20"/>
                <w:lang w:val="sv-SE"/>
              </w:rPr>
            </w:pPr>
            <w:r w:rsidRPr="00800D1B">
              <w:rPr>
                <w:color w:val="000000"/>
                <w:sz w:val="20"/>
                <w:lang w:val="sv-SE"/>
              </w:rPr>
              <w:t>Fond</w:t>
            </w:r>
          </w:p>
        </w:tc>
        <w:tc>
          <w:tcPr>
            <w:tcW w:w="0" w:type="auto"/>
          </w:tcPr>
          <w:p w14:paraId="2D0666A7" w14:textId="77777777" w:rsidR="00A77B3E" w:rsidRPr="00800D1B" w:rsidRDefault="00623E14" w:rsidP="00DF49F1">
            <w:pPr>
              <w:spacing w:before="100" w:after="100"/>
              <w:ind w:left="-72"/>
              <w:jc w:val="center"/>
              <w:rPr>
                <w:color w:val="000000"/>
                <w:sz w:val="20"/>
                <w:lang w:val="sv-SE"/>
              </w:rPr>
            </w:pPr>
            <w:r w:rsidRPr="00800D1B">
              <w:rPr>
                <w:color w:val="000000"/>
                <w:sz w:val="20"/>
                <w:lang w:val="sv-SE"/>
              </w:rPr>
              <w:t>Regionkategori</w:t>
            </w:r>
          </w:p>
        </w:tc>
        <w:tc>
          <w:tcPr>
            <w:tcW w:w="0" w:type="auto"/>
          </w:tcPr>
          <w:p w14:paraId="2D0666A8" w14:textId="77777777" w:rsidR="00A77B3E" w:rsidRPr="00800D1B" w:rsidRDefault="00623E14" w:rsidP="00DF49F1">
            <w:pPr>
              <w:spacing w:before="100" w:after="100"/>
              <w:ind w:left="-72"/>
              <w:jc w:val="center"/>
              <w:rPr>
                <w:color w:val="000000"/>
                <w:sz w:val="20"/>
                <w:lang w:val="sv-SE"/>
              </w:rPr>
            </w:pPr>
            <w:r w:rsidRPr="00800D1B">
              <w:rPr>
                <w:color w:val="000000"/>
                <w:sz w:val="20"/>
                <w:lang w:val="sv-SE"/>
              </w:rPr>
              <w:t>Kod</w:t>
            </w:r>
          </w:p>
        </w:tc>
        <w:tc>
          <w:tcPr>
            <w:tcW w:w="0" w:type="auto"/>
          </w:tcPr>
          <w:p w14:paraId="2D0666A9" w14:textId="77777777" w:rsidR="00A77B3E" w:rsidRPr="00800D1B" w:rsidRDefault="00623E14" w:rsidP="00DF49F1">
            <w:pPr>
              <w:spacing w:before="100" w:after="100"/>
              <w:ind w:left="-72"/>
              <w:jc w:val="center"/>
              <w:rPr>
                <w:color w:val="000000"/>
                <w:sz w:val="20"/>
                <w:lang w:val="sv-SE"/>
              </w:rPr>
            </w:pPr>
            <w:r w:rsidRPr="00800D1B">
              <w:rPr>
                <w:color w:val="000000"/>
                <w:sz w:val="20"/>
                <w:lang w:val="sv-SE"/>
              </w:rPr>
              <w:t>Belopp (euro)</w:t>
            </w:r>
          </w:p>
        </w:tc>
      </w:tr>
      <w:tr w:rsidR="003422DB" w:rsidRPr="00800D1B" w14:paraId="2D0666B1" w14:textId="77777777" w:rsidTr="00DF49F1">
        <w:tc>
          <w:tcPr>
            <w:tcW w:w="0" w:type="auto"/>
          </w:tcPr>
          <w:p w14:paraId="2D0666AB" w14:textId="77777777" w:rsidR="00A77B3E" w:rsidRPr="00800D1B" w:rsidRDefault="00623E14" w:rsidP="00DF49F1">
            <w:pPr>
              <w:spacing w:before="100" w:after="100"/>
              <w:ind w:left="-72"/>
              <w:rPr>
                <w:color w:val="000000"/>
                <w:sz w:val="20"/>
                <w:lang w:val="sv-SE"/>
              </w:rPr>
            </w:pPr>
            <w:r w:rsidRPr="00800D1B">
              <w:rPr>
                <w:color w:val="000000"/>
                <w:sz w:val="20"/>
                <w:lang w:val="sv-SE"/>
              </w:rPr>
              <w:t>5</w:t>
            </w:r>
          </w:p>
        </w:tc>
        <w:tc>
          <w:tcPr>
            <w:tcW w:w="0" w:type="auto"/>
          </w:tcPr>
          <w:p w14:paraId="2D0666AC" w14:textId="77777777" w:rsidR="00A77B3E" w:rsidRPr="00800D1B" w:rsidRDefault="00623E14" w:rsidP="00DF49F1">
            <w:pPr>
              <w:spacing w:before="100" w:after="100"/>
              <w:ind w:left="-72"/>
              <w:rPr>
                <w:color w:val="000000"/>
                <w:sz w:val="20"/>
                <w:lang w:val="sv-SE"/>
              </w:rPr>
            </w:pPr>
            <w:r w:rsidRPr="00800D1B">
              <w:rPr>
                <w:color w:val="000000"/>
                <w:sz w:val="20"/>
                <w:lang w:val="sv-SE"/>
              </w:rPr>
              <w:t>RSO3.2</w:t>
            </w:r>
          </w:p>
        </w:tc>
        <w:tc>
          <w:tcPr>
            <w:tcW w:w="0" w:type="auto"/>
          </w:tcPr>
          <w:p w14:paraId="2D0666AD" w14:textId="77777777" w:rsidR="00A77B3E" w:rsidRPr="00800D1B" w:rsidRDefault="00623E14" w:rsidP="00DF49F1">
            <w:pPr>
              <w:spacing w:before="100" w:after="100"/>
              <w:ind w:left="-72"/>
              <w:rPr>
                <w:color w:val="000000"/>
                <w:sz w:val="20"/>
                <w:lang w:val="sv-SE"/>
              </w:rPr>
            </w:pPr>
            <w:r w:rsidRPr="00800D1B">
              <w:rPr>
                <w:color w:val="000000"/>
                <w:sz w:val="20"/>
                <w:lang w:val="sv-SE"/>
              </w:rPr>
              <w:t>Eruf</w:t>
            </w:r>
          </w:p>
        </w:tc>
        <w:tc>
          <w:tcPr>
            <w:tcW w:w="0" w:type="auto"/>
          </w:tcPr>
          <w:p w14:paraId="2D0666AE" w14:textId="77777777" w:rsidR="00A77B3E" w:rsidRPr="00800D1B" w:rsidRDefault="00623E14" w:rsidP="00DF49F1">
            <w:pPr>
              <w:spacing w:before="100" w:after="100"/>
              <w:ind w:left="-72"/>
              <w:rPr>
                <w:color w:val="000000"/>
                <w:sz w:val="20"/>
                <w:lang w:val="sv-SE"/>
              </w:rPr>
            </w:pPr>
            <w:r w:rsidRPr="00800D1B">
              <w:rPr>
                <w:color w:val="000000"/>
                <w:sz w:val="20"/>
                <w:lang w:val="sv-SE"/>
              </w:rPr>
              <w:t>De yttersta randområdena eller de nordliga glesbefolkade områdena</w:t>
            </w:r>
          </w:p>
        </w:tc>
        <w:tc>
          <w:tcPr>
            <w:tcW w:w="0" w:type="auto"/>
          </w:tcPr>
          <w:p w14:paraId="2D0666AF" w14:textId="77777777" w:rsidR="00A77B3E" w:rsidRPr="00800D1B" w:rsidRDefault="00623E14" w:rsidP="00DF49F1">
            <w:pPr>
              <w:spacing w:before="100" w:after="100"/>
              <w:ind w:left="-72"/>
              <w:rPr>
                <w:color w:val="000000"/>
                <w:sz w:val="20"/>
                <w:lang w:val="sv-SE"/>
              </w:rPr>
            </w:pPr>
            <w:r w:rsidRPr="00800D1B">
              <w:rPr>
                <w:color w:val="000000"/>
                <w:sz w:val="20"/>
                <w:lang w:val="sv-SE"/>
              </w:rPr>
              <w:t>31. Andra strategier – Glest befolkade områden</w:t>
            </w:r>
          </w:p>
        </w:tc>
        <w:tc>
          <w:tcPr>
            <w:tcW w:w="0" w:type="auto"/>
          </w:tcPr>
          <w:p w14:paraId="2D0666B0" w14:textId="77777777" w:rsidR="00A77B3E" w:rsidRPr="00800D1B" w:rsidRDefault="00623E14" w:rsidP="00DF49F1">
            <w:pPr>
              <w:spacing w:before="100" w:after="100"/>
              <w:ind w:left="-72"/>
              <w:jc w:val="right"/>
              <w:rPr>
                <w:color w:val="000000"/>
                <w:sz w:val="20"/>
                <w:lang w:val="sv-SE"/>
              </w:rPr>
            </w:pPr>
            <w:r w:rsidRPr="00800D1B">
              <w:rPr>
                <w:color w:val="000000"/>
                <w:sz w:val="20"/>
                <w:lang w:val="sv-SE"/>
              </w:rPr>
              <w:t>21 162 324,00</w:t>
            </w:r>
          </w:p>
        </w:tc>
      </w:tr>
      <w:tr w:rsidR="003422DB" w:rsidRPr="00800D1B" w14:paraId="2D0666B8" w14:textId="77777777" w:rsidTr="00DF49F1">
        <w:tc>
          <w:tcPr>
            <w:tcW w:w="0" w:type="auto"/>
          </w:tcPr>
          <w:p w14:paraId="2D0666B2" w14:textId="77777777" w:rsidR="00A77B3E" w:rsidRPr="00800D1B" w:rsidRDefault="00623E14" w:rsidP="00DF49F1">
            <w:pPr>
              <w:spacing w:before="100" w:after="100"/>
              <w:ind w:left="-72"/>
              <w:rPr>
                <w:color w:val="000000"/>
                <w:sz w:val="20"/>
                <w:lang w:val="sv-SE"/>
              </w:rPr>
            </w:pPr>
            <w:r w:rsidRPr="00800D1B">
              <w:rPr>
                <w:color w:val="000000"/>
                <w:sz w:val="20"/>
                <w:lang w:val="sv-SE"/>
              </w:rPr>
              <w:t>5</w:t>
            </w:r>
          </w:p>
        </w:tc>
        <w:tc>
          <w:tcPr>
            <w:tcW w:w="0" w:type="auto"/>
          </w:tcPr>
          <w:p w14:paraId="2D0666B3" w14:textId="77777777" w:rsidR="00A77B3E" w:rsidRPr="00800D1B" w:rsidRDefault="00623E14" w:rsidP="00DF49F1">
            <w:pPr>
              <w:spacing w:before="100" w:after="100"/>
              <w:ind w:left="-72"/>
              <w:rPr>
                <w:color w:val="000000"/>
                <w:sz w:val="20"/>
                <w:lang w:val="sv-SE"/>
              </w:rPr>
            </w:pPr>
            <w:r w:rsidRPr="00800D1B">
              <w:rPr>
                <w:color w:val="000000"/>
                <w:sz w:val="20"/>
                <w:lang w:val="sv-SE"/>
              </w:rPr>
              <w:t>RSO3.2</w:t>
            </w:r>
          </w:p>
        </w:tc>
        <w:tc>
          <w:tcPr>
            <w:tcW w:w="0" w:type="auto"/>
          </w:tcPr>
          <w:p w14:paraId="2D0666B4" w14:textId="77777777" w:rsidR="00A77B3E" w:rsidRPr="00800D1B" w:rsidRDefault="00623E14" w:rsidP="00DF49F1">
            <w:pPr>
              <w:spacing w:before="100" w:after="100"/>
              <w:ind w:left="-72"/>
              <w:rPr>
                <w:color w:val="000000"/>
                <w:sz w:val="20"/>
                <w:lang w:val="sv-SE"/>
              </w:rPr>
            </w:pPr>
            <w:r w:rsidRPr="00800D1B">
              <w:rPr>
                <w:color w:val="000000"/>
                <w:sz w:val="20"/>
                <w:lang w:val="sv-SE"/>
              </w:rPr>
              <w:t>Totalt</w:t>
            </w:r>
          </w:p>
        </w:tc>
        <w:tc>
          <w:tcPr>
            <w:tcW w:w="0" w:type="auto"/>
          </w:tcPr>
          <w:p w14:paraId="2D0666B5" w14:textId="77777777" w:rsidR="00A77B3E" w:rsidRPr="00800D1B" w:rsidRDefault="00A77B3E" w:rsidP="00DF49F1">
            <w:pPr>
              <w:spacing w:before="100" w:after="100"/>
              <w:ind w:left="-72"/>
              <w:rPr>
                <w:color w:val="000000"/>
                <w:sz w:val="20"/>
                <w:lang w:val="sv-SE"/>
              </w:rPr>
            </w:pPr>
          </w:p>
        </w:tc>
        <w:tc>
          <w:tcPr>
            <w:tcW w:w="0" w:type="auto"/>
          </w:tcPr>
          <w:p w14:paraId="2D0666B6" w14:textId="77777777" w:rsidR="00A77B3E" w:rsidRPr="00800D1B" w:rsidRDefault="00A77B3E" w:rsidP="00DF49F1">
            <w:pPr>
              <w:spacing w:before="100" w:after="100"/>
              <w:ind w:left="-72"/>
              <w:rPr>
                <w:color w:val="000000"/>
                <w:sz w:val="20"/>
                <w:lang w:val="sv-SE"/>
              </w:rPr>
            </w:pPr>
          </w:p>
        </w:tc>
        <w:tc>
          <w:tcPr>
            <w:tcW w:w="0" w:type="auto"/>
          </w:tcPr>
          <w:p w14:paraId="2D0666B7" w14:textId="77777777" w:rsidR="00A77B3E" w:rsidRPr="00800D1B" w:rsidRDefault="00623E14" w:rsidP="00DF49F1">
            <w:pPr>
              <w:spacing w:before="100" w:after="100"/>
              <w:ind w:left="-72"/>
              <w:jc w:val="right"/>
              <w:rPr>
                <w:color w:val="000000"/>
                <w:sz w:val="20"/>
                <w:lang w:val="sv-SE"/>
              </w:rPr>
            </w:pPr>
            <w:r w:rsidRPr="00800D1B">
              <w:rPr>
                <w:color w:val="000000"/>
                <w:sz w:val="20"/>
                <w:lang w:val="sv-SE"/>
              </w:rPr>
              <w:t>21 162 324,00</w:t>
            </w:r>
          </w:p>
        </w:tc>
      </w:tr>
    </w:tbl>
    <w:p w14:paraId="2D0666BA" w14:textId="57C67167" w:rsidR="00A77B3E" w:rsidRPr="00800D1B" w:rsidRDefault="00623E14" w:rsidP="009B5EF9">
      <w:pPr>
        <w:spacing w:before="360" w:after="100"/>
        <w:rPr>
          <w:lang w:val="sv-SE"/>
        </w:rPr>
      </w:pPr>
      <w:bookmarkStart w:id="194" w:name="_Toc256000435"/>
      <w:r w:rsidRPr="00800D1B">
        <w:rPr>
          <w:lang w:val="sv-SE"/>
        </w:rPr>
        <w:t>Tabell 7: Dimension 6 – ESF+-sekundärteman</w:t>
      </w:r>
      <w:bookmarkEnd w:id="194"/>
    </w:p>
    <w:p w14:paraId="2D0666BB" w14:textId="77777777" w:rsidR="00A77B3E" w:rsidRPr="00800D1B" w:rsidRDefault="00A77B3E">
      <w:pPr>
        <w:spacing w:before="100"/>
        <w:rPr>
          <w:color w:val="000000"/>
          <w:sz w:val="0"/>
          <w:lang w:val="sv-SE"/>
        </w:rPr>
      </w:pPr>
    </w:p>
    <w:tbl>
      <w:tblPr>
        <w:tblStyle w:val="Tabellrutnt"/>
        <w:tblW w:w="5000" w:type="pct"/>
        <w:tblLook w:val="04A0" w:firstRow="1" w:lastRow="0" w:firstColumn="1" w:lastColumn="0" w:noHBand="0" w:noVBand="1"/>
        <w:tblDescription w:val="En tabell med sex kolumner: Prioritering; Specifikt mål; Fond; Regionkategori; Kod; Belopp (euro). Tabellen visar information om ESF+-sekundärteman."/>
      </w:tblPr>
      <w:tblGrid>
        <w:gridCol w:w="2696"/>
        <w:gridCol w:w="3040"/>
        <w:gridCol w:w="1516"/>
        <w:gridCol w:w="3415"/>
        <w:gridCol w:w="1361"/>
        <w:gridCol w:w="3144"/>
      </w:tblGrid>
      <w:tr w:rsidR="003422DB" w:rsidRPr="00800D1B" w14:paraId="2D0666C2" w14:textId="77777777" w:rsidTr="00DF49F1">
        <w:tc>
          <w:tcPr>
            <w:tcW w:w="0" w:type="auto"/>
          </w:tcPr>
          <w:p w14:paraId="2D0666BC" w14:textId="77777777" w:rsidR="00A77B3E" w:rsidRPr="00800D1B" w:rsidRDefault="00623E14" w:rsidP="00DF49F1">
            <w:pPr>
              <w:spacing w:before="100" w:after="100"/>
              <w:ind w:left="-72"/>
              <w:jc w:val="center"/>
              <w:rPr>
                <w:color w:val="000000"/>
                <w:sz w:val="20"/>
                <w:lang w:val="sv-SE"/>
              </w:rPr>
            </w:pPr>
            <w:r w:rsidRPr="00800D1B">
              <w:rPr>
                <w:color w:val="000000"/>
                <w:sz w:val="20"/>
                <w:lang w:val="sv-SE"/>
              </w:rPr>
              <w:t>Prioritering</w:t>
            </w:r>
          </w:p>
        </w:tc>
        <w:tc>
          <w:tcPr>
            <w:tcW w:w="0" w:type="auto"/>
          </w:tcPr>
          <w:p w14:paraId="2D0666BD" w14:textId="77777777" w:rsidR="00A77B3E" w:rsidRPr="00800D1B" w:rsidRDefault="00623E14" w:rsidP="00DF49F1">
            <w:pPr>
              <w:spacing w:before="100" w:after="100"/>
              <w:ind w:left="-72"/>
              <w:jc w:val="center"/>
              <w:rPr>
                <w:color w:val="000000"/>
                <w:sz w:val="20"/>
                <w:lang w:val="sv-SE"/>
              </w:rPr>
            </w:pPr>
            <w:r w:rsidRPr="00800D1B">
              <w:rPr>
                <w:color w:val="000000"/>
                <w:sz w:val="20"/>
                <w:lang w:val="sv-SE"/>
              </w:rPr>
              <w:t>Specifikt mål</w:t>
            </w:r>
          </w:p>
        </w:tc>
        <w:tc>
          <w:tcPr>
            <w:tcW w:w="0" w:type="auto"/>
          </w:tcPr>
          <w:p w14:paraId="2D0666BE" w14:textId="77777777" w:rsidR="00A77B3E" w:rsidRPr="00800D1B" w:rsidRDefault="00623E14" w:rsidP="00DF49F1">
            <w:pPr>
              <w:spacing w:before="100" w:after="100"/>
              <w:ind w:left="-72"/>
              <w:jc w:val="center"/>
              <w:rPr>
                <w:color w:val="000000"/>
                <w:sz w:val="20"/>
                <w:lang w:val="sv-SE"/>
              </w:rPr>
            </w:pPr>
            <w:r w:rsidRPr="00800D1B">
              <w:rPr>
                <w:color w:val="000000"/>
                <w:sz w:val="20"/>
                <w:lang w:val="sv-SE"/>
              </w:rPr>
              <w:t>Fond</w:t>
            </w:r>
          </w:p>
        </w:tc>
        <w:tc>
          <w:tcPr>
            <w:tcW w:w="0" w:type="auto"/>
          </w:tcPr>
          <w:p w14:paraId="2D0666BF" w14:textId="77777777" w:rsidR="00A77B3E" w:rsidRPr="00800D1B" w:rsidRDefault="00623E14" w:rsidP="00DF49F1">
            <w:pPr>
              <w:spacing w:before="100" w:after="100"/>
              <w:ind w:left="-72"/>
              <w:jc w:val="center"/>
              <w:rPr>
                <w:color w:val="000000"/>
                <w:sz w:val="20"/>
                <w:lang w:val="sv-SE"/>
              </w:rPr>
            </w:pPr>
            <w:r w:rsidRPr="00800D1B">
              <w:rPr>
                <w:color w:val="000000"/>
                <w:sz w:val="20"/>
                <w:lang w:val="sv-SE"/>
              </w:rPr>
              <w:t>Regionkategori</w:t>
            </w:r>
          </w:p>
        </w:tc>
        <w:tc>
          <w:tcPr>
            <w:tcW w:w="0" w:type="auto"/>
          </w:tcPr>
          <w:p w14:paraId="2D0666C0" w14:textId="77777777" w:rsidR="00A77B3E" w:rsidRPr="00800D1B" w:rsidRDefault="00623E14" w:rsidP="00DF49F1">
            <w:pPr>
              <w:spacing w:before="100" w:after="100"/>
              <w:ind w:left="-72"/>
              <w:jc w:val="center"/>
              <w:rPr>
                <w:color w:val="000000"/>
                <w:sz w:val="20"/>
                <w:lang w:val="sv-SE"/>
              </w:rPr>
            </w:pPr>
            <w:r w:rsidRPr="00800D1B">
              <w:rPr>
                <w:color w:val="000000"/>
                <w:sz w:val="20"/>
                <w:lang w:val="sv-SE"/>
              </w:rPr>
              <w:t>Kod</w:t>
            </w:r>
          </w:p>
        </w:tc>
        <w:tc>
          <w:tcPr>
            <w:tcW w:w="0" w:type="auto"/>
          </w:tcPr>
          <w:p w14:paraId="2D0666C1" w14:textId="77777777" w:rsidR="00A77B3E" w:rsidRPr="00800D1B" w:rsidRDefault="00623E14" w:rsidP="00DF49F1">
            <w:pPr>
              <w:spacing w:before="100" w:after="100"/>
              <w:ind w:left="-72"/>
              <w:jc w:val="center"/>
              <w:rPr>
                <w:color w:val="000000"/>
                <w:sz w:val="20"/>
                <w:lang w:val="sv-SE"/>
              </w:rPr>
            </w:pPr>
            <w:r w:rsidRPr="00800D1B">
              <w:rPr>
                <w:color w:val="000000"/>
                <w:sz w:val="20"/>
                <w:lang w:val="sv-SE"/>
              </w:rPr>
              <w:t>Belopp (euro)</w:t>
            </w:r>
          </w:p>
        </w:tc>
      </w:tr>
    </w:tbl>
    <w:p w14:paraId="2D0666C4" w14:textId="7808E14E" w:rsidR="00A77B3E" w:rsidRPr="00800D1B" w:rsidRDefault="00623E14" w:rsidP="009B5EF9">
      <w:pPr>
        <w:spacing w:before="360" w:after="100"/>
        <w:rPr>
          <w:lang w:val="sv-SE"/>
        </w:rPr>
      </w:pPr>
      <w:bookmarkStart w:id="195" w:name="_Toc256000436"/>
      <w:r w:rsidRPr="00800D1B">
        <w:rPr>
          <w:lang w:val="sv-SE"/>
        </w:rPr>
        <w:t>Tabell 8: Dimension 7 – ESF+, Eruf, Sammanhållningsfonden och FRO, jämställdhetsdimensionen</w:t>
      </w:r>
      <w:bookmarkEnd w:id="195"/>
    </w:p>
    <w:p w14:paraId="2D0666C5" w14:textId="77777777" w:rsidR="00A77B3E" w:rsidRPr="00800D1B" w:rsidRDefault="00A77B3E">
      <w:pPr>
        <w:spacing w:before="100"/>
        <w:rPr>
          <w:color w:val="000000"/>
          <w:sz w:val="0"/>
          <w:lang w:val="sv-SE"/>
        </w:rPr>
      </w:pPr>
    </w:p>
    <w:tbl>
      <w:tblPr>
        <w:tblStyle w:val="Tabellrutnt"/>
        <w:tblW w:w="5000" w:type="pct"/>
        <w:tblLook w:val="04A0" w:firstRow="1" w:lastRow="0" w:firstColumn="1" w:lastColumn="0" w:noHBand="0" w:noVBand="1"/>
        <w:tblDescription w:val="En tabell med sex kolumner: Prioritering; Specifikt mål; Fond; Regionkategori; Kod; Belopp (euro). Tabellen visar information om ESF+, Eruf, Sammanhållningsfonden och FRO, jämställdhetsdimensionen."/>
      </w:tblPr>
      <w:tblGrid>
        <w:gridCol w:w="1387"/>
        <w:gridCol w:w="1564"/>
        <w:gridCol w:w="858"/>
        <w:gridCol w:w="6737"/>
        <w:gridCol w:w="2970"/>
        <w:gridCol w:w="1656"/>
      </w:tblGrid>
      <w:tr w:rsidR="003422DB" w:rsidRPr="00800D1B" w14:paraId="2D0666CC" w14:textId="77777777" w:rsidTr="00DF49F1">
        <w:tc>
          <w:tcPr>
            <w:tcW w:w="0" w:type="auto"/>
          </w:tcPr>
          <w:p w14:paraId="2D0666C6" w14:textId="77777777" w:rsidR="00A77B3E" w:rsidRPr="00800D1B" w:rsidRDefault="00623E14" w:rsidP="00DF49F1">
            <w:pPr>
              <w:spacing w:before="100" w:after="100"/>
              <w:ind w:left="-72"/>
              <w:jc w:val="center"/>
              <w:rPr>
                <w:color w:val="000000"/>
                <w:sz w:val="20"/>
                <w:lang w:val="sv-SE"/>
              </w:rPr>
            </w:pPr>
            <w:r w:rsidRPr="00800D1B">
              <w:rPr>
                <w:color w:val="000000"/>
                <w:sz w:val="20"/>
                <w:lang w:val="sv-SE"/>
              </w:rPr>
              <w:t>Prioritering</w:t>
            </w:r>
          </w:p>
        </w:tc>
        <w:tc>
          <w:tcPr>
            <w:tcW w:w="0" w:type="auto"/>
          </w:tcPr>
          <w:p w14:paraId="2D0666C7" w14:textId="77777777" w:rsidR="00A77B3E" w:rsidRPr="00800D1B" w:rsidRDefault="00623E14" w:rsidP="00DF49F1">
            <w:pPr>
              <w:spacing w:before="100" w:after="100"/>
              <w:ind w:left="-72"/>
              <w:jc w:val="center"/>
              <w:rPr>
                <w:color w:val="000000"/>
                <w:sz w:val="20"/>
                <w:lang w:val="sv-SE"/>
              </w:rPr>
            </w:pPr>
            <w:r w:rsidRPr="00800D1B">
              <w:rPr>
                <w:color w:val="000000"/>
                <w:sz w:val="20"/>
                <w:lang w:val="sv-SE"/>
              </w:rPr>
              <w:t>Specifikt mål</w:t>
            </w:r>
          </w:p>
        </w:tc>
        <w:tc>
          <w:tcPr>
            <w:tcW w:w="0" w:type="auto"/>
          </w:tcPr>
          <w:p w14:paraId="2D0666C8" w14:textId="77777777" w:rsidR="00A77B3E" w:rsidRPr="00800D1B" w:rsidRDefault="00623E14" w:rsidP="00DF49F1">
            <w:pPr>
              <w:spacing w:before="100" w:after="100"/>
              <w:ind w:left="-72"/>
              <w:jc w:val="center"/>
              <w:rPr>
                <w:color w:val="000000"/>
                <w:sz w:val="20"/>
                <w:lang w:val="sv-SE"/>
              </w:rPr>
            </w:pPr>
            <w:r w:rsidRPr="00800D1B">
              <w:rPr>
                <w:color w:val="000000"/>
                <w:sz w:val="20"/>
                <w:lang w:val="sv-SE"/>
              </w:rPr>
              <w:t>Fond</w:t>
            </w:r>
          </w:p>
        </w:tc>
        <w:tc>
          <w:tcPr>
            <w:tcW w:w="0" w:type="auto"/>
          </w:tcPr>
          <w:p w14:paraId="2D0666C9" w14:textId="77777777" w:rsidR="00A77B3E" w:rsidRPr="00800D1B" w:rsidRDefault="00623E14" w:rsidP="00DF49F1">
            <w:pPr>
              <w:spacing w:before="100" w:after="100"/>
              <w:ind w:left="-72"/>
              <w:jc w:val="center"/>
              <w:rPr>
                <w:color w:val="000000"/>
                <w:sz w:val="20"/>
                <w:lang w:val="sv-SE"/>
              </w:rPr>
            </w:pPr>
            <w:r w:rsidRPr="00800D1B">
              <w:rPr>
                <w:color w:val="000000"/>
                <w:sz w:val="20"/>
                <w:lang w:val="sv-SE"/>
              </w:rPr>
              <w:t>Regionkategori</w:t>
            </w:r>
          </w:p>
        </w:tc>
        <w:tc>
          <w:tcPr>
            <w:tcW w:w="0" w:type="auto"/>
          </w:tcPr>
          <w:p w14:paraId="2D0666CA" w14:textId="77777777" w:rsidR="00A77B3E" w:rsidRPr="00800D1B" w:rsidRDefault="00623E14" w:rsidP="00DF49F1">
            <w:pPr>
              <w:spacing w:before="100" w:after="100"/>
              <w:ind w:left="-72"/>
              <w:jc w:val="center"/>
              <w:rPr>
                <w:color w:val="000000"/>
                <w:sz w:val="20"/>
                <w:lang w:val="sv-SE"/>
              </w:rPr>
            </w:pPr>
            <w:r w:rsidRPr="00800D1B">
              <w:rPr>
                <w:color w:val="000000"/>
                <w:sz w:val="20"/>
                <w:lang w:val="sv-SE"/>
              </w:rPr>
              <w:t>Kod</w:t>
            </w:r>
          </w:p>
        </w:tc>
        <w:tc>
          <w:tcPr>
            <w:tcW w:w="0" w:type="auto"/>
          </w:tcPr>
          <w:p w14:paraId="2D0666CB" w14:textId="77777777" w:rsidR="00A77B3E" w:rsidRPr="00800D1B" w:rsidRDefault="00623E14" w:rsidP="00DF49F1">
            <w:pPr>
              <w:spacing w:before="100" w:after="100"/>
              <w:ind w:left="-72"/>
              <w:jc w:val="center"/>
              <w:rPr>
                <w:color w:val="000000"/>
                <w:sz w:val="20"/>
                <w:lang w:val="sv-SE"/>
              </w:rPr>
            </w:pPr>
            <w:r w:rsidRPr="00800D1B">
              <w:rPr>
                <w:color w:val="000000"/>
                <w:sz w:val="20"/>
                <w:lang w:val="sv-SE"/>
              </w:rPr>
              <w:t>Belopp (euro)</w:t>
            </w:r>
          </w:p>
        </w:tc>
      </w:tr>
      <w:tr w:rsidR="003422DB" w:rsidRPr="00800D1B" w14:paraId="2D0666D3" w14:textId="77777777" w:rsidTr="00DF49F1">
        <w:tc>
          <w:tcPr>
            <w:tcW w:w="0" w:type="auto"/>
          </w:tcPr>
          <w:p w14:paraId="2D0666CD" w14:textId="77777777" w:rsidR="00A77B3E" w:rsidRPr="00800D1B" w:rsidRDefault="00623E14" w:rsidP="00DF49F1">
            <w:pPr>
              <w:spacing w:before="100" w:after="100"/>
              <w:ind w:left="-72"/>
              <w:rPr>
                <w:color w:val="000000"/>
                <w:sz w:val="20"/>
                <w:lang w:val="sv-SE"/>
              </w:rPr>
            </w:pPr>
            <w:r w:rsidRPr="00800D1B">
              <w:rPr>
                <w:color w:val="000000"/>
                <w:sz w:val="20"/>
                <w:lang w:val="sv-SE"/>
              </w:rPr>
              <w:t>5</w:t>
            </w:r>
          </w:p>
        </w:tc>
        <w:tc>
          <w:tcPr>
            <w:tcW w:w="0" w:type="auto"/>
          </w:tcPr>
          <w:p w14:paraId="2D0666CE" w14:textId="77777777" w:rsidR="00A77B3E" w:rsidRPr="00800D1B" w:rsidRDefault="00623E14" w:rsidP="00DF49F1">
            <w:pPr>
              <w:spacing w:before="100" w:after="100"/>
              <w:ind w:left="-72"/>
              <w:rPr>
                <w:color w:val="000000"/>
                <w:sz w:val="20"/>
                <w:lang w:val="sv-SE"/>
              </w:rPr>
            </w:pPr>
            <w:r w:rsidRPr="00800D1B">
              <w:rPr>
                <w:color w:val="000000"/>
                <w:sz w:val="20"/>
                <w:lang w:val="sv-SE"/>
              </w:rPr>
              <w:t>RSO3.2</w:t>
            </w:r>
          </w:p>
        </w:tc>
        <w:tc>
          <w:tcPr>
            <w:tcW w:w="0" w:type="auto"/>
          </w:tcPr>
          <w:p w14:paraId="2D0666CF" w14:textId="77777777" w:rsidR="00A77B3E" w:rsidRPr="00800D1B" w:rsidRDefault="00623E14" w:rsidP="00DF49F1">
            <w:pPr>
              <w:spacing w:before="100" w:after="100"/>
              <w:ind w:left="-72"/>
              <w:rPr>
                <w:color w:val="000000"/>
                <w:sz w:val="20"/>
                <w:lang w:val="sv-SE"/>
              </w:rPr>
            </w:pPr>
            <w:r w:rsidRPr="00800D1B">
              <w:rPr>
                <w:color w:val="000000"/>
                <w:sz w:val="20"/>
                <w:lang w:val="sv-SE"/>
              </w:rPr>
              <w:t>Eruf</w:t>
            </w:r>
          </w:p>
        </w:tc>
        <w:tc>
          <w:tcPr>
            <w:tcW w:w="0" w:type="auto"/>
          </w:tcPr>
          <w:p w14:paraId="2D0666D0" w14:textId="77777777" w:rsidR="00A77B3E" w:rsidRPr="00800D1B" w:rsidRDefault="00623E14" w:rsidP="00DF49F1">
            <w:pPr>
              <w:spacing w:before="100" w:after="100"/>
              <w:ind w:left="-72"/>
              <w:rPr>
                <w:color w:val="000000"/>
                <w:sz w:val="20"/>
                <w:lang w:val="sv-SE"/>
              </w:rPr>
            </w:pPr>
            <w:r w:rsidRPr="00800D1B">
              <w:rPr>
                <w:color w:val="000000"/>
                <w:sz w:val="20"/>
                <w:lang w:val="sv-SE"/>
              </w:rPr>
              <w:t>De yttersta randområdena eller de nordliga glesbefolkade områdena</w:t>
            </w:r>
          </w:p>
        </w:tc>
        <w:tc>
          <w:tcPr>
            <w:tcW w:w="0" w:type="auto"/>
          </w:tcPr>
          <w:p w14:paraId="2D0666D1" w14:textId="77777777" w:rsidR="00A77B3E" w:rsidRPr="00800D1B" w:rsidRDefault="00623E14" w:rsidP="00DF49F1">
            <w:pPr>
              <w:spacing w:before="100" w:after="100"/>
              <w:ind w:left="-72"/>
              <w:rPr>
                <w:color w:val="000000"/>
                <w:sz w:val="20"/>
                <w:lang w:val="sv-SE"/>
              </w:rPr>
            </w:pPr>
            <w:r w:rsidRPr="00800D1B">
              <w:rPr>
                <w:color w:val="000000"/>
                <w:sz w:val="20"/>
                <w:lang w:val="sv-SE"/>
              </w:rPr>
              <w:t>02. Jämställdhetsintegrering</w:t>
            </w:r>
          </w:p>
        </w:tc>
        <w:tc>
          <w:tcPr>
            <w:tcW w:w="0" w:type="auto"/>
          </w:tcPr>
          <w:p w14:paraId="2D0666D2" w14:textId="77777777" w:rsidR="00A77B3E" w:rsidRPr="00800D1B" w:rsidRDefault="00623E14" w:rsidP="00DF49F1">
            <w:pPr>
              <w:spacing w:before="100" w:after="100"/>
              <w:ind w:left="-72"/>
              <w:jc w:val="right"/>
              <w:rPr>
                <w:color w:val="000000"/>
                <w:sz w:val="20"/>
                <w:lang w:val="sv-SE"/>
              </w:rPr>
            </w:pPr>
            <w:r w:rsidRPr="00800D1B">
              <w:rPr>
                <w:color w:val="000000"/>
                <w:sz w:val="20"/>
                <w:lang w:val="sv-SE"/>
              </w:rPr>
              <w:t>8 464 930,00</w:t>
            </w:r>
          </w:p>
        </w:tc>
      </w:tr>
      <w:tr w:rsidR="003422DB" w:rsidRPr="00800D1B" w14:paraId="2D0666DA" w14:textId="77777777" w:rsidTr="00DF49F1">
        <w:tc>
          <w:tcPr>
            <w:tcW w:w="0" w:type="auto"/>
          </w:tcPr>
          <w:p w14:paraId="2D0666D4" w14:textId="77777777" w:rsidR="00A77B3E" w:rsidRPr="00800D1B" w:rsidRDefault="00623E14" w:rsidP="00DF49F1">
            <w:pPr>
              <w:spacing w:before="100" w:after="100"/>
              <w:ind w:left="-72"/>
              <w:rPr>
                <w:color w:val="000000"/>
                <w:sz w:val="20"/>
                <w:lang w:val="sv-SE"/>
              </w:rPr>
            </w:pPr>
            <w:r w:rsidRPr="00800D1B">
              <w:rPr>
                <w:color w:val="000000"/>
                <w:sz w:val="20"/>
                <w:lang w:val="sv-SE"/>
              </w:rPr>
              <w:t>5</w:t>
            </w:r>
          </w:p>
        </w:tc>
        <w:tc>
          <w:tcPr>
            <w:tcW w:w="0" w:type="auto"/>
          </w:tcPr>
          <w:p w14:paraId="2D0666D5" w14:textId="77777777" w:rsidR="00A77B3E" w:rsidRPr="00800D1B" w:rsidRDefault="00623E14" w:rsidP="00DF49F1">
            <w:pPr>
              <w:spacing w:before="100" w:after="100"/>
              <w:ind w:left="-72"/>
              <w:rPr>
                <w:color w:val="000000"/>
                <w:sz w:val="20"/>
                <w:lang w:val="sv-SE"/>
              </w:rPr>
            </w:pPr>
            <w:r w:rsidRPr="00800D1B">
              <w:rPr>
                <w:color w:val="000000"/>
                <w:sz w:val="20"/>
                <w:lang w:val="sv-SE"/>
              </w:rPr>
              <w:t>RSO3.2</w:t>
            </w:r>
          </w:p>
        </w:tc>
        <w:tc>
          <w:tcPr>
            <w:tcW w:w="0" w:type="auto"/>
          </w:tcPr>
          <w:p w14:paraId="2D0666D6" w14:textId="77777777" w:rsidR="00A77B3E" w:rsidRPr="00800D1B" w:rsidRDefault="00623E14" w:rsidP="00DF49F1">
            <w:pPr>
              <w:spacing w:before="100" w:after="100"/>
              <w:ind w:left="-72"/>
              <w:rPr>
                <w:color w:val="000000"/>
                <w:sz w:val="20"/>
                <w:lang w:val="sv-SE"/>
              </w:rPr>
            </w:pPr>
            <w:r w:rsidRPr="00800D1B">
              <w:rPr>
                <w:color w:val="000000"/>
                <w:sz w:val="20"/>
                <w:lang w:val="sv-SE"/>
              </w:rPr>
              <w:t>Eruf</w:t>
            </w:r>
          </w:p>
        </w:tc>
        <w:tc>
          <w:tcPr>
            <w:tcW w:w="0" w:type="auto"/>
          </w:tcPr>
          <w:p w14:paraId="2D0666D7" w14:textId="77777777" w:rsidR="00A77B3E" w:rsidRPr="00800D1B" w:rsidRDefault="00623E14" w:rsidP="00DF49F1">
            <w:pPr>
              <w:spacing w:before="100" w:after="100"/>
              <w:ind w:left="-72"/>
              <w:rPr>
                <w:color w:val="000000"/>
                <w:sz w:val="20"/>
                <w:lang w:val="sv-SE"/>
              </w:rPr>
            </w:pPr>
            <w:r w:rsidRPr="00800D1B">
              <w:rPr>
                <w:color w:val="000000"/>
                <w:sz w:val="20"/>
                <w:lang w:val="sv-SE"/>
              </w:rPr>
              <w:t>De yttersta randområdena eller de nordliga glesbefolkade områdena</w:t>
            </w:r>
          </w:p>
        </w:tc>
        <w:tc>
          <w:tcPr>
            <w:tcW w:w="0" w:type="auto"/>
          </w:tcPr>
          <w:p w14:paraId="2D0666D8" w14:textId="77777777" w:rsidR="00A77B3E" w:rsidRPr="00800D1B" w:rsidRDefault="00623E14" w:rsidP="00DF49F1">
            <w:pPr>
              <w:spacing w:before="100" w:after="100"/>
              <w:ind w:left="-72"/>
              <w:rPr>
                <w:color w:val="000000"/>
                <w:sz w:val="20"/>
                <w:lang w:val="sv-SE"/>
              </w:rPr>
            </w:pPr>
            <w:r w:rsidRPr="00800D1B">
              <w:rPr>
                <w:color w:val="000000"/>
                <w:sz w:val="20"/>
                <w:lang w:val="sv-SE"/>
              </w:rPr>
              <w:t>03. Könsneutralitet</w:t>
            </w:r>
          </w:p>
        </w:tc>
        <w:tc>
          <w:tcPr>
            <w:tcW w:w="0" w:type="auto"/>
          </w:tcPr>
          <w:p w14:paraId="2D0666D9" w14:textId="77777777" w:rsidR="00A77B3E" w:rsidRPr="00800D1B" w:rsidRDefault="00623E14" w:rsidP="00DF49F1">
            <w:pPr>
              <w:spacing w:before="100" w:after="100"/>
              <w:ind w:left="-72"/>
              <w:jc w:val="right"/>
              <w:rPr>
                <w:color w:val="000000"/>
                <w:sz w:val="20"/>
                <w:lang w:val="sv-SE"/>
              </w:rPr>
            </w:pPr>
            <w:r w:rsidRPr="00800D1B">
              <w:rPr>
                <w:color w:val="000000"/>
                <w:sz w:val="20"/>
                <w:lang w:val="sv-SE"/>
              </w:rPr>
              <w:t>12 697 394,00</w:t>
            </w:r>
          </w:p>
        </w:tc>
      </w:tr>
      <w:tr w:rsidR="003422DB" w:rsidRPr="00800D1B" w14:paraId="2D0666E1" w14:textId="77777777" w:rsidTr="00DF49F1">
        <w:tc>
          <w:tcPr>
            <w:tcW w:w="0" w:type="auto"/>
          </w:tcPr>
          <w:p w14:paraId="2D0666DB" w14:textId="77777777" w:rsidR="00A77B3E" w:rsidRPr="00800D1B" w:rsidRDefault="00623E14" w:rsidP="00DF49F1">
            <w:pPr>
              <w:spacing w:before="100" w:after="100"/>
              <w:ind w:left="-72"/>
              <w:rPr>
                <w:color w:val="000000"/>
                <w:sz w:val="20"/>
                <w:lang w:val="sv-SE"/>
              </w:rPr>
            </w:pPr>
            <w:r w:rsidRPr="00800D1B">
              <w:rPr>
                <w:color w:val="000000"/>
                <w:sz w:val="20"/>
                <w:lang w:val="sv-SE"/>
              </w:rPr>
              <w:t>5</w:t>
            </w:r>
          </w:p>
        </w:tc>
        <w:tc>
          <w:tcPr>
            <w:tcW w:w="0" w:type="auto"/>
          </w:tcPr>
          <w:p w14:paraId="2D0666DC" w14:textId="77777777" w:rsidR="00A77B3E" w:rsidRPr="00800D1B" w:rsidRDefault="00623E14" w:rsidP="00DF49F1">
            <w:pPr>
              <w:spacing w:before="100" w:after="100"/>
              <w:ind w:left="-72"/>
              <w:rPr>
                <w:color w:val="000000"/>
                <w:sz w:val="20"/>
                <w:lang w:val="sv-SE"/>
              </w:rPr>
            </w:pPr>
            <w:r w:rsidRPr="00800D1B">
              <w:rPr>
                <w:color w:val="000000"/>
                <w:sz w:val="20"/>
                <w:lang w:val="sv-SE"/>
              </w:rPr>
              <w:t>RSO3.2</w:t>
            </w:r>
          </w:p>
        </w:tc>
        <w:tc>
          <w:tcPr>
            <w:tcW w:w="0" w:type="auto"/>
          </w:tcPr>
          <w:p w14:paraId="2D0666DD" w14:textId="77777777" w:rsidR="00A77B3E" w:rsidRPr="00800D1B" w:rsidRDefault="00623E14" w:rsidP="00DF49F1">
            <w:pPr>
              <w:spacing w:before="100" w:after="100"/>
              <w:ind w:left="-72"/>
              <w:rPr>
                <w:color w:val="000000"/>
                <w:sz w:val="20"/>
                <w:lang w:val="sv-SE"/>
              </w:rPr>
            </w:pPr>
            <w:r w:rsidRPr="00800D1B">
              <w:rPr>
                <w:color w:val="000000"/>
                <w:sz w:val="20"/>
                <w:lang w:val="sv-SE"/>
              </w:rPr>
              <w:t>Totalt</w:t>
            </w:r>
          </w:p>
        </w:tc>
        <w:tc>
          <w:tcPr>
            <w:tcW w:w="0" w:type="auto"/>
          </w:tcPr>
          <w:p w14:paraId="2D0666DE" w14:textId="77777777" w:rsidR="00A77B3E" w:rsidRPr="00800D1B" w:rsidRDefault="00A77B3E" w:rsidP="00DF49F1">
            <w:pPr>
              <w:spacing w:before="100" w:after="100"/>
              <w:ind w:left="-72"/>
              <w:rPr>
                <w:color w:val="000000"/>
                <w:sz w:val="20"/>
                <w:lang w:val="sv-SE"/>
              </w:rPr>
            </w:pPr>
          </w:p>
        </w:tc>
        <w:tc>
          <w:tcPr>
            <w:tcW w:w="0" w:type="auto"/>
          </w:tcPr>
          <w:p w14:paraId="2D0666DF" w14:textId="77777777" w:rsidR="00A77B3E" w:rsidRPr="00800D1B" w:rsidRDefault="00A77B3E" w:rsidP="00DF49F1">
            <w:pPr>
              <w:spacing w:before="100" w:after="100"/>
              <w:ind w:left="-72"/>
              <w:rPr>
                <w:color w:val="000000"/>
                <w:sz w:val="20"/>
                <w:lang w:val="sv-SE"/>
              </w:rPr>
            </w:pPr>
          </w:p>
        </w:tc>
        <w:tc>
          <w:tcPr>
            <w:tcW w:w="0" w:type="auto"/>
          </w:tcPr>
          <w:p w14:paraId="2D0666E0" w14:textId="77777777" w:rsidR="00A77B3E" w:rsidRPr="00800D1B" w:rsidRDefault="00623E14" w:rsidP="00DF49F1">
            <w:pPr>
              <w:spacing w:before="100" w:after="100"/>
              <w:ind w:left="-72"/>
              <w:jc w:val="right"/>
              <w:rPr>
                <w:color w:val="000000"/>
                <w:sz w:val="20"/>
                <w:lang w:val="sv-SE"/>
              </w:rPr>
            </w:pPr>
            <w:r w:rsidRPr="00800D1B">
              <w:rPr>
                <w:color w:val="000000"/>
                <w:sz w:val="20"/>
                <w:lang w:val="sv-SE"/>
              </w:rPr>
              <w:t>21 162 324,00</w:t>
            </w:r>
          </w:p>
        </w:tc>
      </w:tr>
    </w:tbl>
    <w:p w14:paraId="2D0666E2" w14:textId="4CBF7909" w:rsidR="00A77B3E" w:rsidRPr="00800D1B" w:rsidRDefault="00623E14">
      <w:pPr>
        <w:spacing w:before="100"/>
        <w:rPr>
          <w:color w:val="000000"/>
          <w:sz w:val="20"/>
          <w:lang w:val="sv-SE"/>
        </w:rPr>
      </w:pPr>
      <w:r w:rsidRPr="00800D1B">
        <w:rPr>
          <w:color w:val="000000"/>
          <w:sz w:val="20"/>
          <w:lang w:val="sv-SE"/>
        </w:rPr>
        <w:t>* För ESF+ bidrar i princip 40 % av ESF+-medlen till uppföljning av jämställdheten. 100 % är tillämpligt när medlemsstaten väljer att använda artikel 6 i ESF+</w:t>
      </w:r>
    </w:p>
    <w:p w14:paraId="71879F8E" w14:textId="77777777" w:rsidR="00DF49F1" w:rsidRPr="00800D1B" w:rsidRDefault="00DF49F1">
      <w:pPr>
        <w:spacing w:before="100"/>
        <w:rPr>
          <w:color w:val="000000"/>
          <w:sz w:val="20"/>
          <w:lang w:val="sv-SE"/>
        </w:rPr>
        <w:sectPr w:rsidR="00DF49F1" w:rsidRPr="00800D1B" w:rsidSect="0065165D">
          <w:pgSz w:w="16838" w:h="11906" w:orient="landscape"/>
          <w:pgMar w:top="720" w:right="720" w:bottom="864" w:left="936" w:header="288" w:footer="72" w:gutter="0"/>
          <w:cols w:space="720"/>
          <w:noEndnote/>
          <w:docGrid w:linePitch="360"/>
        </w:sectPr>
      </w:pPr>
    </w:p>
    <w:p w14:paraId="2D0666E4" w14:textId="531E3536" w:rsidR="00A77B3E" w:rsidRPr="00800D1B" w:rsidRDefault="00623E14">
      <w:pPr>
        <w:pStyle w:val="Rubrik3"/>
        <w:numPr>
          <w:ilvl w:val="1"/>
          <w:numId w:val="3"/>
        </w:numPr>
        <w:spacing w:before="200"/>
        <w:ind w:left="360"/>
        <w:rPr>
          <w:lang w:val="sv-SE"/>
        </w:rPr>
      </w:pPr>
      <w:bookmarkStart w:id="196" w:name="_Toc256000437"/>
      <w:r w:rsidRPr="00800D1B">
        <w:rPr>
          <w:lang w:val="sv-SE"/>
        </w:rPr>
        <w:t>Prioriteringar för tekniskt bistånd</w:t>
      </w:r>
      <w:bookmarkEnd w:id="196"/>
    </w:p>
    <w:p w14:paraId="76620A5B" w14:textId="77777777" w:rsidR="0035717C" w:rsidRPr="00800D1B" w:rsidRDefault="0035717C" w:rsidP="0035717C">
      <w:pPr>
        <w:rPr>
          <w:lang w:val="sv-SE"/>
        </w:rPr>
        <w:sectPr w:rsidR="0035717C" w:rsidRPr="00800D1B" w:rsidSect="0065165D">
          <w:pgSz w:w="16838" w:h="11906" w:orient="landscape"/>
          <w:pgMar w:top="720" w:right="720" w:bottom="864" w:left="936" w:header="288" w:footer="72" w:gutter="0"/>
          <w:cols w:space="720"/>
          <w:noEndnote/>
          <w:docGrid w:linePitch="360"/>
        </w:sectPr>
      </w:pPr>
    </w:p>
    <w:p w14:paraId="2D0666E5" w14:textId="77777777" w:rsidR="00A77B3E" w:rsidRPr="00800D1B" w:rsidRDefault="00A77B3E">
      <w:pPr>
        <w:spacing w:before="100"/>
        <w:rPr>
          <w:color w:val="000000"/>
          <w:sz w:val="0"/>
          <w:lang w:val="sv-SE"/>
        </w:rPr>
      </w:pPr>
    </w:p>
    <w:p w14:paraId="2D0666E7" w14:textId="3585125D" w:rsidR="00A77B3E" w:rsidRPr="00800D1B" w:rsidRDefault="00623E14" w:rsidP="0035717C">
      <w:pPr>
        <w:pStyle w:val="Rubrik2"/>
        <w:spacing w:before="100"/>
        <w:ind w:left="180" w:hanging="180"/>
        <w:rPr>
          <w:lang w:val="sv-SE"/>
        </w:rPr>
      </w:pPr>
      <w:bookmarkStart w:id="197" w:name="_Toc256000438"/>
      <w:r w:rsidRPr="00800D1B">
        <w:rPr>
          <w:lang w:val="sv-SE"/>
        </w:rPr>
        <w:t>Finansieringsplan</w:t>
      </w:r>
      <w:bookmarkEnd w:id="197"/>
    </w:p>
    <w:p w14:paraId="2D0666E8" w14:textId="77777777" w:rsidR="00A77B3E" w:rsidRPr="00800D1B" w:rsidRDefault="00623E14">
      <w:pPr>
        <w:spacing w:before="100"/>
        <w:rPr>
          <w:color w:val="000000"/>
          <w:lang w:val="sv-SE"/>
        </w:rPr>
      </w:pPr>
      <w:r w:rsidRPr="00800D1B">
        <w:rPr>
          <w:color w:val="000000"/>
          <w:lang w:val="sv-SE"/>
        </w:rPr>
        <w:t xml:space="preserve">Referens: artikel 22.3 g i, ii och iii, artikel 112.1, 112.2 och 112.3 samt artiklarna 14 och 26 i förordningen om gemensamma bestämmelser </w:t>
      </w:r>
    </w:p>
    <w:p w14:paraId="2D0666E9" w14:textId="73E1060A" w:rsidR="00A77B3E" w:rsidRPr="00800D1B" w:rsidRDefault="00623E14">
      <w:pPr>
        <w:pStyle w:val="Rubrik3"/>
        <w:spacing w:before="200"/>
        <w:ind w:left="360"/>
        <w:rPr>
          <w:lang w:val="sv-SE"/>
        </w:rPr>
      </w:pPr>
      <w:bookmarkStart w:id="198" w:name="_Toc256000439"/>
      <w:r w:rsidRPr="00800D1B">
        <w:rPr>
          <w:lang w:val="sv-SE"/>
        </w:rPr>
        <w:t>Överföringar och bidrag</w:t>
      </w:r>
      <w:r w:rsidR="009B5EF9" w:rsidRPr="00800D1B">
        <w:rPr>
          <w:rStyle w:val="Fotnotsreferens"/>
          <w:vertAlign w:val="baseline"/>
          <w:lang w:val="sv-SE"/>
        </w:rPr>
        <w:footnoteReference w:customMarkFollows="1" w:id="2"/>
        <w:t>(1)</w:t>
      </w:r>
      <w:bookmarkEnd w:id="198"/>
    </w:p>
    <w:p w14:paraId="2D0666EA" w14:textId="77777777" w:rsidR="00A77B3E" w:rsidRPr="00800D1B" w:rsidRDefault="00A77B3E">
      <w:pPr>
        <w:spacing w:before="100"/>
        <w:rPr>
          <w:color w:val="000000"/>
          <w:sz w:val="0"/>
          <w:lang w:val="sv-SE"/>
        </w:rPr>
      </w:pPr>
    </w:p>
    <w:p w14:paraId="2D0666EB" w14:textId="77777777" w:rsidR="00A77B3E" w:rsidRPr="00800D1B" w:rsidRDefault="00623E14" w:rsidP="00894596">
      <w:pPr>
        <w:spacing w:before="60" w:after="120"/>
        <w:rPr>
          <w:color w:val="000000"/>
          <w:sz w:val="16"/>
          <w:lang w:val="sv-SE"/>
        </w:rPr>
      </w:pPr>
      <w:r w:rsidRPr="00800D1B">
        <w:rPr>
          <w:color w:val="000000"/>
          <w:lang w:val="sv-SE"/>
        </w:rPr>
        <w:t>Referens: artiklarna 14, 26 och 27 i förordningen om gemensamma bestämmelser</w:t>
      </w:r>
    </w:p>
    <w:tbl>
      <w:tblPr>
        <w:tblStyle w:val="Tabellrutnt"/>
        <w:tblW w:w="5000" w:type="pct"/>
        <w:tblLook w:val="04A0" w:firstRow="1" w:lastRow="0" w:firstColumn="1" w:lastColumn="0" w:noHBand="0" w:noVBand="1"/>
        <w:tblDescription w:val="En tabell som visar detaljer under &quot;Programändring relaterad till&quot; detaljerna är - bidrag till InvestEU; överföring till instrument med direkt eller indirekt förvaltning; överföring mellan Eruf, ESF+ och Sammanhållningsfonden, eller till en annan fond/fonder."/>
      </w:tblPr>
      <w:tblGrid>
        <w:gridCol w:w="3762"/>
        <w:gridCol w:w="11410"/>
      </w:tblGrid>
      <w:tr w:rsidR="003422DB" w:rsidRPr="00800D1B" w14:paraId="2D0666EF" w14:textId="77777777" w:rsidTr="00DF49F1">
        <w:trPr>
          <w:trHeight w:val="160"/>
        </w:trPr>
        <w:tc>
          <w:tcPr>
            <w:tcW w:w="0" w:type="auto"/>
            <w:vMerge w:val="restart"/>
            <w:vAlign w:val="center"/>
          </w:tcPr>
          <w:p w14:paraId="2D0666ED" w14:textId="77777777" w:rsidR="00A77B3E" w:rsidRPr="00800D1B" w:rsidRDefault="00623E14" w:rsidP="00DF49F1">
            <w:pPr>
              <w:spacing w:before="100" w:after="100"/>
              <w:ind w:left="-72"/>
              <w:rPr>
                <w:color w:val="000000"/>
                <w:lang w:val="sv-SE"/>
              </w:rPr>
            </w:pPr>
            <w:r w:rsidRPr="00800D1B">
              <w:rPr>
                <w:color w:val="000000"/>
                <w:lang w:val="sv-SE"/>
              </w:rPr>
              <w:t>Programändring relaterad till</w:t>
            </w:r>
          </w:p>
        </w:tc>
        <w:tc>
          <w:tcPr>
            <w:tcW w:w="0" w:type="auto"/>
          </w:tcPr>
          <w:p w14:paraId="2D0666EE" w14:textId="60E25E01" w:rsidR="00A77B3E" w:rsidRPr="00800D1B" w:rsidRDefault="00891E00" w:rsidP="00267E2F">
            <w:pPr>
              <w:spacing w:before="100" w:after="100"/>
              <w:ind w:left="6"/>
              <w:rPr>
                <w:color w:val="000000"/>
                <w:lang w:val="sv-SE"/>
              </w:rPr>
            </w:pPr>
            <w:r w:rsidRPr="00800D1B">
              <w:rPr>
                <w:rFonts w:ascii="Segoe UI Emoji" w:hAnsi="Segoe UI Emoji" w:cs="Segoe UI Emoji"/>
                <w:color w:val="000000"/>
                <w:sz w:val="18"/>
                <w:szCs w:val="18"/>
                <w:lang w:val="sv-SE"/>
              </w:rPr>
              <w:t>⬜</w:t>
            </w:r>
            <w:r w:rsidR="00623E14" w:rsidRPr="00800D1B">
              <w:rPr>
                <w:color w:val="000000"/>
                <w:lang w:val="sv-SE"/>
              </w:rPr>
              <w:t xml:space="preserve"> bidrag till InvestEU</w:t>
            </w:r>
          </w:p>
        </w:tc>
      </w:tr>
      <w:tr w:rsidR="003422DB" w:rsidRPr="00BD3045" w14:paraId="2D0666F2" w14:textId="77777777" w:rsidTr="00DF49F1">
        <w:trPr>
          <w:trHeight w:val="160"/>
        </w:trPr>
        <w:tc>
          <w:tcPr>
            <w:tcW w:w="0" w:type="auto"/>
            <w:vMerge/>
          </w:tcPr>
          <w:p w14:paraId="2D0666F0" w14:textId="77777777" w:rsidR="00A77B3E" w:rsidRPr="00800D1B" w:rsidRDefault="00A77B3E" w:rsidP="00DF49F1">
            <w:pPr>
              <w:spacing w:before="100" w:after="100"/>
              <w:ind w:left="-72"/>
              <w:rPr>
                <w:color w:val="000000"/>
                <w:lang w:val="sv-SE"/>
              </w:rPr>
            </w:pPr>
          </w:p>
        </w:tc>
        <w:tc>
          <w:tcPr>
            <w:tcW w:w="0" w:type="auto"/>
          </w:tcPr>
          <w:p w14:paraId="2D0666F1" w14:textId="3076847C" w:rsidR="00A77B3E" w:rsidRPr="00800D1B" w:rsidRDefault="00891E00" w:rsidP="00267E2F">
            <w:pPr>
              <w:spacing w:before="100" w:after="100"/>
              <w:ind w:left="6"/>
              <w:rPr>
                <w:color w:val="000000"/>
                <w:lang w:val="sv-SE"/>
              </w:rPr>
            </w:pPr>
            <w:r w:rsidRPr="00800D1B">
              <w:rPr>
                <w:rFonts w:ascii="Segoe UI Emoji" w:hAnsi="Segoe UI Emoji" w:cs="Segoe UI Emoji"/>
                <w:color w:val="000000"/>
                <w:sz w:val="18"/>
                <w:szCs w:val="18"/>
                <w:lang w:val="sv-SE"/>
              </w:rPr>
              <w:t>⬜</w:t>
            </w:r>
            <w:r w:rsidR="00623E14" w:rsidRPr="00800D1B">
              <w:rPr>
                <w:color w:val="000000"/>
                <w:lang w:val="sv-SE"/>
              </w:rPr>
              <w:t xml:space="preserve"> överföring till instrument med direkt eller indirekt förvaltning</w:t>
            </w:r>
          </w:p>
        </w:tc>
      </w:tr>
      <w:tr w:rsidR="003422DB" w:rsidRPr="00BD3045" w14:paraId="2D0666F5" w14:textId="77777777" w:rsidTr="00DF49F1">
        <w:trPr>
          <w:trHeight w:val="160"/>
        </w:trPr>
        <w:tc>
          <w:tcPr>
            <w:tcW w:w="0" w:type="auto"/>
            <w:vMerge/>
          </w:tcPr>
          <w:p w14:paraId="2D0666F3" w14:textId="77777777" w:rsidR="00A77B3E" w:rsidRPr="00800D1B" w:rsidRDefault="00A77B3E" w:rsidP="00DF49F1">
            <w:pPr>
              <w:spacing w:before="100" w:after="100"/>
              <w:ind w:left="-72"/>
              <w:rPr>
                <w:color w:val="000000"/>
                <w:lang w:val="sv-SE"/>
              </w:rPr>
            </w:pPr>
          </w:p>
        </w:tc>
        <w:tc>
          <w:tcPr>
            <w:tcW w:w="0" w:type="auto"/>
          </w:tcPr>
          <w:p w14:paraId="2D0666F4" w14:textId="28165426" w:rsidR="00A77B3E" w:rsidRPr="00800D1B" w:rsidRDefault="00891E00" w:rsidP="00DF49F1">
            <w:pPr>
              <w:spacing w:before="100" w:after="100"/>
              <w:ind w:left="6"/>
              <w:rPr>
                <w:color w:val="000000"/>
                <w:lang w:val="sv-SE"/>
              </w:rPr>
            </w:pPr>
            <w:r w:rsidRPr="00800D1B">
              <w:rPr>
                <w:rFonts w:ascii="Segoe UI Emoji" w:hAnsi="Segoe UI Emoji" w:cs="Segoe UI Emoji"/>
                <w:color w:val="000000"/>
                <w:sz w:val="18"/>
                <w:szCs w:val="18"/>
                <w:lang w:val="sv-SE"/>
              </w:rPr>
              <w:t>⬜</w:t>
            </w:r>
            <w:r w:rsidR="00623E14" w:rsidRPr="00800D1B">
              <w:rPr>
                <w:color w:val="000000"/>
                <w:lang w:val="sv-SE"/>
              </w:rPr>
              <w:t xml:space="preserve"> överföring mellan Eruf, ESF+ och Sammanhållningsfonden, eller till en annan fond/fonder</w:t>
            </w:r>
          </w:p>
        </w:tc>
      </w:tr>
    </w:tbl>
    <w:p w14:paraId="2D0666F9" w14:textId="4120CAF8" w:rsidR="00A77B3E" w:rsidRPr="00800D1B" w:rsidRDefault="00623E14" w:rsidP="00B30B9E">
      <w:pPr>
        <w:pStyle w:val="Rubrik4"/>
        <w:spacing w:before="600" w:after="480"/>
        <w:ind w:left="0" w:firstLine="0"/>
      </w:pPr>
      <w:bookmarkStart w:id="199" w:name="_Toc256000440"/>
      <w:r w:rsidRPr="00800D1B">
        <w:t>Tabell 15A: Bidrag till InvestEU</w:t>
      </w:r>
      <w:r w:rsidR="004D0CC3" w:rsidRPr="00800D1B">
        <w:footnoteReference w:customMarkFollows="1" w:id="3"/>
        <w:t>*</w:t>
      </w:r>
      <w:r w:rsidRPr="00800D1B">
        <w:t xml:space="preserve"> (uppdelning per år)</w:t>
      </w:r>
      <w:bookmarkEnd w:id="199"/>
    </w:p>
    <w:tbl>
      <w:tblPr>
        <w:tblStyle w:val="Tabellrutnt"/>
        <w:tblW w:w="5000" w:type="pct"/>
        <w:tblLook w:val="04A0" w:firstRow="1" w:lastRow="0" w:firstColumn="1" w:lastColumn="0" w:noHBand="0" w:noVBand="1"/>
        <w:tblDescription w:val="En tabell med tre kolumner: Bidrag från; Bidrag till; Uppdelning per år. Tabellen visar information om Bidrag till InvestEU."/>
      </w:tblPr>
      <w:tblGrid>
        <w:gridCol w:w="1109"/>
        <w:gridCol w:w="2500"/>
        <w:gridCol w:w="2745"/>
        <w:gridCol w:w="1090"/>
        <w:gridCol w:w="1090"/>
        <w:gridCol w:w="1090"/>
        <w:gridCol w:w="1090"/>
        <w:gridCol w:w="1090"/>
        <w:gridCol w:w="1090"/>
        <w:gridCol w:w="1090"/>
        <w:gridCol w:w="1188"/>
      </w:tblGrid>
      <w:tr w:rsidR="003422DB" w:rsidRPr="00800D1B" w14:paraId="2D0666FF" w14:textId="77777777" w:rsidTr="00DF49F1">
        <w:tc>
          <w:tcPr>
            <w:tcW w:w="0" w:type="auto"/>
            <w:gridSpan w:val="2"/>
          </w:tcPr>
          <w:p w14:paraId="2D0666FC" w14:textId="77777777" w:rsidR="00A77B3E" w:rsidRPr="00800D1B" w:rsidRDefault="00623E14" w:rsidP="00DF49F1">
            <w:pPr>
              <w:spacing w:before="100" w:after="100"/>
              <w:ind w:left="-72"/>
              <w:jc w:val="center"/>
              <w:rPr>
                <w:color w:val="000000"/>
                <w:sz w:val="20"/>
                <w:lang w:val="sv-SE"/>
              </w:rPr>
            </w:pPr>
            <w:r w:rsidRPr="00800D1B">
              <w:rPr>
                <w:color w:val="000000"/>
                <w:sz w:val="20"/>
                <w:lang w:val="sv-SE"/>
              </w:rPr>
              <w:t>Bidrag från</w:t>
            </w:r>
          </w:p>
        </w:tc>
        <w:tc>
          <w:tcPr>
            <w:tcW w:w="0" w:type="auto"/>
          </w:tcPr>
          <w:p w14:paraId="2D0666FD" w14:textId="77777777" w:rsidR="00A77B3E" w:rsidRPr="00800D1B" w:rsidRDefault="00623E14" w:rsidP="00DF49F1">
            <w:pPr>
              <w:spacing w:before="100" w:after="100"/>
              <w:ind w:left="-72"/>
              <w:jc w:val="center"/>
              <w:rPr>
                <w:color w:val="000000"/>
                <w:sz w:val="20"/>
                <w:lang w:val="sv-SE"/>
              </w:rPr>
            </w:pPr>
            <w:r w:rsidRPr="00800D1B">
              <w:rPr>
                <w:color w:val="000000"/>
                <w:sz w:val="20"/>
                <w:lang w:val="sv-SE"/>
              </w:rPr>
              <w:t>Bidrag till</w:t>
            </w:r>
          </w:p>
        </w:tc>
        <w:tc>
          <w:tcPr>
            <w:tcW w:w="0" w:type="auto"/>
            <w:gridSpan w:val="8"/>
          </w:tcPr>
          <w:p w14:paraId="2D0666FE" w14:textId="77777777" w:rsidR="00A77B3E" w:rsidRPr="00800D1B" w:rsidRDefault="00623E14" w:rsidP="00DF49F1">
            <w:pPr>
              <w:spacing w:before="100" w:after="100"/>
              <w:ind w:left="-72"/>
              <w:jc w:val="center"/>
              <w:rPr>
                <w:color w:val="000000"/>
                <w:sz w:val="20"/>
                <w:lang w:val="sv-SE"/>
              </w:rPr>
            </w:pPr>
            <w:r w:rsidRPr="00800D1B">
              <w:rPr>
                <w:color w:val="000000"/>
                <w:sz w:val="20"/>
                <w:lang w:val="sv-SE"/>
              </w:rPr>
              <w:t>Uppdelning per år</w:t>
            </w:r>
          </w:p>
        </w:tc>
      </w:tr>
      <w:tr w:rsidR="003422DB" w:rsidRPr="00800D1B" w14:paraId="2D06670B" w14:textId="77777777" w:rsidTr="00DF49F1">
        <w:tc>
          <w:tcPr>
            <w:tcW w:w="0" w:type="auto"/>
          </w:tcPr>
          <w:p w14:paraId="2D066700" w14:textId="77777777" w:rsidR="00A77B3E" w:rsidRPr="00800D1B" w:rsidRDefault="00623E14" w:rsidP="00DF49F1">
            <w:pPr>
              <w:spacing w:before="100" w:after="100"/>
              <w:ind w:left="-72"/>
              <w:jc w:val="center"/>
              <w:rPr>
                <w:color w:val="000000"/>
                <w:sz w:val="20"/>
                <w:lang w:val="sv-SE"/>
              </w:rPr>
            </w:pPr>
            <w:r w:rsidRPr="00800D1B">
              <w:rPr>
                <w:color w:val="000000"/>
                <w:sz w:val="20"/>
                <w:lang w:val="sv-SE"/>
              </w:rPr>
              <w:t>Fond</w:t>
            </w:r>
          </w:p>
        </w:tc>
        <w:tc>
          <w:tcPr>
            <w:tcW w:w="0" w:type="auto"/>
          </w:tcPr>
          <w:p w14:paraId="2D066701" w14:textId="77777777" w:rsidR="00A77B3E" w:rsidRPr="00800D1B" w:rsidRDefault="00623E14" w:rsidP="00DF49F1">
            <w:pPr>
              <w:spacing w:before="100" w:after="100"/>
              <w:ind w:left="-72"/>
              <w:jc w:val="center"/>
              <w:rPr>
                <w:color w:val="000000"/>
                <w:sz w:val="20"/>
                <w:lang w:val="sv-SE"/>
              </w:rPr>
            </w:pPr>
            <w:r w:rsidRPr="00800D1B">
              <w:rPr>
                <w:color w:val="000000"/>
                <w:sz w:val="20"/>
                <w:lang w:val="sv-SE"/>
              </w:rPr>
              <w:t>Regionkategori</w:t>
            </w:r>
          </w:p>
        </w:tc>
        <w:tc>
          <w:tcPr>
            <w:tcW w:w="0" w:type="auto"/>
          </w:tcPr>
          <w:p w14:paraId="2D066702" w14:textId="77777777" w:rsidR="00A77B3E" w:rsidRPr="00800D1B" w:rsidRDefault="00623E14" w:rsidP="00DF49F1">
            <w:pPr>
              <w:spacing w:before="100" w:after="100"/>
              <w:ind w:left="-72"/>
              <w:jc w:val="center"/>
              <w:rPr>
                <w:color w:val="000000"/>
                <w:sz w:val="20"/>
                <w:lang w:val="sv-SE"/>
              </w:rPr>
            </w:pPr>
            <w:r w:rsidRPr="00800D1B">
              <w:rPr>
                <w:color w:val="000000"/>
                <w:sz w:val="20"/>
                <w:lang w:val="sv-SE"/>
              </w:rPr>
              <w:t>InvestEU-fönster</w:t>
            </w:r>
          </w:p>
        </w:tc>
        <w:tc>
          <w:tcPr>
            <w:tcW w:w="0" w:type="auto"/>
          </w:tcPr>
          <w:p w14:paraId="2D066703" w14:textId="77777777" w:rsidR="00A77B3E" w:rsidRPr="00800D1B" w:rsidRDefault="00623E14" w:rsidP="00DF49F1">
            <w:pPr>
              <w:spacing w:before="100" w:after="100"/>
              <w:ind w:left="-72"/>
              <w:jc w:val="center"/>
              <w:rPr>
                <w:color w:val="000000"/>
                <w:sz w:val="20"/>
                <w:lang w:val="sv-SE"/>
              </w:rPr>
            </w:pPr>
            <w:r w:rsidRPr="00800D1B">
              <w:rPr>
                <w:color w:val="000000"/>
                <w:sz w:val="20"/>
                <w:lang w:val="sv-SE"/>
              </w:rPr>
              <w:t>2021</w:t>
            </w:r>
          </w:p>
        </w:tc>
        <w:tc>
          <w:tcPr>
            <w:tcW w:w="0" w:type="auto"/>
          </w:tcPr>
          <w:p w14:paraId="2D066704" w14:textId="77777777" w:rsidR="00A77B3E" w:rsidRPr="00800D1B" w:rsidRDefault="00623E14" w:rsidP="00DF49F1">
            <w:pPr>
              <w:spacing w:before="100" w:after="100"/>
              <w:ind w:left="-72"/>
              <w:jc w:val="center"/>
              <w:rPr>
                <w:color w:val="000000"/>
                <w:sz w:val="20"/>
                <w:lang w:val="sv-SE"/>
              </w:rPr>
            </w:pPr>
            <w:r w:rsidRPr="00800D1B">
              <w:rPr>
                <w:color w:val="000000"/>
                <w:sz w:val="20"/>
                <w:lang w:val="sv-SE"/>
              </w:rPr>
              <w:t>2022</w:t>
            </w:r>
          </w:p>
        </w:tc>
        <w:tc>
          <w:tcPr>
            <w:tcW w:w="0" w:type="auto"/>
          </w:tcPr>
          <w:p w14:paraId="2D066705" w14:textId="77777777" w:rsidR="00A77B3E" w:rsidRPr="00800D1B" w:rsidRDefault="00623E14" w:rsidP="00DF49F1">
            <w:pPr>
              <w:spacing w:before="100" w:after="100"/>
              <w:ind w:left="-72"/>
              <w:jc w:val="center"/>
              <w:rPr>
                <w:color w:val="000000"/>
                <w:sz w:val="20"/>
                <w:lang w:val="sv-SE"/>
              </w:rPr>
            </w:pPr>
            <w:r w:rsidRPr="00800D1B">
              <w:rPr>
                <w:color w:val="000000"/>
                <w:sz w:val="20"/>
                <w:lang w:val="sv-SE"/>
              </w:rPr>
              <w:t>2023</w:t>
            </w:r>
          </w:p>
        </w:tc>
        <w:tc>
          <w:tcPr>
            <w:tcW w:w="0" w:type="auto"/>
          </w:tcPr>
          <w:p w14:paraId="2D066706" w14:textId="77777777" w:rsidR="00A77B3E" w:rsidRPr="00800D1B" w:rsidRDefault="00623E14" w:rsidP="00DF49F1">
            <w:pPr>
              <w:spacing w:before="100" w:after="100"/>
              <w:ind w:left="-72"/>
              <w:jc w:val="center"/>
              <w:rPr>
                <w:color w:val="000000"/>
                <w:sz w:val="20"/>
                <w:lang w:val="sv-SE"/>
              </w:rPr>
            </w:pPr>
            <w:r w:rsidRPr="00800D1B">
              <w:rPr>
                <w:color w:val="000000"/>
                <w:sz w:val="20"/>
                <w:lang w:val="sv-SE"/>
              </w:rPr>
              <w:t>2024</w:t>
            </w:r>
          </w:p>
        </w:tc>
        <w:tc>
          <w:tcPr>
            <w:tcW w:w="0" w:type="auto"/>
          </w:tcPr>
          <w:p w14:paraId="2D066707" w14:textId="77777777" w:rsidR="00A77B3E" w:rsidRPr="00800D1B" w:rsidRDefault="00623E14" w:rsidP="00DF49F1">
            <w:pPr>
              <w:spacing w:before="100" w:after="100"/>
              <w:ind w:left="-72"/>
              <w:jc w:val="center"/>
              <w:rPr>
                <w:color w:val="000000"/>
                <w:sz w:val="20"/>
                <w:lang w:val="sv-SE"/>
              </w:rPr>
            </w:pPr>
            <w:r w:rsidRPr="00800D1B">
              <w:rPr>
                <w:color w:val="000000"/>
                <w:sz w:val="20"/>
                <w:lang w:val="sv-SE"/>
              </w:rPr>
              <w:t>2025</w:t>
            </w:r>
          </w:p>
        </w:tc>
        <w:tc>
          <w:tcPr>
            <w:tcW w:w="0" w:type="auto"/>
          </w:tcPr>
          <w:p w14:paraId="2D066708" w14:textId="77777777" w:rsidR="00A77B3E" w:rsidRPr="00800D1B" w:rsidRDefault="00623E14" w:rsidP="00DF49F1">
            <w:pPr>
              <w:spacing w:before="100" w:after="100"/>
              <w:ind w:left="-72"/>
              <w:jc w:val="center"/>
              <w:rPr>
                <w:color w:val="000000"/>
                <w:sz w:val="20"/>
                <w:lang w:val="sv-SE"/>
              </w:rPr>
            </w:pPr>
            <w:r w:rsidRPr="00800D1B">
              <w:rPr>
                <w:color w:val="000000"/>
                <w:sz w:val="20"/>
                <w:lang w:val="sv-SE"/>
              </w:rPr>
              <w:t>2026</w:t>
            </w:r>
          </w:p>
        </w:tc>
        <w:tc>
          <w:tcPr>
            <w:tcW w:w="0" w:type="auto"/>
          </w:tcPr>
          <w:p w14:paraId="2D066709" w14:textId="77777777" w:rsidR="00A77B3E" w:rsidRPr="00800D1B" w:rsidRDefault="00623E14" w:rsidP="00DF49F1">
            <w:pPr>
              <w:spacing w:before="100" w:after="100"/>
              <w:ind w:left="-72"/>
              <w:jc w:val="center"/>
              <w:rPr>
                <w:color w:val="000000"/>
                <w:sz w:val="20"/>
                <w:lang w:val="sv-SE"/>
              </w:rPr>
            </w:pPr>
            <w:r w:rsidRPr="00800D1B">
              <w:rPr>
                <w:color w:val="000000"/>
                <w:sz w:val="20"/>
                <w:lang w:val="sv-SE"/>
              </w:rPr>
              <w:t>2027</w:t>
            </w:r>
          </w:p>
        </w:tc>
        <w:tc>
          <w:tcPr>
            <w:tcW w:w="0" w:type="auto"/>
          </w:tcPr>
          <w:p w14:paraId="2D06670A" w14:textId="77777777" w:rsidR="00A77B3E" w:rsidRPr="00800D1B" w:rsidRDefault="00623E14" w:rsidP="00DF49F1">
            <w:pPr>
              <w:spacing w:before="100" w:after="100"/>
              <w:ind w:left="-72"/>
              <w:jc w:val="center"/>
              <w:rPr>
                <w:color w:val="000000"/>
                <w:sz w:val="16"/>
                <w:lang w:val="sv-SE"/>
              </w:rPr>
            </w:pPr>
            <w:r w:rsidRPr="00800D1B">
              <w:rPr>
                <w:color w:val="000000"/>
                <w:sz w:val="20"/>
                <w:lang w:val="sv-SE"/>
              </w:rPr>
              <w:t>Totalt</w:t>
            </w:r>
          </w:p>
        </w:tc>
      </w:tr>
    </w:tbl>
    <w:p w14:paraId="2D06670E" w14:textId="6141E4F1" w:rsidR="00A77B3E" w:rsidRPr="00800D1B" w:rsidRDefault="00623E14" w:rsidP="00B30B9E">
      <w:pPr>
        <w:pStyle w:val="Rubrik4"/>
        <w:spacing w:before="480" w:after="360"/>
        <w:ind w:left="0" w:firstLine="0"/>
      </w:pPr>
      <w:bookmarkStart w:id="200" w:name="_Toc256000441"/>
      <w:r w:rsidRPr="00800D1B">
        <w:t>Tabell 15B: Bidrag till InvestEU</w:t>
      </w:r>
      <w:r w:rsidR="004D0CC3" w:rsidRPr="00800D1B">
        <w:footnoteReference w:customMarkFollows="1" w:id="4"/>
        <w:t>*</w:t>
      </w:r>
      <w:r w:rsidRPr="00800D1B">
        <w:t xml:space="preserve"> (sammanfattning)</w:t>
      </w:r>
      <w:bookmarkEnd w:id="200"/>
    </w:p>
    <w:tbl>
      <w:tblPr>
        <w:tblStyle w:val="Tabellrutnt"/>
        <w:tblW w:w="5000" w:type="pct"/>
        <w:tblLook w:val="04A0" w:firstRow="1" w:lastRow="0" w:firstColumn="1" w:lastColumn="0" w:noHBand="0" w:noVBand="1"/>
        <w:tblDescription w:val="En tabell med sju kolumner: Fond; Regionkategori; Hållbar infrastruktur (a); Innovation och digitalisering (b); Små och medelstora företag (c); Sociala investeringar och kompetens (d); Totalt (e)=(a)+(b)+(c)+(d). Tabellen visar information om bidrag till InvestEU."/>
      </w:tblPr>
      <w:tblGrid>
        <w:gridCol w:w="714"/>
        <w:gridCol w:w="1470"/>
        <w:gridCol w:w="2083"/>
        <w:gridCol w:w="2705"/>
        <w:gridCol w:w="2614"/>
        <w:gridCol w:w="3281"/>
        <w:gridCol w:w="2305"/>
      </w:tblGrid>
      <w:tr w:rsidR="003422DB" w:rsidRPr="00800D1B" w14:paraId="2D066718" w14:textId="77777777" w:rsidTr="00DF49F1">
        <w:tc>
          <w:tcPr>
            <w:tcW w:w="0" w:type="auto"/>
          </w:tcPr>
          <w:p w14:paraId="2D066711" w14:textId="77777777" w:rsidR="00A77B3E" w:rsidRPr="00800D1B" w:rsidRDefault="00623E14" w:rsidP="00DF49F1">
            <w:pPr>
              <w:spacing w:before="100" w:after="100"/>
              <w:ind w:left="-72"/>
              <w:jc w:val="center"/>
              <w:rPr>
                <w:color w:val="000000"/>
                <w:sz w:val="20"/>
                <w:lang w:val="sv-SE"/>
              </w:rPr>
            </w:pPr>
            <w:r w:rsidRPr="00800D1B">
              <w:rPr>
                <w:color w:val="000000"/>
                <w:sz w:val="20"/>
                <w:lang w:val="sv-SE"/>
              </w:rPr>
              <w:t>Fond</w:t>
            </w:r>
          </w:p>
        </w:tc>
        <w:tc>
          <w:tcPr>
            <w:tcW w:w="0" w:type="auto"/>
          </w:tcPr>
          <w:p w14:paraId="2D066712" w14:textId="77777777" w:rsidR="00A77B3E" w:rsidRPr="00800D1B" w:rsidRDefault="00623E14" w:rsidP="00DF49F1">
            <w:pPr>
              <w:spacing w:before="100" w:after="100"/>
              <w:ind w:left="-72"/>
              <w:jc w:val="center"/>
              <w:rPr>
                <w:color w:val="000000"/>
                <w:sz w:val="20"/>
                <w:lang w:val="sv-SE"/>
              </w:rPr>
            </w:pPr>
            <w:r w:rsidRPr="00800D1B">
              <w:rPr>
                <w:color w:val="000000"/>
                <w:sz w:val="20"/>
                <w:lang w:val="sv-SE"/>
              </w:rPr>
              <w:t>Regionkategori</w:t>
            </w:r>
          </w:p>
        </w:tc>
        <w:tc>
          <w:tcPr>
            <w:tcW w:w="0" w:type="auto"/>
          </w:tcPr>
          <w:p w14:paraId="2D066713" w14:textId="77777777" w:rsidR="00A77B3E" w:rsidRPr="00800D1B" w:rsidRDefault="00623E14" w:rsidP="00DF49F1">
            <w:pPr>
              <w:spacing w:before="100" w:after="100"/>
              <w:ind w:left="-72"/>
              <w:jc w:val="center"/>
              <w:rPr>
                <w:color w:val="000000"/>
                <w:sz w:val="20"/>
                <w:lang w:val="sv-SE"/>
              </w:rPr>
            </w:pPr>
            <w:r w:rsidRPr="00800D1B">
              <w:rPr>
                <w:color w:val="000000"/>
                <w:sz w:val="20"/>
                <w:lang w:val="sv-SE"/>
              </w:rPr>
              <w:t>Hållbar infrastruktur (a)</w:t>
            </w:r>
          </w:p>
        </w:tc>
        <w:tc>
          <w:tcPr>
            <w:tcW w:w="0" w:type="auto"/>
          </w:tcPr>
          <w:p w14:paraId="2D066714" w14:textId="77777777" w:rsidR="00A77B3E" w:rsidRPr="00800D1B" w:rsidRDefault="00623E14" w:rsidP="00DF49F1">
            <w:pPr>
              <w:spacing w:before="100" w:after="100"/>
              <w:ind w:left="-72"/>
              <w:jc w:val="center"/>
              <w:rPr>
                <w:color w:val="000000"/>
                <w:sz w:val="20"/>
                <w:lang w:val="sv-SE"/>
              </w:rPr>
            </w:pPr>
            <w:r w:rsidRPr="00800D1B">
              <w:rPr>
                <w:color w:val="000000"/>
                <w:sz w:val="20"/>
                <w:lang w:val="sv-SE"/>
              </w:rPr>
              <w:t>Innovation och digitalisering (b)</w:t>
            </w:r>
          </w:p>
        </w:tc>
        <w:tc>
          <w:tcPr>
            <w:tcW w:w="0" w:type="auto"/>
          </w:tcPr>
          <w:p w14:paraId="2D066715" w14:textId="77777777" w:rsidR="00A77B3E" w:rsidRPr="00800D1B" w:rsidRDefault="00623E14" w:rsidP="00DF49F1">
            <w:pPr>
              <w:spacing w:before="100" w:after="100"/>
              <w:ind w:left="-72"/>
              <w:jc w:val="center"/>
              <w:rPr>
                <w:color w:val="000000"/>
                <w:sz w:val="20"/>
                <w:lang w:val="sv-SE"/>
              </w:rPr>
            </w:pPr>
            <w:r w:rsidRPr="00800D1B">
              <w:rPr>
                <w:color w:val="000000"/>
                <w:sz w:val="20"/>
                <w:lang w:val="sv-SE"/>
              </w:rPr>
              <w:t>Små och medelstora företag (c)</w:t>
            </w:r>
          </w:p>
        </w:tc>
        <w:tc>
          <w:tcPr>
            <w:tcW w:w="0" w:type="auto"/>
          </w:tcPr>
          <w:p w14:paraId="2D066716" w14:textId="77777777" w:rsidR="00A77B3E" w:rsidRPr="00800D1B" w:rsidRDefault="00623E14" w:rsidP="00DF49F1">
            <w:pPr>
              <w:spacing w:before="100" w:after="100"/>
              <w:ind w:left="-72"/>
              <w:jc w:val="center"/>
              <w:rPr>
                <w:color w:val="000000"/>
                <w:sz w:val="20"/>
                <w:lang w:val="sv-SE"/>
              </w:rPr>
            </w:pPr>
            <w:r w:rsidRPr="00800D1B">
              <w:rPr>
                <w:color w:val="000000"/>
                <w:sz w:val="20"/>
                <w:lang w:val="sv-SE"/>
              </w:rPr>
              <w:t>Sociala investeringar och kompetens (d)</w:t>
            </w:r>
          </w:p>
        </w:tc>
        <w:tc>
          <w:tcPr>
            <w:tcW w:w="0" w:type="auto"/>
          </w:tcPr>
          <w:p w14:paraId="2D066717" w14:textId="77777777" w:rsidR="00A77B3E" w:rsidRPr="00800D1B" w:rsidRDefault="00623E14" w:rsidP="00DF49F1">
            <w:pPr>
              <w:spacing w:before="100" w:after="100"/>
              <w:ind w:left="-72"/>
              <w:jc w:val="center"/>
              <w:rPr>
                <w:color w:val="000000"/>
                <w:sz w:val="20"/>
                <w:lang w:val="sv-SE"/>
              </w:rPr>
            </w:pPr>
            <w:r w:rsidRPr="00800D1B">
              <w:rPr>
                <w:color w:val="000000"/>
                <w:sz w:val="20"/>
                <w:lang w:val="sv-SE"/>
              </w:rPr>
              <w:t>Totalt (e)=(a)+(b)+(c)+(d)</w:t>
            </w:r>
          </w:p>
        </w:tc>
      </w:tr>
      <w:tr w:rsidR="003422DB" w:rsidRPr="00800D1B" w14:paraId="2D066720" w14:textId="77777777" w:rsidTr="00E77749">
        <w:tc>
          <w:tcPr>
            <w:tcW w:w="0" w:type="auto"/>
          </w:tcPr>
          <w:p w14:paraId="2D066719" w14:textId="77777777" w:rsidR="00A77B3E" w:rsidRPr="00800D1B" w:rsidRDefault="00623E14" w:rsidP="00DF49F1">
            <w:pPr>
              <w:spacing w:before="100" w:after="100"/>
              <w:ind w:left="-72"/>
              <w:jc w:val="center"/>
              <w:rPr>
                <w:color w:val="000000"/>
                <w:sz w:val="20"/>
                <w:lang w:val="sv-SE"/>
              </w:rPr>
            </w:pPr>
            <w:r w:rsidRPr="00800D1B">
              <w:rPr>
                <w:color w:val="000000"/>
                <w:sz w:val="20"/>
                <w:lang w:val="sv-SE"/>
              </w:rPr>
              <w:t>Totalt</w:t>
            </w:r>
          </w:p>
        </w:tc>
        <w:tc>
          <w:tcPr>
            <w:tcW w:w="0" w:type="auto"/>
          </w:tcPr>
          <w:p w14:paraId="2D06671A" w14:textId="77777777" w:rsidR="00A77B3E" w:rsidRPr="00800D1B" w:rsidRDefault="00A77B3E" w:rsidP="00DF49F1">
            <w:pPr>
              <w:spacing w:before="100" w:after="100"/>
              <w:ind w:left="-72"/>
              <w:rPr>
                <w:color w:val="000000"/>
                <w:sz w:val="20"/>
                <w:lang w:val="sv-SE"/>
              </w:rPr>
            </w:pPr>
          </w:p>
        </w:tc>
        <w:tc>
          <w:tcPr>
            <w:tcW w:w="0" w:type="auto"/>
          </w:tcPr>
          <w:p w14:paraId="2D06671B" w14:textId="77777777" w:rsidR="00A77B3E" w:rsidRPr="00800D1B" w:rsidRDefault="00A77B3E" w:rsidP="00E77749">
            <w:pPr>
              <w:spacing w:before="100" w:after="100"/>
              <w:ind w:left="-72"/>
              <w:rPr>
                <w:color w:val="000000"/>
                <w:sz w:val="20"/>
                <w:lang w:val="sv-SE"/>
              </w:rPr>
            </w:pPr>
          </w:p>
        </w:tc>
        <w:tc>
          <w:tcPr>
            <w:tcW w:w="0" w:type="auto"/>
          </w:tcPr>
          <w:p w14:paraId="2D06671C" w14:textId="77777777" w:rsidR="00A77B3E" w:rsidRPr="00800D1B" w:rsidRDefault="00A77B3E" w:rsidP="00E77749">
            <w:pPr>
              <w:spacing w:before="100" w:after="100"/>
              <w:ind w:left="-72"/>
              <w:rPr>
                <w:color w:val="000000"/>
                <w:sz w:val="20"/>
                <w:lang w:val="sv-SE"/>
              </w:rPr>
            </w:pPr>
          </w:p>
        </w:tc>
        <w:tc>
          <w:tcPr>
            <w:tcW w:w="0" w:type="auto"/>
          </w:tcPr>
          <w:p w14:paraId="2D06671D" w14:textId="77777777" w:rsidR="00A77B3E" w:rsidRPr="00800D1B" w:rsidRDefault="00A77B3E" w:rsidP="00E77749">
            <w:pPr>
              <w:spacing w:before="100" w:after="100"/>
              <w:ind w:left="-72"/>
              <w:rPr>
                <w:color w:val="000000"/>
                <w:sz w:val="20"/>
                <w:lang w:val="sv-SE"/>
              </w:rPr>
            </w:pPr>
          </w:p>
        </w:tc>
        <w:tc>
          <w:tcPr>
            <w:tcW w:w="0" w:type="auto"/>
          </w:tcPr>
          <w:p w14:paraId="2D06671E" w14:textId="77777777" w:rsidR="00A77B3E" w:rsidRPr="00800D1B" w:rsidRDefault="00A77B3E" w:rsidP="00E77749">
            <w:pPr>
              <w:spacing w:before="100" w:after="100"/>
              <w:ind w:left="-72"/>
              <w:rPr>
                <w:color w:val="000000"/>
                <w:sz w:val="20"/>
                <w:lang w:val="sv-SE"/>
              </w:rPr>
            </w:pPr>
          </w:p>
        </w:tc>
        <w:tc>
          <w:tcPr>
            <w:tcW w:w="0" w:type="auto"/>
          </w:tcPr>
          <w:p w14:paraId="2D06671F" w14:textId="77777777" w:rsidR="00A77B3E" w:rsidRPr="00800D1B" w:rsidRDefault="00A77B3E" w:rsidP="00E77749">
            <w:pPr>
              <w:spacing w:before="100" w:after="100"/>
              <w:ind w:left="-72"/>
              <w:rPr>
                <w:color w:val="000000"/>
                <w:sz w:val="20"/>
                <w:lang w:val="sv-SE"/>
              </w:rPr>
            </w:pPr>
          </w:p>
        </w:tc>
      </w:tr>
    </w:tbl>
    <w:p w14:paraId="2D066723" w14:textId="19BF169C" w:rsidR="00A77B3E" w:rsidRPr="00800D1B" w:rsidRDefault="00623E14" w:rsidP="007F44F6">
      <w:pPr>
        <w:pStyle w:val="Rubrik5"/>
        <w:numPr>
          <w:ilvl w:val="0"/>
          <w:numId w:val="0"/>
        </w:numPr>
        <w:spacing w:before="200" w:after="600"/>
      </w:pPr>
      <w:bookmarkStart w:id="201" w:name="_Toc256000442"/>
      <w:r w:rsidRPr="00800D1B">
        <w:t>Motivering, med beaktande av hur dessa belopp bidrar till uppnåendet av de politiska mål som har valts i programmet i enlighet med artikel 10.1 i InvestEU-förordningen</w:t>
      </w:r>
      <w:bookmarkEnd w:id="201"/>
    </w:p>
    <w:tbl>
      <w:tblPr>
        <w:tblStyle w:val="Tabellrutnt"/>
        <w:tblW w:w="5000" w:type="pct"/>
        <w:tblLayout w:type="fixed"/>
        <w:tblLook w:val="04A0" w:firstRow="1" w:lastRow="0" w:firstColumn="1" w:lastColumn="0" w:noHBand="0" w:noVBand="1"/>
      </w:tblPr>
      <w:tblGrid>
        <w:gridCol w:w="15172"/>
      </w:tblGrid>
      <w:tr w:rsidR="003422DB" w:rsidRPr="00BD3045" w14:paraId="2D066728" w14:textId="77777777" w:rsidTr="00DF49F1">
        <w:tc>
          <w:tcPr>
            <w:tcW w:w="5000" w:type="pct"/>
          </w:tcPr>
          <w:p w14:paraId="2D066726" w14:textId="77777777" w:rsidR="00A77B3E" w:rsidRPr="00800D1B" w:rsidRDefault="00A77B3E" w:rsidP="00DF49F1">
            <w:pPr>
              <w:spacing w:before="100" w:after="100"/>
              <w:rPr>
                <w:color w:val="000000"/>
                <w:sz w:val="0"/>
                <w:lang w:val="sv-SE"/>
              </w:rPr>
            </w:pPr>
          </w:p>
          <w:p w14:paraId="2D066727" w14:textId="77777777" w:rsidR="00A77B3E" w:rsidRPr="00800D1B" w:rsidRDefault="00A77B3E" w:rsidP="00DF49F1">
            <w:pPr>
              <w:spacing w:before="100" w:after="100"/>
              <w:rPr>
                <w:color w:val="000000"/>
                <w:lang w:val="sv-SE"/>
              </w:rPr>
            </w:pPr>
          </w:p>
        </w:tc>
      </w:tr>
    </w:tbl>
    <w:p w14:paraId="2D06672A" w14:textId="77777777" w:rsidR="00A77B3E" w:rsidRPr="00800D1B" w:rsidRDefault="00A77B3E">
      <w:pPr>
        <w:spacing w:before="100"/>
        <w:rPr>
          <w:color w:val="000000"/>
          <w:sz w:val="0"/>
          <w:lang w:val="sv-SE"/>
        </w:rPr>
      </w:pPr>
    </w:p>
    <w:p w14:paraId="2D06672B" w14:textId="7D32F98B" w:rsidR="00A77B3E" w:rsidRPr="00800D1B" w:rsidRDefault="00623E14" w:rsidP="00B30B9E">
      <w:pPr>
        <w:pStyle w:val="Rubrik4"/>
        <w:spacing w:before="360" w:after="100"/>
        <w:ind w:left="0" w:firstLine="0"/>
      </w:pPr>
      <w:bookmarkStart w:id="202" w:name="_Toc256000443"/>
      <w:r w:rsidRPr="00800D1B">
        <w:t>Tabell 16 A: Överföringar till instrument med direkt eller indirekt förvaltning (fördelning per år)</w:t>
      </w:r>
      <w:bookmarkEnd w:id="202"/>
    </w:p>
    <w:tbl>
      <w:tblPr>
        <w:tblStyle w:val="Tabellrutnt"/>
        <w:tblW w:w="5000" w:type="pct"/>
        <w:tblLook w:val="04A0" w:firstRow="1" w:lastRow="0" w:firstColumn="1" w:lastColumn="0" w:noHBand="0" w:noVBand="1"/>
        <w:tblDescription w:val="En tabell med tre kolumner: Överföringar från; Överföringar till; Uppdelning per år. Tabellen visar information om Överföringar till instrument med direkt eller indirekt förvaltning (fördelning per år)."/>
      </w:tblPr>
      <w:tblGrid>
        <w:gridCol w:w="1119"/>
        <w:gridCol w:w="2518"/>
        <w:gridCol w:w="2660"/>
        <w:gridCol w:w="1097"/>
        <w:gridCol w:w="1097"/>
        <w:gridCol w:w="1097"/>
        <w:gridCol w:w="1097"/>
        <w:gridCol w:w="1097"/>
        <w:gridCol w:w="1097"/>
        <w:gridCol w:w="1097"/>
        <w:gridCol w:w="1196"/>
      </w:tblGrid>
      <w:tr w:rsidR="003422DB" w:rsidRPr="00800D1B" w14:paraId="2D066730" w14:textId="77777777" w:rsidTr="00DF49F1">
        <w:tc>
          <w:tcPr>
            <w:tcW w:w="0" w:type="auto"/>
            <w:gridSpan w:val="2"/>
          </w:tcPr>
          <w:p w14:paraId="2D06672D" w14:textId="77777777" w:rsidR="00A77B3E" w:rsidRPr="00800D1B" w:rsidRDefault="00623E14" w:rsidP="00DF49F1">
            <w:pPr>
              <w:spacing w:before="100" w:after="100"/>
              <w:ind w:left="-72"/>
              <w:jc w:val="center"/>
              <w:rPr>
                <w:color w:val="000000"/>
                <w:sz w:val="20"/>
                <w:lang w:val="sv-SE"/>
              </w:rPr>
            </w:pPr>
            <w:r w:rsidRPr="00800D1B">
              <w:rPr>
                <w:color w:val="000000"/>
                <w:sz w:val="20"/>
                <w:lang w:val="sv-SE"/>
              </w:rPr>
              <w:t>Överföringar från</w:t>
            </w:r>
          </w:p>
        </w:tc>
        <w:tc>
          <w:tcPr>
            <w:tcW w:w="0" w:type="auto"/>
          </w:tcPr>
          <w:p w14:paraId="2D06672E" w14:textId="77777777" w:rsidR="00A77B3E" w:rsidRPr="00800D1B" w:rsidRDefault="00623E14" w:rsidP="00DF49F1">
            <w:pPr>
              <w:spacing w:before="100" w:after="100"/>
              <w:ind w:left="-72"/>
              <w:jc w:val="center"/>
              <w:rPr>
                <w:color w:val="000000"/>
                <w:sz w:val="20"/>
                <w:lang w:val="sv-SE"/>
              </w:rPr>
            </w:pPr>
            <w:r w:rsidRPr="00800D1B">
              <w:rPr>
                <w:color w:val="000000"/>
                <w:sz w:val="20"/>
                <w:lang w:val="sv-SE"/>
              </w:rPr>
              <w:t>Överföringar till</w:t>
            </w:r>
          </w:p>
        </w:tc>
        <w:tc>
          <w:tcPr>
            <w:tcW w:w="0" w:type="auto"/>
            <w:gridSpan w:val="8"/>
          </w:tcPr>
          <w:p w14:paraId="2D06672F" w14:textId="77777777" w:rsidR="00A77B3E" w:rsidRPr="00800D1B" w:rsidRDefault="00623E14" w:rsidP="00DF49F1">
            <w:pPr>
              <w:spacing w:before="100" w:after="100"/>
              <w:ind w:left="-72"/>
              <w:jc w:val="center"/>
              <w:rPr>
                <w:color w:val="000000"/>
                <w:sz w:val="20"/>
                <w:lang w:val="sv-SE"/>
              </w:rPr>
            </w:pPr>
            <w:r w:rsidRPr="00800D1B">
              <w:rPr>
                <w:color w:val="000000"/>
                <w:sz w:val="20"/>
                <w:lang w:val="sv-SE"/>
              </w:rPr>
              <w:t>Uppdelning per år</w:t>
            </w:r>
          </w:p>
        </w:tc>
      </w:tr>
      <w:tr w:rsidR="003422DB" w:rsidRPr="00800D1B" w14:paraId="2D06673C" w14:textId="77777777" w:rsidTr="00DF49F1">
        <w:tc>
          <w:tcPr>
            <w:tcW w:w="0" w:type="auto"/>
          </w:tcPr>
          <w:p w14:paraId="2D066731" w14:textId="77777777" w:rsidR="00A77B3E" w:rsidRPr="00800D1B" w:rsidRDefault="00623E14" w:rsidP="00DF49F1">
            <w:pPr>
              <w:spacing w:before="100" w:after="100"/>
              <w:ind w:left="-72"/>
              <w:jc w:val="center"/>
              <w:rPr>
                <w:color w:val="000000"/>
                <w:sz w:val="20"/>
                <w:lang w:val="sv-SE"/>
              </w:rPr>
            </w:pPr>
            <w:r w:rsidRPr="00800D1B">
              <w:rPr>
                <w:color w:val="000000"/>
                <w:sz w:val="20"/>
                <w:lang w:val="sv-SE"/>
              </w:rPr>
              <w:t>Fond</w:t>
            </w:r>
          </w:p>
        </w:tc>
        <w:tc>
          <w:tcPr>
            <w:tcW w:w="0" w:type="auto"/>
          </w:tcPr>
          <w:p w14:paraId="2D066732" w14:textId="77777777" w:rsidR="00A77B3E" w:rsidRPr="00800D1B" w:rsidRDefault="00623E14" w:rsidP="00DF49F1">
            <w:pPr>
              <w:spacing w:before="100" w:after="100"/>
              <w:ind w:left="-72"/>
              <w:jc w:val="center"/>
              <w:rPr>
                <w:color w:val="000000"/>
                <w:sz w:val="20"/>
                <w:lang w:val="sv-SE"/>
              </w:rPr>
            </w:pPr>
            <w:r w:rsidRPr="00800D1B">
              <w:rPr>
                <w:color w:val="000000"/>
                <w:sz w:val="20"/>
                <w:lang w:val="sv-SE"/>
              </w:rPr>
              <w:t>Regionkategori</w:t>
            </w:r>
          </w:p>
        </w:tc>
        <w:tc>
          <w:tcPr>
            <w:tcW w:w="0" w:type="auto"/>
          </w:tcPr>
          <w:p w14:paraId="2D066733" w14:textId="77777777" w:rsidR="00A77B3E" w:rsidRPr="00800D1B" w:rsidRDefault="00623E14" w:rsidP="00DF49F1">
            <w:pPr>
              <w:spacing w:before="100" w:after="100"/>
              <w:ind w:left="-72"/>
              <w:jc w:val="center"/>
              <w:rPr>
                <w:color w:val="000000"/>
                <w:sz w:val="20"/>
                <w:lang w:val="sv-SE"/>
              </w:rPr>
            </w:pPr>
            <w:r w:rsidRPr="00800D1B">
              <w:rPr>
                <w:color w:val="000000"/>
                <w:sz w:val="20"/>
                <w:lang w:val="sv-SE"/>
              </w:rPr>
              <w:t>Regleringsform</w:t>
            </w:r>
          </w:p>
        </w:tc>
        <w:tc>
          <w:tcPr>
            <w:tcW w:w="0" w:type="auto"/>
          </w:tcPr>
          <w:p w14:paraId="2D066734" w14:textId="77777777" w:rsidR="00A77B3E" w:rsidRPr="00800D1B" w:rsidRDefault="00623E14" w:rsidP="00DF49F1">
            <w:pPr>
              <w:spacing w:before="100" w:after="100"/>
              <w:ind w:left="-72"/>
              <w:jc w:val="center"/>
              <w:rPr>
                <w:color w:val="000000"/>
                <w:sz w:val="20"/>
                <w:lang w:val="sv-SE"/>
              </w:rPr>
            </w:pPr>
            <w:r w:rsidRPr="00800D1B">
              <w:rPr>
                <w:color w:val="000000"/>
                <w:sz w:val="20"/>
                <w:lang w:val="sv-SE"/>
              </w:rPr>
              <w:t>2021</w:t>
            </w:r>
          </w:p>
        </w:tc>
        <w:tc>
          <w:tcPr>
            <w:tcW w:w="0" w:type="auto"/>
          </w:tcPr>
          <w:p w14:paraId="2D066735" w14:textId="77777777" w:rsidR="00A77B3E" w:rsidRPr="00800D1B" w:rsidRDefault="00623E14" w:rsidP="00DF49F1">
            <w:pPr>
              <w:spacing w:before="100" w:after="100"/>
              <w:ind w:left="-72"/>
              <w:jc w:val="center"/>
              <w:rPr>
                <w:color w:val="000000"/>
                <w:sz w:val="20"/>
                <w:lang w:val="sv-SE"/>
              </w:rPr>
            </w:pPr>
            <w:r w:rsidRPr="00800D1B">
              <w:rPr>
                <w:color w:val="000000"/>
                <w:sz w:val="20"/>
                <w:lang w:val="sv-SE"/>
              </w:rPr>
              <w:t>2022</w:t>
            </w:r>
          </w:p>
        </w:tc>
        <w:tc>
          <w:tcPr>
            <w:tcW w:w="0" w:type="auto"/>
          </w:tcPr>
          <w:p w14:paraId="2D066736" w14:textId="77777777" w:rsidR="00A77B3E" w:rsidRPr="00800D1B" w:rsidRDefault="00623E14" w:rsidP="00DF49F1">
            <w:pPr>
              <w:spacing w:before="100" w:after="100"/>
              <w:ind w:left="-72"/>
              <w:jc w:val="center"/>
              <w:rPr>
                <w:color w:val="000000"/>
                <w:sz w:val="20"/>
                <w:lang w:val="sv-SE"/>
              </w:rPr>
            </w:pPr>
            <w:r w:rsidRPr="00800D1B">
              <w:rPr>
                <w:color w:val="000000"/>
                <w:sz w:val="20"/>
                <w:lang w:val="sv-SE"/>
              </w:rPr>
              <w:t>2023</w:t>
            </w:r>
          </w:p>
        </w:tc>
        <w:tc>
          <w:tcPr>
            <w:tcW w:w="0" w:type="auto"/>
          </w:tcPr>
          <w:p w14:paraId="2D066737" w14:textId="77777777" w:rsidR="00A77B3E" w:rsidRPr="00800D1B" w:rsidRDefault="00623E14" w:rsidP="00DF49F1">
            <w:pPr>
              <w:spacing w:before="100" w:after="100"/>
              <w:ind w:left="-72"/>
              <w:jc w:val="center"/>
              <w:rPr>
                <w:color w:val="000000"/>
                <w:sz w:val="20"/>
                <w:lang w:val="sv-SE"/>
              </w:rPr>
            </w:pPr>
            <w:r w:rsidRPr="00800D1B">
              <w:rPr>
                <w:color w:val="000000"/>
                <w:sz w:val="20"/>
                <w:lang w:val="sv-SE"/>
              </w:rPr>
              <w:t>2024</w:t>
            </w:r>
          </w:p>
        </w:tc>
        <w:tc>
          <w:tcPr>
            <w:tcW w:w="0" w:type="auto"/>
          </w:tcPr>
          <w:p w14:paraId="2D066738" w14:textId="77777777" w:rsidR="00A77B3E" w:rsidRPr="00800D1B" w:rsidRDefault="00623E14" w:rsidP="00DF49F1">
            <w:pPr>
              <w:spacing w:before="100" w:after="100"/>
              <w:ind w:left="-72"/>
              <w:jc w:val="center"/>
              <w:rPr>
                <w:color w:val="000000"/>
                <w:sz w:val="20"/>
                <w:lang w:val="sv-SE"/>
              </w:rPr>
            </w:pPr>
            <w:r w:rsidRPr="00800D1B">
              <w:rPr>
                <w:color w:val="000000"/>
                <w:sz w:val="20"/>
                <w:lang w:val="sv-SE"/>
              </w:rPr>
              <w:t>2025</w:t>
            </w:r>
          </w:p>
        </w:tc>
        <w:tc>
          <w:tcPr>
            <w:tcW w:w="0" w:type="auto"/>
          </w:tcPr>
          <w:p w14:paraId="2D066739" w14:textId="77777777" w:rsidR="00A77B3E" w:rsidRPr="00800D1B" w:rsidRDefault="00623E14" w:rsidP="00DF49F1">
            <w:pPr>
              <w:spacing w:before="100" w:after="100"/>
              <w:ind w:left="-72"/>
              <w:jc w:val="center"/>
              <w:rPr>
                <w:color w:val="000000"/>
                <w:sz w:val="20"/>
                <w:lang w:val="sv-SE"/>
              </w:rPr>
            </w:pPr>
            <w:r w:rsidRPr="00800D1B">
              <w:rPr>
                <w:color w:val="000000"/>
                <w:sz w:val="20"/>
                <w:lang w:val="sv-SE"/>
              </w:rPr>
              <w:t>2026</w:t>
            </w:r>
          </w:p>
        </w:tc>
        <w:tc>
          <w:tcPr>
            <w:tcW w:w="0" w:type="auto"/>
          </w:tcPr>
          <w:p w14:paraId="2D06673A" w14:textId="77777777" w:rsidR="00A77B3E" w:rsidRPr="00800D1B" w:rsidRDefault="00623E14" w:rsidP="00DF49F1">
            <w:pPr>
              <w:spacing w:before="100" w:after="100"/>
              <w:ind w:left="-72"/>
              <w:jc w:val="center"/>
              <w:rPr>
                <w:color w:val="000000"/>
                <w:sz w:val="20"/>
                <w:lang w:val="sv-SE"/>
              </w:rPr>
            </w:pPr>
            <w:r w:rsidRPr="00800D1B">
              <w:rPr>
                <w:color w:val="000000"/>
                <w:sz w:val="20"/>
                <w:lang w:val="sv-SE"/>
              </w:rPr>
              <w:t>2027</w:t>
            </w:r>
          </w:p>
        </w:tc>
        <w:tc>
          <w:tcPr>
            <w:tcW w:w="0" w:type="auto"/>
          </w:tcPr>
          <w:p w14:paraId="2D06673B" w14:textId="77777777" w:rsidR="00A77B3E" w:rsidRPr="00800D1B" w:rsidRDefault="00623E14" w:rsidP="00DF49F1">
            <w:pPr>
              <w:spacing w:before="100" w:after="100"/>
              <w:ind w:left="-72"/>
              <w:jc w:val="center"/>
              <w:rPr>
                <w:color w:val="000000"/>
                <w:sz w:val="16"/>
                <w:lang w:val="sv-SE"/>
              </w:rPr>
            </w:pPr>
            <w:r w:rsidRPr="00800D1B">
              <w:rPr>
                <w:color w:val="000000"/>
                <w:sz w:val="20"/>
                <w:lang w:val="sv-SE"/>
              </w:rPr>
              <w:t>Totalt</w:t>
            </w:r>
          </w:p>
        </w:tc>
      </w:tr>
    </w:tbl>
    <w:p w14:paraId="2D06673E" w14:textId="77777777" w:rsidR="00A77B3E" w:rsidRPr="00800D1B" w:rsidRDefault="00A77B3E">
      <w:pPr>
        <w:spacing w:before="100"/>
        <w:rPr>
          <w:color w:val="000000"/>
          <w:sz w:val="0"/>
          <w:lang w:val="sv-SE"/>
        </w:rPr>
      </w:pPr>
    </w:p>
    <w:p w14:paraId="2D06673F" w14:textId="26597AA2" w:rsidR="00A77B3E" w:rsidRPr="00800D1B" w:rsidRDefault="00623E14" w:rsidP="00A52AEE">
      <w:pPr>
        <w:pStyle w:val="Rubrik4"/>
        <w:spacing w:before="600" w:after="100"/>
        <w:ind w:left="0" w:firstLine="0"/>
      </w:pPr>
      <w:bookmarkStart w:id="203" w:name="_Toc256000444"/>
      <w:r w:rsidRPr="00800D1B">
        <w:t>Tabell 16B: Överföringar till instrument med direkt eller indirekt förvaltning</w:t>
      </w:r>
      <w:r w:rsidR="0056794F" w:rsidRPr="00800D1B">
        <w:footnoteReference w:customMarkFollows="1" w:id="5"/>
        <w:t>*</w:t>
      </w:r>
      <w:r w:rsidRPr="00800D1B">
        <w:t xml:space="preserve"> (sammanfattning)</w:t>
      </w:r>
      <w:bookmarkEnd w:id="203"/>
    </w:p>
    <w:p w14:paraId="2D066740" w14:textId="77777777" w:rsidR="00A77B3E" w:rsidRPr="00800D1B" w:rsidRDefault="00A77B3E">
      <w:pPr>
        <w:spacing w:before="100"/>
        <w:rPr>
          <w:color w:val="000000"/>
          <w:sz w:val="0"/>
          <w:lang w:val="sv-SE"/>
        </w:rPr>
      </w:pPr>
    </w:p>
    <w:tbl>
      <w:tblPr>
        <w:tblStyle w:val="Tabellrutnt"/>
        <w:tblW w:w="5000" w:type="pct"/>
        <w:tblLook w:val="04A0" w:firstRow="1" w:lastRow="0" w:firstColumn="1" w:lastColumn="0" w:noHBand="0" w:noVBand="1"/>
        <w:tblDescription w:val="En tabell med tre kolumner: Fond; Regionkategori; Totalt. Tabellen visar information om Överföringar till instrument med direkt eller indirekt förvaltning Note * (sammanfattning)."/>
      </w:tblPr>
      <w:tblGrid>
        <w:gridCol w:w="3749"/>
        <w:gridCol w:w="7674"/>
        <w:gridCol w:w="3749"/>
      </w:tblGrid>
      <w:tr w:rsidR="003422DB" w:rsidRPr="00800D1B" w14:paraId="2D066744" w14:textId="77777777" w:rsidTr="001C0F68">
        <w:tc>
          <w:tcPr>
            <w:tcW w:w="0" w:type="auto"/>
          </w:tcPr>
          <w:p w14:paraId="2D066741" w14:textId="77777777" w:rsidR="00A77B3E" w:rsidRPr="00800D1B" w:rsidRDefault="00623E14" w:rsidP="001C0F68">
            <w:pPr>
              <w:spacing w:before="100" w:after="100"/>
              <w:ind w:left="-72"/>
              <w:jc w:val="center"/>
              <w:rPr>
                <w:color w:val="000000"/>
                <w:sz w:val="20"/>
                <w:lang w:val="sv-SE"/>
              </w:rPr>
            </w:pPr>
            <w:r w:rsidRPr="00800D1B">
              <w:rPr>
                <w:color w:val="000000"/>
                <w:sz w:val="20"/>
                <w:lang w:val="sv-SE"/>
              </w:rPr>
              <w:t>Fond</w:t>
            </w:r>
          </w:p>
        </w:tc>
        <w:tc>
          <w:tcPr>
            <w:tcW w:w="0" w:type="auto"/>
          </w:tcPr>
          <w:p w14:paraId="2D066742" w14:textId="77777777" w:rsidR="00A77B3E" w:rsidRPr="00800D1B" w:rsidRDefault="00623E14" w:rsidP="001C0F68">
            <w:pPr>
              <w:spacing w:before="100" w:after="100"/>
              <w:ind w:left="-72"/>
              <w:jc w:val="center"/>
              <w:rPr>
                <w:color w:val="000000"/>
                <w:sz w:val="20"/>
                <w:lang w:val="sv-SE"/>
              </w:rPr>
            </w:pPr>
            <w:r w:rsidRPr="00800D1B">
              <w:rPr>
                <w:color w:val="000000"/>
                <w:sz w:val="20"/>
                <w:lang w:val="sv-SE"/>
              </w:rPr>
              <w:t>Regionkategori</w:t>
            </w:r>
          </w:p>
        </w:tc>
        <w:tc>
          <w:tcPr>
            <w:tcW w:w="0" w:type="auto"/>
          </w:tcPr>
          <w:p w14:paraId="2D066743" w14:textId="77777777" w:rsidR="00A77B3E" w:rsidRPr="00800D1B" w:rsidRDefault="00623E14" w:rsidP="001C0F68">
            <w:pPr>
              <w:spacing w:before="100" w:after="100"/>
              <w:ind w:left="-72"/>
              <w:jc w:val="center"/>
              <w:rPr>
                <w:color w:val="000000"/>
                <w:sz w:val="20"/>
                <w:lang w:val="sv-SE"/>
              </w:rPr>
            </w:pPr>
            <w:r w:rsidRPr="00800D1B">
              <w:rPr>
                <w:color w:val="000000"/>
                <w:sz w:val="20"/>
                <w:lang w:val="sv-SE"/>
              </w:rPr>
              <w:t>Totalt</w:t>
            </w:r>
          </w:p>
        </w:tc>
      </w:tr>
      <w:tr w:rsidR="003422DB" w:rsidRPr="00800D1B" w14:paraId="2D066748" w14:textId="77777777" w:rsidTr="001C0F68">
        <w:tc>
          <w:tcPr>
            <w:tcW w:w="0" w:type="auto"/>
          </w:tcPr>
          <w:p w14:paraId="2D066745" w14:textId="77777777" w:rsidR="00A77B3E" w:rsidRPr="00800D1B" w:rsidRDefault="00623E14" w:rsidP="001C0F68">
            <w:pPr>
              <w:spacing w:before="100" w:after="100"/>
              <w:ind w:left="-72"/>
              <w:jc w:val="center"/>
              <w:rPr>
                <w:color w:val="000000"/>
                <w:sz w:val="20"/>
                <w:lang w:val="sv-SE"/>
              </w:rPr>
            </w:pPr>
            <w:r w:rsidRPr="00800D1B">
              <w:rPr>
                <w:color w:val="000000"/>
                <w:sz w:val="20"/>
                <w:lang w:val="sv-SE"/>
              </w:rPr>
              <w:t>Totalt</w:t>
            </w:r>
          </w:p>
        </w:tc>
        <w:tc>
          <w:tcPr>
            <w:tcW w:w="0" w:type="auto"/>
          </w:tcPr>
          <w:p w14:paraId="2D066746" w14:textId="77777777" w:rsidR="00A77B3E" w:rsidRPr="00800D1B" w:rsidRDefault="00A77B3E" w:rsidP="001C0F68">
            <w:pPr>
              <w:spacing w:before="100" w:after="100"/>
              <w:ind w:left="-72"/>
              <w:jc w:val="center"/>
              <w:rPr>
                <w:color w:val="000000"/>
                <w:sz w:val="20"/>
                <w:lang w:val="sv-SE"/>
              </w:rPr>
            </w:pPr>
          </w:p>
        </w:tc>
        <w:tc>
          <w:tcPr>
            <w:tcW w:w="0" w:type="auto"/>
          </w:tcPr>
          <w:p w14:paraId="2D066747" w14:textId="77777777" w:rsidR="00A77B3E" w:rsidRPr="00800D1B" w:rsidRDefault="00A77B3E" w:rsidP="001C0F68">
            <w:pPr>
              <w:spacing w:before="100" w:after="100"/>
              <w:ind w:left="-72"/>
              <w:jc w:val="right"/>
              <w:rPr>
                <w:color w:val="000000"/>
                <w:sz w:val="20"/>
                <w:lang w:val="sv-SE"/>
              </w:rPr>
            </w:pPr>
          </w:p>
        </w:tc>
      </w:tr>
    </w:tbl>
    <w:p w14:paraId="2D06674B" w14:textId="2D97A84A" w:rsidR="00A77B3E" w:rsidRPr="00800D1B" w:rsidRDefault="00623E14" w:rsidP="00B30B9E">
      <w:pPr>
        <w:pStyle w:val="Rubrik5"/>
        <w:numPr>
          <w:ilvl w:val="0"/>
          <w:numId w:val="0"/>
        </w:numPr>
        <w:spacing w:before="360" w:after="100"/>
      </w:pPr>
      <w:bookmarkStart w:id="204" w:name="_Toc256000445"/>
      <w:r w:rsidRPr="00800D1B">
        <w:t>Överföringar till instrument med direkt eller indirekt förvaltning – Motivering</w:t>
      </w:r>
      <w:bookmarkEnd w:id="204"/>
    </w:p>
    <w:tbl>
      <w:tblPr>
        <w:tblStyle w:val="Tabellrutnt"/>
        <w:tblW w:w="5000" w:type="pct"/>
        <w:tblLayout w:type="fixed"/>
        <w:tblLook w:val="04A0" w:firstRow="1" w:lastRow="0" w:firstColumn="1" w:lastColumn="0" w:noHBand="0" w:noVBand="1"/>
      </w:tblPr>
      <w:tblGrid>
        <w:gridCol w:w="15172"/>
      </w:tblGrid>
      <w:tr w:rsidR="003422DB" w:rsidRPr="00BD3045" w14:paraId="2D06674F" w14:textId="77777777" w:rsidTr="001C0F68">
        <w:tc>
          <w:tcPr>
            <w:tcW w:w="5000" w:type="pct"/>
          </w:tcPr>
          <w:p w14:paraId="2D06674E" w14:textId="77777777" w:rsidR="00A77B3E" w:rsidRPr="00800D1B" w:rsidRDefault="00A77B3E" w:rsidP="001C0F68">
            <w:pPr>
              <w:spacing w:before="100" w:after="100"/>
              <w:ind w:left="-72"/>
              <w:rPr>
                <w:color w:val="000000"/>
                <w:lang w:val="sv-SE"/>
              </w:rPr>
            </w:pPr>
          </w:p>
        </w:tc>
      </w:tr>
    </w:tbl>
    <w:p w14:paraId="2D066752" w14:textId="12FE85AF" w:rsidR="00A77B3E" w:rsidRPr="00800D1B" w:rsidRDefault="00623E14" w:rsidP="00A52AEE">
      <w:pPr>
        <w:pStyle w:val="Rubrik4"/>
        <w:spacing w:before="720" w:after="100"/>
        <w:ind w:left="0" w:firstLine="0"/>
      </w:pPr>
      <w:bookmarkStart w:id="205" w:name="_Toc256000446"/>
      <w:r w:rsidRPr="00800D1B">
        <w:t>Tabell 17 A: Överföringar mellan Eruf, ESF+ och Sammanhållningsfonden, eller till en annan fond/fonder</w:t>
      </w:r>
      <w:r w:rsidR="0056794F" w:rsidRPr="00800D1B">
        <w:footnoteReference w:customMarkFollows="1" w:id="6"/>
        <w:t>*</w:t>
      </w:r>
      <w:r w:rsidRPr="00800D1B">
        <w:t xml:space="preserve"> (fördelning per år)</w:t>
      </w:r>
      <w:bookmarkEnd w:id="205"/>
    </w:p>
    <w:tbl>
      <w:tblPr>
        <w:tblStyle w:val="Tabellrutnt"/>
        <w:tblW w:w="5000" w:type="pct"/>
        <w:tblLook w:val="04A0" w:firstRow="1" w:lastRow="0" w:firstColumn="1" w:lastColumn="0" w:noHBand="0" w:noVBand="1"/>
        <w:tblDescription w:val="En tabell med tre kolumner: Överföringar från; Överföringar till; Uppdelning per år. Tabellen visar information om Överföringar mellan Eruf, ESF+ och Sammanhållningsfonden, eller till en annan fond/fonder Note * (fördelning per år)."/>
      </w:tblPr>
      <w:tblGrid>
        <w:gridCol w:w="1057"/>
        <w:gridCol w:w="2314"/>
        <w:gridCol w:w="1056"/>
        <w:gridCol w:w="2313"/>
        <w:gridCol w:w="1039"/>
        <w:gridCol w:w="1039"/>
        <w:gridCol w:w="1039"/>
        <w:gridCol w:w="1039"/>
        <w:gridCol w:w="1039"/>
        <w:gridCol w:w="1039"/>
        <w:gridCol w:w="1039"/>
        <w:gridCol w:w="1159"/>
      </w:tblGrid>
      <w:tr w:rsidR="003422DB" w:rsidRPr="00800D1B" w14:paraId="2D066757" w14:textId="77777777" w:rsidTr="001C0F68">
        <w:tc>
          <w:tcPr>
            <w:tcW w:w="0" w:type="auto"/>
            <w:gridSpan w:val="2"/>
          </w:tcPr>
          <w:p w14:paraId="2D066754" w14:textId="77777777" w:rsidR="00A77B3E" w:rsidRPr="00800D1B" w:rsidRDefault="00623E14" w:rsidP="001C0F68">
            <w:pPr>
              <w:spacing w:before="100" w:after="100"/>
              <w:ind w:left="-72"/>
              <w:jc w:val="center"/>
              <w:rPr>
                <w:color w:val="000000"/>
                <w:sz w:val="16"/>
                <w:lang w:val="sv-SE"/>
              </w:rPr>
            </w:pPr>
            <w:r w:rsidRPr="00800D1B">
              <w:rPr>
                <w:color w:val="000000"/>
                <w:sz w:val="16"/>
                <w:lang w:val="sv-SE"/>
              </w:rPr>
              <w:t>Överföringar från</w:t>
            </w:r>
          </w:p>
        </w:tc>
        <w:tc>
          <w:tcPr>
            <w:tcW w:w="0" w:type="auto"/>
            <w:gridSpan w:val="2"/>
          </w:tcPr>
          <w:p w14:paraId="2D066755" w14:textId="77777777" w:rsidR="00A77B3E" w:rsidRPr="00800D1B" w:rsidRDefault="00623E14" w:rsidP="001C0F68">
            <w:pPr>
              <w:spacing w:before="100" w:after="100"/>
              <w:ind w:left="-72"/>
              <w:jc w:val="center"/>
              <w:rPr>
                <w:color w:val="000000"/>
                <w:sz w:val="16"/>
                <w:lang w:val="sv-SE"/>
              </w:rPr>
            </w:pPr>
            <w:r w:rsidRPr="00800D1B">
              <w:rPr>
                <w:color w:val="000000"/>
                <w:sz w:val="16"/>
                <w:lang w:val="sv-SE"/>
              </w:rPr>
              <w:t>Överföringar till</w:t>
            </w:r>
          </w:p>
        </w:tc>
        <w:tc>
          <w:tcPr>
            <w:tcW w:w="0" w:type="auto"/>
            <w:gridSpan w:val="8"/>
          </w:tcPr>
          <w:p w14:paraId="2D066756" w14:textId="77777777" w:rsidR="00A77B3E" w:rsidRPr="00800D1B" w:rsidRDefault="00623E14" w:rsidP="001C0F68">
            <w:pPr>
              <w:spacing w:before="100" w:after="100"/>
              <w:ind w:left="-72"/>
              <w:jc w:val="center"/>
              <w:rPr>
                <w:color w:val="000000"/>
                <w:sz w:val="16"/>
                <w:lang w:val="sv-SE"/>
              </w:rPr>
            </w:pPr>
            <w:r w:rsidRPr="00800D1B">
              <w:rPr>
                <w:color w:val="000000"/>
                <w:sz w:val="16"/>
                <w:lang w:val="sv-SE"/>
              </w:rPr>
              <w:t>Uppdelning per år</w:t>
            </w:r>
          </w:p>
        </w:tc>
      </w:tr>
      <w:tr w:rsidR="003422DB" w:rsidRPr="00800D1B" w14:paraId="2D066764" w14:textId="77777777" w:rsidTr="001C0F68">
        <w:tc>
          <w:tcPr>
            <w:tcW w:w="0" w:type="auto"/>
          </w:tcPr>
          <w:p w14:paraId="2D066758" w14:textId="77777777" w:rsidR="00A77B3E" w:rsidRPr="00800D1B" w:rsidRDefault="00623E14" w:rsidP="001C0F68">
            <w:pPr>
              <w:spacing w:before="100" w:after="100"/>
              <w:ind w:left="-72"/>
              <w:jc w:val="center"/>
              <w:rPr>
                <w:color w:val="000000"/>
                <w:sz w:val="16"/>
                <w:lang w:val="sv-SE"/>
              </w:rPr>
            </w:pPr>
            <w:r w:rsidRPr="00800D1B">
              <w:rPr>
                <w:color w:val="000000"/>
                <w:sz w:val="16"/>
                <w:lang w:val="sv-SE"/>
              </w:rPr>
              <w:t>Fond</w:t>
            </w:r>
          </w:p>
        </w:tc>
        <w:tc>
          <w:tcPr>
            <w:tcW w:w="0" w:type="auto"/>
          </w:tcPr>
          <w:p w14:paraId="2D066759" w14:textId="77777777" w:rsidR="00A77B3E" w:rsidRPr="00800D1B" w:rsidRDefault="00623E14" w:rsidP="001C0F68">
            <w:pPr>
              <w:spacing w:before="100" w:after="100"/>
              <w:ind w:left="-72"/>
              <w:jc w:val="center"/>
              <w:rPr>
                <w:color w:val="000000"/>
                <w:sz w:val="16"/>
                <w:lang w:val="sv-SE"/>
              </w:rPr>
            </w:pPr>
            <w:r w:rsidRPr="00800D1B">
              <w:rPr>
                <w:color w:val="000000"/>
                <w:sz w:val="16"/>
                <w:lang w:val="sv-SE"/>
              </w:rPr>
              <w:t>Regionkategori</w:t>
            </w:r>
          </w:p>
        </w:tc>
        <w:tc>
          <w:tcPr>
            <w:tcW w:w="0" w:type="auto"/>
          </w:tcPr>
          <w:p w14:paraId="2D06675A" w14:textId="77777777" w:rsidR="00A77B3E" w:rsidRPr="00800D1B" w:rsidRDefault="00623E14" w:rsidP="001C0F68">
            <w:pPr>
              <w:spacing w:before="100" w:after="100"/>
              <w:ind w:left="-72"/>
              <w:jc w:val="center"/>
              <w:rPr>
                <w:color w:val="000000"/>
                <w:sz w:val="16"/>
                <w:lang w:val="sv-SE"/>
              </w:rPr>
            </w:pPr>
            <w:r w:rsidRPr="00800D1B">
              <w:rPr>
                <w:color w:val="000000"/>
                <w:sz w:val="16"/>
                <w:lang w:val="sv-SE"/>
              </w:rPr>
              <w:t>Fond</w:t>
            </w:r>
          </w:p>
        </w:tc>
        <w:tc>
          <w:tcPr>
            <w:tcW w:w="0" w:type="auto"/>
          </w:tcPr>
          <w:p w14:paraId="2D06675B" w14:textId="77777777" w:rsidR="00A77B3E" w:rsidRPr="00800D1B" w:rsidRDefault="00623E14" w:rsidP="001C0F68">
            <w:pPr>
              <w:spacing w:before="100" w:after="100"/>
              <w:ind w:left="-72"/>
              <w:jc w:val="center"/>
              <w:rPr>
                <w:color w:val="000000"/>
                <w:sz w:val="16"/>
                <w:lang w:val="sv-SE"/>
              </w:rPr>
            </w:pPr>
            <w:r w:rsidRPr="00800D1B">
              <w:rPr>
                <w:color w:val="000000"/>
                <w:sz w:val="16"/>
                <w:lang w:val="sv-SE"/>
              </w:rPr>
              <w:t>Regionkategori</w:t>
            </w:r>
          </w:p>
        </w:tc>
        <w:tc>
          <w:tcPr>
            <w:tcW w:w="0" w:type="auto"/>
          </w:tcPr>
          <w:p w14:paraId="2D06675C" w14:textId="77777777" w:rsidR="00A77B3E" w:rsidRPr="00800D1B" w:rsidRDefault="00623E14" w:rsidP="001C0F68">
            <w:pPr>
              <w:spacing w:before="100" w:after="100"/>
              <w:ind w:left="-72"/>
              <w:jc w:val="center"/>
              <w:rPr>
                <w:color w:val="000000"/>
                <w:sz w:val="16"/>
                <w:lang w:val="sv-SE"/>
              </w:rPr>
            </w:pPr>
            <w:r w:rsidRPr="00800D1B">
              <w:rPr>
                <w:color w:val="000000"/>
                <w:sz w:val="16"/>
                <w:lang w:val="sv-SE"/>
              </w:rPr>
              <w:t>2021</w:t>
            </w:r>
          </w:p>
        </w:tc>
        <w:tc>
          <w:tcPr>
            <w:tcW w:w="0" w:type="auto"/>
          </w:tcPr>
          <w:p w14:paraId="2D06675D" w14:textId="77777777" w:rsidR="00A77B3E" w:rsidRPr="00800D1B" w:rsidRDefault="00623E14" w:rsidP="001C0F68">
            <w:pPr>
              <w:spacing w:before="100" w:after="100"/>
              <w:ind w:left="-72"/>
              <w:jc w:val="center"/>
              <w:rPr>
                <w:color w:val="000000"/>
                <w:sz w:val="16"/>
                <w:lang w:val="sv-SE"/>
              </w:rPr>
            </w:pPr>
            <w:r w:rsidRPr="00800D1B">
              <w:rPr>
                <w:color w:val="000000"/>
                <w:sz w:val="16"/>
                <w:lang w:val="sv-SE"/>
              </w:rPr>
              <w:t>2022</w:t>
            </w:r>
          </w:p>
        </w:tc>
        <w:tc>
          <w:tcPr>
            <w:tcW w:w="0" w:type="auto"/>
          </w:tcPr>
          <w:p w14:paraId="2D06675E" w14:textId="77777777" w:rsidR="00A77B3E" w:rsidRPr="00800D1B" w:rsidRDefault="00623E14" w:rsidP="001C0F68">
            <w:pPr>
              <w:spacing w:before="100" w:after="100"/>
              <w:ind w:left="-72"/>
              <w:jc w:val="center"/>
              <w:rPr>
                <w:color w:val="000000"/>
                <w:sz w:val="16"/>
                <w:lang w:val="sv-SE"/>
              </w:rPr>
            </w:pPr>
            <w:r w:rsidRPr="00800D1B">
              <w:rPr>
                <w:color w:val="000000"/>
                <w:sz w:val="16"/>
                <w:lang w:val="sv-SE"/>
              </w:rPr>
              <w:t>2023</w:t>
            </w:r>
          </w:p>
        </w:tc>
        <w:tc>
          <w:tcPr>
            <w:tcW w:w="0" w:type="auto"/>
          </w:tcPr>
          <w:p w14:paraId="2D06675F" w14:textId="77777777" w:rsidR="00A77B3E" w:rsidRPr="00800D1B" w:rsidRDefault="00623E14" w:rsidP="001C0F68">
            <w:pPr>
              <w:spacing w:before="100" w:after="100"/>
              <w:ind w:left="-72"/>
              <w:jc w:val="center"/>
              <w:rPr>
                <w:color w:val="000000"/>
                <w:sz w:val="16"/>
                <w:lang w:val="sv-SE"/>
              </w:rPr>
            </w:pPr>
            <w:r w:rsidRPr="00800D1B">
              <w:rPr>
                <w:color w:val="000000"/>
                <w:sz w:val="16"/>
                <w:lang w:val="sv-SE"/>
              </w:rPr>
              <w:t>2024</w:t>
            </w:r>
          </w:p>
        </w:tc>
        <w:tc>
          <w:tcPr>
            <w:tcW w:w="0" w:type="auto"/>
          </w:tcPr>
          <w:p w14:paraId="2D066760" w14:textId="77777777" w:rsidR="00A77B3E" w:rsidRPr="00800D1B" w:rsidRDefault="00623E14" w:rsidP="001C0F68">
            <w:pPr>
              <w:spacing w:before="100" w:after="100"/>
              <w:ind w:left="-72"/>
              <w:jc w:val="center"/>
              <w:rPr>
                <w:color w:val="000000"/>
                <w:sz w:val="16"/>
                <w:lang w:val="sv-SE"/>
              </w:rPr>
            </w:pPr>
            <w:r w:rsidRPr="00800D1B">
              <w:rPr>
                <w:color w:val="000000"/>
                <w:sz w:val="16"/>
                <w:lang w:val="sv-SE"/>
              </w:rPr>
              <w:t>2025</w:t>
            </w:r>
          </w:p>
        </w:tc>
        <w:tc>
          <w:tcPr>
            <w:tcW w:w="0" w:type="auto"/>
          </w:tcPr>
          <w:p w14:paraId="2D066761" w14:textId="77777777" w:rsidR="00A77B3E" w:rsidRPr="00800D1B" w:rsidRDefault="00623E14" w:rsidP="001C0F68">
            <w:pPr>
              <w:spacing w:before="100" w:after="100"/>
              <w:ind w:left="-72"/>
              <w:jc w:val="center"/>
              <w:rPr>
                <w:color w:val="000000"/>
                <w:sz w:val="16"/>
                <w:lang w:val="sv-SE"/>
              </w:rPr>
            </w:pPr>
            <w:r w:rsidRPr="00800D1B">
              <w:rPr>
                <w:color w:val="000000"/>
                <w:sz w:val="16"/>
                <w:lang w:val="sv-SE"/>
              </w:rPr>
              <w:t>2026</w:t>
            </w:r>
          </w:p>
        </w:tc>
        <w:tc>
          <w:tcPr>
            <w:tcW w:w="0" w:type="auto"/>
          </w:tcPr>
          <w:p w14:paraId="2D066762" w14:textId="77777777" w:rsidR="00A77B3E" w:rsidRPr="00800D1B" w:rsidRDefault="00623E14" w:rsidP="001C0F68">
            <w:pPr>
              <w:spacing w:before="100" w:after="100"/>
              <w:ind w:left="-72"/>
              <w:jc w:val="center"/>
              <w:rPr>
                <w:color w:val="000000"/>
                <w:sz w:val="16"/>
                <w:lang w:val="sv-SE"/>
              </w:rPr>
            </w:pPr>
            <w:r w:rsidRPr="00800D1B">
              <w:rPr>
                <w:color w:val="000000"/>
                <w:sz w:val="16"/>
                <w:lang w:val="sv-SE"/>
              </w:rPr>
              <w:t>2027</w:t>
            </w:r>
          </w:p>
        </w:tc>
        <w:tc>
          <w:tcPr>
            <w:tcW w:w="0" w:type="auto"/>
          </w:tcPr>
          <w:p w14:paraId="2D066763" w14:textId="77777777" w:rsidR="00A77B3E" w:rsidRPr="00800D1B" w:rsidRDefault="00623E14" w:rsidP="001C0F68">
            <w:pPr>
              <w:spacing w:before="100" w:after="100"/>
              <w:ind w:left="-72"/>
              <w:jc w:val="center"/>
              <w:rPr>
                <w:color w:val="000000"/>
                <w:sz w:val="16"/>
                <w:lang w:val="sv-SE"/>
              </w:rPr>
            </w:pPr>
            <w:r w:rsidRPr="00800D1B">
              <w:rPr>
                <w:color w:val="000000"/>
                <w:sz w:val="16"/>
                <w:lang w:val="sv-SE"/>
              </w:rPr>
              <w:t>Totalt</w:t>
            </w:r>
          </w:p>
        </w:tc>
      </w:tr>
    </w:tbl>
    <w:p w14:paraId="2D066767" w14:textId="43037FB0" w:rsidR="00A77B3E" w:rsidRPr="00800D1B" w:rsidRDefault="00623E14" w:rsidP="00A52AEE">
      <w:pPr>
        <w:pStyle w:val="Rubrik4"/>
        <w:spacing w:before="1080" w:after="100"/>
        <w:ind w:left="0" w:firstLine="0"/>
      </w:pPr>
      <w:bookmarkStart w:id="206" w:name="_Toc256000447"/>
      <w:r w:rsidRPr="00800D1B">
        <w:t>Tabell 17B: Överföringar mellan Eruf, ESF+ och Sammanhållningsfonden, eller till en annan fond/fonder (sammanfattning)</w:t>
      </w:r>
      <w:bookmarkEnd w:id="206"/>
    </w:p>
    <w:tbl>
      <w:tblPr>
        <w:tblStyle w:val="Tabellrutnt"/>
        <w:tblW w:w="5030" w:type="pct"/>
        <w:tblLook w:val="04A0" w:firstRow="1" w:lastRow="0" w:firstColumn="1" w:lastColumn="0" w:noHBand="0" w:noVBand="1"/>
        <w:tblDescription w:val="En tabell med nio kolumner: Tom; Eruf; ESF+; Sammanhållningsfonden; EHFVF; AMIF; ISF; Tom; Totalt. Tabellen visar information om Överföringar mellan Eruf, ESF+ och Sammanhållningsfonden, eller till en annan fond/fonder (sammanfattning)."/>
      </w:tblPr>
      <w:tblGrid>
        <w:gridCol w:w="706"/>
        <w:gridCol w:w="755"/>
        <w:gridCol w:w="1239"/>
        <w:gridCol w:w="1706"/>
        <w:gridCol w:w="1510"/>
        <w:gridCol w:w="1280"/>
        <w:gridCol w:w="1671"/>
        <w:gridCol w:w="1599"/>
        <w:gridCol w:w="651"/>
        <w:gridCol w:w="558"/>
        <w:gridCol w:w="410"/>
        <w:gridCol w:w="2636"/>
        <w:gridCol w:w="542"/>
      </w:tblGrid>
      <w:tr w:rsidR="003422DB" w:rsidRPr="00800D1B" w14:paraId="2D066772" w14:textId="77777777" w:rsidTr="001C0F68">
        <w:tc>
          <w:tcPr>
            <w:tcW w:w="231" w:type="pct"/>
            <w:vMerge w:val="restart"/>
          </w:tcPr>
          <w:p w14:paraId="2D066769" w14:textId="77777777" w:rsidR="00A77B3E" w:rsidRPr="00800D1B" w:rsidRDefault="00A77B3E" w:rsidP="001C0F68">
            <w:pPr>
              <w:spacing w:before="100" w:after="100"/>
              <w:ind w:left="-72"/>
              <w:jc w:val="center"/>
              <w:rPr>
                <w:color w:val="000000"/>
                <w:sz w:val="14"/>
                <w:lang w:val="sv-SE"/>
              </w:rPr>
            </w:pPr>
          </w:p>
        </w:tc>
        <w:tc>
          <w:tcPr>
            <w:tcW w:w="1213" w:type="pct"/>
            <w:gridSpan w:val="3"/>
          </w:tcPr>
          <w:p w14:paraId="2D06676A" w14:textId="77777777" w:rsidR="00A77B3E" w:rsidRPr="00800D1B" w:rsidRDefault="00623E14" w:rsidP="001C0F68">
            <w:pPr>
              <w:spacing w:before="100" w:after="100"/>
              <w:ind w:left="-72"/>
              <w:jc w:val="center"/>
              <w:rPr>
                <w:color w:val="000000"/>
                <w:sz w:val="14"/>
                <w:lang w:val="sv-SE"/>
              </w:rPr>
            </w:pPr>
            <w:r w:rsidRPr="00800D1B">
              <w:rPr>
                <w:color w:val="000000"/>
                <w:sz w:val="14"/>
                <w:lang w:val="sv-SE"/>
              </w:rPr>
              <w:t>Eruf</w:t>
            </w:r>
          </w:p>
        </w:tc>
        <w:tc>
          <w:tcPr>
            <w:tcW w:w="0" w:type="auto"/>
            <w:gridSpan w:val="3"/>
          </w:tcPr>
          <w:p w14:paraId="2D06676B" w14:textId="77777777" w:rsidR="00A77B3E" w:rsidRPr="00800D1B" w:rsidRDefault="00623E14" w:rsidP="001C0F68">
            <w:pPr>
              <w:spacing w:before="100" w:after="100"/>
              <w:ind w:left="-72"/>
              <w:jc w:val="center"/>
              <w:rPr>
                <w:color w:val="000000"/>
                <w:sz w:val="14"/>
                <w:lang w:val="sv-SE"/>
              </w:rPr>
            </w:pPr>
            <w:r w:rsidRPr="00800D1B">
              <w:rPr>
                <w:color w:val="000000"/>
                <w:sz w:val="14"/>
                <w:lang w:val="sv-SE"/>
              </w:rPr>
              <w:t>ESF+</w:t>
            </w:r>
          </w:p>
        </w:tc>
        <w:tc>
          <w:tcPr>
            <w:tcW w:w="0" w:type="auto"/>
            <w:vMerge w:val="restart"/>
          </w:tcPr>
          <w:p w14:paraId="2D06676C" w14:textId="77777777" w:rsidR="00A77B3E" w:rsidRPr="00800D1B" w:rsidRDefault="00623E14" w:rsidP="001C0F68">
            <w:pPr>
              <w:spacing w:before="100" w:after="100"/>
              <w:ind w:left="-72"/>
              <w:jc w:val="center"/>
              <w:rPr>
                <w:color w:val="000000"/>
                <w:sz w:val="14"/>
                <w:lang w:val="sv-SE"/>
              </w:rPr>
            </w:pPr>
            <w:r w:rsidRPr="00800D1B">
              <w:rPr>
                <w:color w:val="000000"/>
                <w:sz w:val="14"/>
                <w:lang w:val="sv-SE"/>
              </w:rPr>
              <w:t>Sammanhållningsfonden</w:t>
            </w:r>
          </w:p>
        </w:tc>
        <w:tc>
          <w:tcPr>
            <w:tcW w:w="0" w:type="auto"/>
            <w:vMerge w:val="restart"/>
          </w:tcPr>
          <w:p w14:paraId="2D06676D" w14:textId="77777777" w:rsidR="00A77B3E" w:rsidRPr="00800D1B" w:rsidRDefault="00623E14" w:rsidP="001C0F68">
            <w:pPr>
              <w:spacing w:before="100" w:after="100"/>
              <w:ind w:left="-72"/>
              <w:jc w:val="center"/>
              <w:rPr>
                <w:color w:val="000000"/>
                <w:sz w:val="14"/>
                <w:lang w:val="sv-SE"/>
              </w:rPr>
            </w:pPr>
            <w:r w:rsidRPr="00800D1B">
              <w:rPr>
                <w:color w:val="000000"/>
                <w:sz w:val="14"/>
                <w:lang w:val="sv-SE"/>
              </w:rPr>
              <w:t>EHFVF</w:t>
            </w:r>
          </w:p>
        </w:tc>
        <w:tc>
          <w:tcPr>
            <w:tcW w:w="0" w:type="auto"/>
            <w:vMerge w:val="restart"/>
          </w:tcPr>
          <w:p w14:paraId="2D06676E" w14:textId="77777777" w:rsidR="00A77B3E" w:rsidRPr="00800D1B" w:rsidRDefault="00623E14" w:rsidP="001C0F68">
            <w:pPr>
              <w:spacing w:before="100" w:after="100"/>
              <w:ind w:left="-72"/>
              <w:jc w:val="center"/>
              <w:rPr>
                <w:color w:val="000000"/>
                <w:sz w:val="14"/>
                <w:lang w:val="sv-SE"/>
              </w:rPr>
            </w:pPr>
            <w:r w:rsidRPr="00800D1B">
              <w:rPr>
                <w:color w:val="000000"/>
                <w:sz w:val="14"/>
                <w:lang w:val="sv-SE"/>
              </w:rPr>
              <w:t>AMIF</w:t>
            </w:r>
          </w:p>
        </w:tc>
        <w:tc>
          <w:tcPr>
            <w:tcW w:w="0" w:type="auto"/>
            <w:vMerge w:val="restart"/>
          </w:tcPr>
          <w:p w14:paraId="2D06676F" w14:textId="77777777" w:rsidR="00A77B3E" w:rsidRPr="00800D1B" w:rsidRDefault="00623E14" w:rsidP="001C0F68">
            <w:pPr>
              <w:spacing w:before="100" w:after="100"/>
              <w:ind w:left="-72"/>
              <w:jc w:val="center"/>
              <w:rPr>
                <w:color w:val="000000"/>
                <w:sz w:val="14"/>
                <w:lang w:val="sv-SE"/>
              </w:rPr>
            </w:pPr>
            <w:r w:rsidRPr="00800D1B">
              <w:rPr>
                <w:color w:val="000000"/>
                <w:sz w:val="14"/>
                <w:lang w:val="sv-SE"/>
              </w:rPr>
              <w:t>ISF</w:t>
            </w:r>
          </w:p>
        </w:tc>
        <w:tc>
          <w:tcPr>
            <w:tcW w:w="0" w:type="auto"/>
            <w:vMerge w:val="restart"/>
          </w:tcPr>
          <w:p w14:paraId="2D066770" w14:textId="77777777" w:rsidR="00A77B3E" w:rsidRPr="00800D1B" w:rsidRDefault="00623E14" w:rsidP="001C0F68">
            <w:pPr>
              <w:spacing w:before="100" w:after="100"/>
              <w:ind w:left="-72"/>
              <w:jc w:val="center"/>
              <w:rPr>
                <w:color w:val="000000"/>
                <w:sz w:val="14"/>
                <w:lang w:val="sv-SE"/>
              </w:rPr>
            </w:pPr>
            <w:r w:rsidRPr="00800D1B">
              <w:rPr>
                <w:color w:val="000000"/>
                <w:sz w:val="14"/>
                <w:lang w:val="sv-SE"/>
              </w:rPr>
              <w:t>Instrumentet för gränsförvaltning och visering</w:t>
            </w:r>
          </w:p>
        </w:tc>
        <w:tc>
          <w:tcPr>
            <w:tcW w:w="0" w:type="auto"/>
            <w:vMerge w:val="restart"/>
          </w:tcPr>
          <w:p w14:paraId="2D066771" w14:textId="77777777" w:rsidR="00A77B3E" w:rsidRPr="00800D1B" w:rsidRDefault="00623E14" w:rsidP="001C0F68">
            <w:pPr>
              <w:spacing w:before="100" w:after="100"/>
              <w:ind w:left="-72"/>
              <w:jc w:val="center"/>
              <w:rPr>
                <w:color w:val="000000"/>
                <w:sz w:val="14"/>
                <w:lang w:val="sv-SE"/>
              </w:rPr>
            </w:pPr>
            <w:r w:rsidRPr="00800D1B">
              <w:rPr>
                <w:color w:val="000000"/>
                <w:sz w:val="14"/>
                <w:lang w:val="sv-SE"/>
              </w:rPr>
              <w:t>Totalt</w:t>
            </w:r>
          </w:p>
        </w:tc>
      </w:tr>
      <w:tr w:rsidR="00CA08DC" w:rsidRPr="00800D1B" w14:paraId="2D066780" w14:textId="77777777" w:rsidTr="001C0F68">
        <w:tc>
          <w:tcPr>
            <w:tcW w:w="231" w:type="pct"/>
            <w:vMerge/>
          </w:tcPr>
          <w:p w14:paraId="2D066773" w14:textId="77777777" w:rsidR="00A77B3E" w:rsidRPr="00800D1B" w:rsidRDefault="00A77B3E" w:rsidP="001C0F68">
            <w:pPr>
              <w:spacing w:before="100" w:after="100"/>
              <w:ind w:left="-72"/>
              <w:jc w:val="center"/>
              <w:rPr>
                <w:color w:val="000000"/>
                <w:sz w:val="14"/>
                <w:lang w:val="sv-SE"/>
              </w:rPr>
            </w:pPr>
          </w:p>
        </w:tc>
        <w:tc>
          <w:tcPr>
            <w:tcW w:w="247" w:type="pct"/>
          </w:tcPr>
          <w:p w14:paraId="2D066774" w14:textId="77777777" w:rsidR="00A77B3E" w:rsidRPr="00800D1B" w:rsidRDefault="00623E14" w:rsidP="001C0F68">
            <w:pPr>
              <w:spacing w:before="100" w:after="100"/>
              <w:ind w:left="-72"/>
              <w:jc w:val="center"/>
              <w:rPr>
                <w:color w:val="000000"/>
                <w:sz w:val="14"/>
                <w:lang w:val="sv-SE"/>
              </w:rPr>
            </w:pPr>
            <w:r w:rsidRPr="00800D1B">
              <w:rPr>
                <w:color w:val="000000"/>
                <w:sz w:val="14"/>
                <w:lang w:val="sv-SE"/>
              </w:rPr>
              <w:t>Mer utvecklade regioner</w:t>
            </w:r>
          </w:p>
        </w:tc>
        <w:tc>
          <w:tcPr>
            <w:tcW w:w="0" w:type="auto"/>
          </w:tcPr>
          <w:p w14:paraId="2D066775" w14:textId="77777777" w:rsidR="00A77B3E" w:rsidRPr="00800D1B" w:rsidRDefault="00623E14" w:rsidP="001C0F68">
            <w:pPr>
              <w:spacing w:before="100" w:after="100"/>
              <w:ind w:left="-72"/>
              <w:jc w:val="center"/>
              <w:rPr>
                <w:color w:val="000000"/>
                <w:sz w:val="14"/>
                <w:lang w:val="sv-SE"/>
              </w:rPr>
            </w:pPr>
            <w:r w:rsidRPr="00800D1B">
              <w:rPr>
                <w:color w:val="000000"/>
                <w:sz w:val="14"/>
                <w:lang w:val="sv-SE"/>
              </w:rPr>
              <w:t>Övergångsregioner</w:t>
            </w:r>
          </w:p>
        </w:tc>
        <w:tc>
          <w:tcPr>
            <w:tcW w:w="0" w:type="auto"/>
          </w:tcPr>
          <w:p w14:paraId="2D066776" w14:textId="77777777" w:rsidR="00A77B3E" w:rsidRPr="00800D1B" w:rsidRDefault="00623E14" w:rsidP="001C0F68">
            <w:pPr>
              <w:spacing w:before="100" w:after="100"/>
              <w:ind w:left="-72"/>
              <w:jc w:val="center"/>
              <w:rPr>
                <w:color w:val="000000"/>
                <w:sz w:val="14"/>
                <w:lang w:val="sv-SE"/>
              </w:rPr>
            </w:pPr>
            <w:r w:rsidRPr="00800D1B">
              <w:rPr>
                <w:color w:val="000000"/>
                <w:sz w:val="14"/>
                <w:lang w:val="sv-SE"/>
              </w:rPr>
              <w:t>Mindre utvecklade regioner</w:t>
            </w:r>
          </w:p>
        </w:tc>
        <w:tc>
          <w:tcPr>
            <w:tcW w:w="0" w:type="auto"/>
          </w:tcPr>
          <w:p w14:paraId="2D066777" w14:textId="77777777" w:rsidR="00A77B3E" w:rsidRPr="00800D1B" w:rsidRDefault="00623E14" w:rsidP="001C0F68">
            <w:pPr>
              <w:spacing w:before="100" w:after="100"/>
              <w:ind w:left="-72"/>
              <w:jc w:val="center"/>
              <w:rPr>
                <w:color w:val="000000"/>
                <w:sz w:val="14"/>
                <w:lang w:val="sv-SE"/>
              </w:rPr>
            </w:pPr>
            <w:r w:rsidRPr="00800D1B">
              <w:rPr>
                <w:color w:val="000000"/>
                <w:sz w:val="14"/>
                <w:lang w:val="sv-SE"/>
              </w:rPr>
              <w:t>Mer utvecklade regioner</w:t>
            </w:r>
          </w:p>
        </w:tc>
        <w:tc>
          <w:tcPr>
            <w:tcW w:w="0" w:type="auto"/>
          </w:tcPr>
          <w:p w14:paraId="2D066778" w14:textId="77777777" w:rsidR="00A77B3E" w:rsidRPr="00800D1B" w:rsidRDefault="00623E14" w:rsidP="001C0F68">
            <w:pPr>
              <w:spacing w:before="100" w:after="100"/>
              <w:ind w:left="-72"/>
              <w:jc w:val="center"/>
              <w:rPr>
                <w:color w:val="000000"/>
                <w:sz w:val="14"/>
                <w:lang w:val="sv-SE"/>
              </w:rPr>
            </w:pPr>
            <w:r w:rsidRPr="00800D1B">
              <w:rPr>
                <w:color w:val="000000"/>
                <w:sz w:val="14"/>
                <w:lang w:val="sv-SE"/>
              </w:rPr>
              <w:t>Övergångsregioner</w:t>
            </w:r>
          </w:p>
        </w:tc>
        <w:tc>
          <w:tcPr>
            <w:tcW w:w="0" w:type="auto"/>
          </w:tcPr>
          <w:p w14:paraId="2D066779" w14:textId="77777777" w:rsidR="00A77B3E" w:rsidRPr="00800D1B" w:rsidRDefault="00623E14" w:rsidP="001C0F68">
            <w:pPr>
              <w:spacing w:before="100" w:after="100"/>
              <w:ind w:left="-72"/>
              <w:jc w:val="center"/>
              <w:rPr>
                <w:color w:val="000000"/>
                <w:sz w:val="14"/>
                <w:lang w:val="sv-SE"/>
              </w:rPr>
            </w:pPr>
            <w:r w:rsidRPr="00800D1B">
              <w:rPr>
                <w:color w:val="000000"/>
                <w:sz w:val="14"/>
                <w:lang w:val="sv-SE"/>
              </w:rPr>
              <w:t>Mindre utvecklade regioner</w:t>
            </w:r>
          </w:p>
        </w:tc>
        <w:tc>
          <w:tcPr>
            <w:tcW w:w="0" w:type="auto"/>
            <w:vMerge/>
          </w:tcPr>
          <w:p w14:paraId="2D06677A" w14:textId="77777777" w:rsidR="00A77B3E" w:rsidRPr="00800D1B" w:rsidRDefault="00A77B3E" w:rsidP="001C0F68">
            <w:pPr>
              <w:spacing w:before="100" w:after="100"/>
              <w:ind w:left="-72"/>
              <w:jc w:val="center"/>
              <w:rPr>
                <w:color w:val="000000"/>
                <w:sz w:val="14"/>
                <w:lang w:val="sv-SE"/>
              </w:rPr>
            </w:pPr>
          </w:p>
        </w:tc>
        <w:tc>
          <w:tcPr>
            <w:tcW w:w="0" w:type="auto"/>
            <w:vMerge/>
          </w:tcPr>
          <w:p w14:paraId="2D06677B" w14:textId="77777777" w:rsidR="00A77B3E" w:rsidRPr="00800D1B" w:rsidRDefault="00A77B3E" w:rsidP="001C0F68">
            <w:pPr>
              <w:spacing w:before="100" w:after="100"/>
              <w:ind w:left="-72"/>
              <w:jc w:val="center"/>
              <w:rPr>
                <w:color w:val="000000"/>
                <w:sz w:val="14"/>
                <w:lang w:val="sv-SE"/>
              </w:rPr>
            </w:pPr>
          </w:p>
        </w:tc>
        <w:tc>
          <w:tcPr>
            <w:tcW w:w="0" w:type="auto"/>
            <w:vMerge/>
          </w:tcPr>
          <w:p w14:paraId="2D06677C" w14:textId="77777777" w:rsidR="00A77B3E" w:rsidRPr="00800D1B" w:rsidRDefault="00A77B3E" w:rsidP="001C0F68">
            <w:pPr>
              <w:spacing w:before="100" w:after="100"/>
              <w:ind w:left="-72"/>
              <w:jc w:val="center"/>
              <w:rPr>
                <w:color w:val="000000"/>
                <w:sz w:val="14"/>
                <w:lang w:val="sv-SE"/>
              </w:rPr>
            </w:pPr>
          </w:p>
        </w:tc>
        <w:tc>
          <w:tcPr>
            <w:tcW w:w="0" w:type="auto"/>
            <w:vMerge/>
          </w:tcPr>
          <w:p w14:paraId="2D06677D" w14:textId="77777777" w:rsidR="00A77B3E" w:rsidRPr="00800D1B" w:rsidRDefault="00A77B3E" w:rsidP="001C0F68">
            <w:pPr>
              <w:spacing w:before="100" w:after="100"/>
              <w:ind w:left="-72"/>
              <w:jc w:val="center"/>
              <w:rPr>
                <w:color w:val="000000"/>
                <w:sz w:val="14"/>
                <w:lang w:val="sv-SE"/>
              </w:rPr>
            </w:pPr>
          </w:p>
        </w:tc>
        <w:tc>
          <w:tcPr>
            <w:tcW w:w="0" w:type="auto"/>
            <w:vMerge/>
          </w:tcPr>
          <w:p w14:paraId="2D06677E" w14:textId="77777777" w:rsidR="00A77B3E" w:rsidRPr="00800D1B" w:rsidRDefault="00A77B3E" w:rsidP="001C0F68">
            <w:pPr>
              <w:spacing w:before="100" w:after="100"/>
              <w:ind w:left="-72"/>
              <w:jc w:val="center"/>
              <w:rPr>
                <w:color w:val="000000"/>
                <w:sz w:val="14"/>
                <w:lang w:val="sv-SE"/>
              </w:rPr>
            </w:pPr>
          </w:p>
        </w:tc>
        <w:tc>
          <w:tcPr>
            <w:tcW w:w="0" w:type="auto"/>
            <w:vMerge/>
          </w:tcPr>
          <w:p w14:paraId="2D06677F" w14:textId="77777777" w:rsidR="00A77B3E" w:rsidRPr="00800D1B" w:rsidRDefault="00A77B3E" w:rsidP="001C0F68">
            <w:pPr>
              <w:spacing w:before="100" w:after="100"/>
              <w:ind w:left="-72"/>
              <w:jc w:val="center"/>
              <w:rPr>
                <w:color w:val="000000"/>
                <w:sz w:val="14"/>
                <w:lang w:val="sv-SE"/>
              </w:rPr>
            </w:pPr>
          </w:p>
        </w:tc>
      </w:tr>
      <w:tr w:rsidR="001C0F68" w:rsidRPr="00800D1B" w14:paraId="2D06678F" w14:textId="77777777" w:rsidTr="00E77749">
        <w:tc>
          <w:tcPr>
            <w:tcW w:w="231" w:type="pct"/>
          </w:tcPr>
          <w:p w14:paraId="2D066782" w14:textId="5A05C0DE" w:rsidR="001C0F68" w:rsidRPr="00800D1B" w:rsidRDefault="001C0F68" w:rsidP="001C0F68">
            <w:pPr>
              <w:spacing w:before="100" w:after="100"/>
              <w:ind w:left="-72"/>
              <w:rPr>
                <w:color w:val="000000"/>
                <w:sz w:val="14"/>
                <w:lang w:val="sv-SE"/>
              </w:rPr>
            </w:pPr>
            <w:r w:rsidRPr="00800D1B">
              <w:rPr>
                <w:color w:val="000000"/>
                <w:sz w:val="14"/>
                <w:lang w:val="sv-SE"/>
              </w:rPr>
              <w:t>Totalt</w:t>
            </w:r>
          </w:p>
        </w:tc>
        <w:tc>
          <w:tcPr>
            <w:tcW w:w="0" w:type="auto"/>
          </w:tcPr>
          <w:p w14:paraId="2D066783" w14:textId="77777777" w:rsidR="001C0F68" w:rsidRPr="00800D1B" w:rsidRDefault="001C0F68" w:rsidP="00E77749">
            <w:pPr>
              <w:spacing w:before="100" w:after="100"/>
              <w:ind w:left="-72"/>
              <w:rPr>
                <w:color w:val="000000"/>
                <w:sz w:val="14"/>
                <w:lang w:val="sv-SE"/>
              </w:rPr>
            </w:pPr>
          </w:p>
        </w:tc>
        <w:tc>
          <w:tcPr>
            <w:tcW w:w="0" w:type="auto"/>
          </w:tcPr>
          <w:p w14:paraId="2D066784" w14:textId="77777777" w:rsidR="001C0F68" w:rsidRPr="00800D1B" w:rsidRDefault="001C0F68" w:rsidP="00E77749">
            <w:pPr>
              <w:spacing w:before="100" w:after="100"/>
              <w:ind w:left="-72"/>
              <w:rPr>
                <w:color w:val="000000"/>
                <w:sz w:val="14"/>
                <w:lang w:val="sv-SE"/>
              </w:rPr>
            </w:pPr>
          </w:p>
        </w:tc>
        <w:tc>
          <w:tcPr>
            <w:tcW w:w="0" w:type="auto"/>
          </w:tcPr>
          <w:p w14:paraId="2D066785" w14:textId="77777777" w:rsidR="001C0F68" w:rsidRPr="00800D1B" w:rsidRDefault="001C0F68" w:rsidP="00E77749">
            <w:pPr>
              <w:spacing w:before="100" w:after="100"/>
              <w:ind w:left="-72"/>
              <w:rPr>
                <w:color w:val="000000"/>
                <w:sz w:val="14"/>
                <w:lang w:val="sv-SE"/>
              </w:rPr>
            </w:pPr>
          </w:p>
        </w:tc>
        <w:tc>
          <w:tcPr>
            <w:tcW w:w="0" w:type="auto"/>
          </w:tcPr>
          <w:p w14:paraId="2D066786" w14:textId="77777777" w:rsidR="001C0F68" w:rsidRPr="00800D1B" w:rsidRDefault="001C0F68" w:rsidP="00E77749">
            <w:pPr>
              <w:spacing w:before="100" w:after="100"/>
              <w:ind w:left="-72"/>
              <w:rPr>
                <w:color w:val="000000"/>
                <w:sz w:val="14"/>
                <w:lang w:val="sv-SE"/>
              </w:rPr>
            </w:pPr>
          </w:p>
        </w:tc>
        <w:tc>
          <w:tcPr>
            <w:tcW w:w="0" w:type="auto"/>
          </w:tcPr>
          <w:p w14:paraId="2D066787" w14:textId="77777777" w:rsidR="001C0F68" w:rsidRPr="00800D1B" w:rsidRDefault="001C0F68" w:rsidP="00E77749">
            <w:pPr>
              <w:spacing w:before="100" w:after="100"/>
              <w:ind w:left="-72"/>
              <w:rPr>
                <w:color w:val="000000"/>
                <w:sz w:val="14"/>
                <w:lang w:val="sv-SE"/>
              </w:rPr>
            </w:pPr>
          </w:p>
        </w:tc>
        <w:tc>
          <w:tcPr>
            <w:tcW w:w="0" w:type="auto"/>
          </w:tcPr>
          <w:p w14:paraId="2D066788" w14:textId="77777777" w:rsidR="001C0F68" w:rsidRPr="00800D1B" w:rsidRDefault="001C0F68" w:rsidP="00E77749">
            <w:pPr>
              <w:spacing w:before="100" w:after="100"/>
              <w:ind w:left="-72"/>
              <w:rPr>
                <w:color w:val="000000"/>
                <w:sz w:val="14"/>
                <w:lang w:val="sv-SE"/>
              </w:rPr>
            </w:pPr>
          </w:p>
        </w:tc>
        <w:tc>
          <w:tcPr>
            <w:tcW w:w="0" w:type="auto"/>
          </w:tcPr>
          <w:p w14:paraId="2D066789" w14:textId="77777777" w:rsidR="001C0F68" w:rsidRPr="00800D1B" w:rsidRDefault="001C0F68" w:rsidP="00E77749">
            <w:pPr>
              <w:spacing w:before="100" w:after="100"/>
              <w:ind w:left="-72"/>
              <w:rPr>
                <w:color w:val="000000"/>
                <w:sz w:val="14"/>
                <w:lang w:val="sv-SE"/>
              </w:rPr>
            </w:pPr>
          </w:p>
        </w:tc>
        <w:tc>
          <w:tcPr>
            <w:tcW w:w="0" w:type="auto"/>
          </w:tcPr>
          <w:p w14:paraId="2D06678A" w14:textId="77777777" w:rsidR="001C0F68" w:rsidRPr="00800D1B" w:rsidRDefault="001C0F68" w:rsidP="00E77749">
            <w:pPr>
              <w:spacing w:before="100" w:after="100"/>
              <w:ind w:left="-72"/>
              <w:rPr>
                <w:color w:val="000000"/>
                <w:sz w:val="14"/>
                <w:lang w:val="sv-SE"/>
              </w:rPr>
            </w:pPr>
          </w:p>
        </w:tc>
        <w:tc>
          <w:tcPr>
            <w:tcW w:w="0" w:type="auto"/>
          </w:tcPr>
          <w:p w14:paraId="2D06678B" w14:textId="77777777" w:rsidR="001C0F68" w:rsidRPr="00800D1B" w:rsidRDefault="001C0F68" w:rsidP="00E77749">
            <w:pPr>
              <w:spacing w:before="100" w:after="100"/>
              <w:ind w:left="-72"/>
              <w:rPr>
                <w:color w:val="000000"/>
                <w:sz w:val="14"/>
                <w:lang w:val="sv-SE"/>
              </w:rPr>
            </w:pPr>
          </w:p>
        </w:tc>
        <w:tc>
          <w:tcPr>
            <w:tcW w:w="0" w:type="auto"/>
          </w:tcPr>
          <w:p w14:paraId="2D06678C" w14:textId="77777777" w:rsidR="001C0F68" w:rsidRPr="00800D1B" w:rsidRDefault="001C0F68" w:rsidP="00E77749">
            <w:pPr>
              <w:spacing w:before="100" w:after="100"/>
              <w:ind w:left="-72"/>
              <w:rPr>
                <w:color w:val="000000"/>
                <w:sz w:val="14"/>
                <w:lang w:val="sv-SE"/>
              </w:rPr>
            </w:pPr>
          </w:p>
        </w:tc>
        <w:tc>
          <w:tcPr>
            <w:tcW w:w="0" w:type="auto"/>
          </w:tcPr>
          <w:p w14:paraId="2D06678D" w14:textId="77777777" w:rsidR="001C0F68" w:rsidRPr="00800D1B" w:rsidRDefault="001C0F68" w:rsidP="00E77749">
            <w:pPr>
              <w:spacing w:before="100" w:after="100"/>
              <w:ind w:left="-72"/>
              <w:rPr>
                <w:color w:val="000000"/>
                <w:sz w:val="14"/>
                <w:lang w:val="sv-SE"/>
              </w:rPr>
            </w:pPr>
          </w:p>
        </w:tc>
        <w:tc>
          <w:tcPr>
            <w:tcW w:w="0" w:type="auto"/>
          </w:tcPr>
          <w:p w14:paraId="2D06678E" w14:textId="77777777" w:rsidR="001C0F68" w:rsidRPr="00800D1B" w:rsidRDefault="001C0F68" w:rsidP="00E77749">
            <w:pPr>
              <w:spacing w:before="100" w:after="100"/>
              <w:ind w:left="-72"/>
              <w:rPr>
                <w:color w:val="000000"/>
                <w:sz w:val="14"/>
                <w:lang w:val="sv-SE"/>
              </w:rPr>
            </w:pPr>
          </w:p>
        </w:tc>
      </w:tr>
    </w:tbl>
    <w:p w14:paraId="2D066790" w14:textId="77777777" w:rsidR="00A77B3E" w:rsidRPr="00800D1B" w:rsidRDefault="00623E14">
      <w:pPr>
        <w:spacing w:before="100"/>
        <w:rPr>
          <w:color w:val="000000"/>
          <w:sz w:val="16"/>
          <w:lang w:val="sv-SE"/>
        </w:rPr>
      </w:pPr>
      <w:r w:rsidRPr="00800D1B">
        <w:rPr>
          <w:color w:val="000000"/>
          <w:sz w:val="16"/>
          <w:lang w:val="sv-SE"/>
        </w:rPr>
        <w:t>Kumulativa belopp för alla överföringar som görs genom programändringar under programperioden. För varje ny ansökan om överföring ska de totala belopp som överförs för varje år per fond och regionkategori anges i en programändring.</w:t>
      </w:r>
    </w:p>
    <w:p w14:paraId="2D066792" w14:textId="488BD448" w:rsidR="00A77B3E" w:rsidRPr="00800D1B" w:rsidRDefault="00623E14" w:rsidP="00B30B9E">
      <w:pPr>
        <w:pStyle w:val="Rubrik5"/>
        <w:numPr>
          <w:ilvl w:val="0"/>
          <w:numId w:val="0"/>
        </w:numPr>
        <w:spacing w:before="360" w:after="100"/>
      </w:pPr>
      <w:bookmarkStart w:id="207" w:name="_Toc256000448"/>
      <w:r w:rsidRPr="00800D1B">
        <w:t>Överföringar mellan fonder med delad förvaltning, inbegripet mellan sammanhållningspolitiska fonder – Motivering</w:t>
      </w:r>
      <w:bookmarkEnd w:id="207"/>
    </w:p>
    <w:p w14:paraId="2D066793" w14:textId="77777777" w:rsidR="00A77B3E" w:rsidRPr="00800D1B" w:rsidRDefault="00A77B3E">
      <w:pPr>
        <w:spacing w:before="100"/>
        <w:rPr>
          <w:color w:val="000000"/>
          <w:sz w:val="0"/>
          <w:lang w:val="sv-SE"/>
        </w:rPr>
      </w:pPr>
    </w:p>
    <w:tbl>
      <w:tblPr>
        <w:tblStyle w:val="Tabellrutnt"/>
        <w:tblW w:w="5000" w:type="pct"/>
        <w:tblLayout w:type="fixed"/>
        <w:tblLook w:val="04A0" w:firstRow="1" w:lastRow="0" w:firstColumn="1" w:lastColumn="0" w:noHBand="0" w:noVBand="1"/>
      </w:tblPr>
      <w:tblGrid>
        <w:gridCol w:w="15172"/>
      </w:tblGrid>
      <w:tr w:rsidR="003422DB" w:rsidRPr="00BD3045" w14:paraId="2D066796" w14:textId="77777777" w:rsidTr="005E568C">
        <w:tc>
          <w:tcPr>
            <w:tcW w:w="5000" w:type="pct"/>
          </w:tcPr>
          <w:p w14:paraId="2D066794" w14:textId="77777777" w:rsidR="00A77B3E" w:rsidRPr="00800D1B" w:rsidRDefault="00A77B3E" w:rsidP="005E568C">
            <w:pPr>
              <w:spacing w:before="100" w:after="100"/>
              <w:ind w:left="-72"/>
              <w:rPr>
                <w:color w:val="000000"/>
                <w:sz w:val="0"/>
                <w:lang w:val="sv-SE"/>
              </w:rPr>
            </w:pPr>
          </w:p>
          <w:p w14:paraId="2D066795" w14:textId="77777777" w:rsidR="00A77B3E" w:rsidRPr="00800D1B" w:rsidRDefault="00A77B3E" w:rsidP="005E568C">
            <w:pPr>
              <w:spacing w:before="100" w:after="100"/>
              <w:ind w:left="-72"/>
              <w:rPr>
                <w:color w:val="000000"/>
                <w:lang w:val="sv-SE"/>
              </w:rPr>
            </w:pPr>
          </w:p>
        </w:tc>
      </w:tr>
    </w:tbl>
    <w:p w14:paraId="2D066799" w14:textId="27F26530" w:rsidR="00A77B3E" w:rsidRPr="00800D1B" w:rsidRDefault="00623E14">
      <w:pPr>
        <w:pStyle w:val="Rubrik3"/>
        <w:spacing w:before="600" w:after="640"/>
        <w:ind w:left="360"/>
        <w:rPr>
          <w:lang w:val="sv-SE"/>
        </w:rPr>
      </w:pPr>
      <w:bookmarkStart w:id="208" w:name="_Toc256000449"/>
      <w:r w:rsidRPr="00800D1B">
        <w:rPr>
          <w:lang w:val="sv-SE"/>
        </w:rPr>
        <w:t>FRO: anslag inom programmet och överföringar (1)</w:t>
      </w:r>
      <w:bookmarkEnd w:id="208"/>
    </w:p>
    <w:p w14:paraId="2D06679A" w14:textId="77777777" w:rsidR="00A77B3E" w:rsidRPr="00800D1B" w:rsidRDefault="00A77B3E">
      <w:pPr>
        <w:spacing w:before="100"/>
        <w:rPr>
          <w:color w:val="000000"/>
          <w:sz w:val="0"/>
          <w:lang w:val="sv-SE"/>
        </w:rPr>
      </w:pPr>
    </w:p>
    <w:p w14:paraId="2D06679D" w14:textId="26D5ACB1" w:rsidR="00A77B3E" w:rsidRPr="00800D1B" w:rsidRDefault="00623E14">
      <w:pPr>
        <w:pStyle w:val="Rubrik3"/>
        <w:ind w:left="360"/>
        <w:rPr>
          <w:lang w:val="sv-SE"/>
        </w:rPr>
      </w:pPr>
      <w:bookmarkStart w:id="209" w:name="_Toc256000450"/>
      <w:r w:rsidRPr="00800D1B">
        <w:rPr>
          <w:lang w:val="sv-SE"/>
        </w:rPr>
        <w:t xml:space="preserve"> Överföringar mellan regionkategorier till följd av halvtidsöversynen</w:t>
      </w:r>
      <w:bookmarkEnd w:id="209"/>
    </w:p>
    <w:p w14:paraId="2D06679F" w14:textId="5D130F77" w:rsidR="00A77B3E" w:rsidRPr="00800D1B" w:rsidRDefault="00623E14" w:rsidP="00BD52ED">
      <w:pPr>
        <w:pStyle w:val="Rubrik4"/>
        <w:spacing w:before="300" w:after="520"/>
        <w:ind w:left="0" w:firstLine="0"/>
      </w:pPr>
      <w:bookmarkStart w:id="210" w:name="_Toc256000451"/>
      <w:r w:rsidRPr="00800D1B">
        <w:t>Tabell 19 A: Överföringar mellan regionkategorier till följd av halvtidsöversynen, inom programmet (fördelning per år)</w:t>
      </w:r>
      <w:bookmarkEnd w:id="210"/>
    </w:p>
    <w:tbl>
      <w:tblPr>
        <w:tblStyle w:val="Tabellrutnt"/>
        <w:tblW w:w="5000" w:type="pct"/>
        <w:tblLook w:val="04A0" w:firstRow="1" w:lastRow="0" w:firstColumn="1" w:lastColumn="0" w:noHBand="0" w:noVBand="1"/>
        <w:tblDescription w:val="En tabell med tre kolumner: Överföringar från; Överföringar till; Uppdelning per år. Tabellen visar information om Överföringar mellan regionkategorier till följd av halvtidsöversynen, inom programmet (fördelning per år)."/>
      </w:tblPr>
      <w:tblGrid>
        <w:gridCol w:w="4213"/>
        <w:gridCol w:w="4008"/>
        <w:gridCol w:w="1689"/>
        <w:gridCol w:w="1689"/>
        <w:gridCol w:w="1689"/>
        <w:gridCol w:w="1884"/>
      </w:tblGrid>
      <w:tr w:rsidR="003422DB" w:rsidRPr="00800D1B" w14:paraId="2D0667A5" w14:textId="77777777" w:rsidTr="005E568C">
        <w:tc>
          <w:tcPr>
            <w:tcW w:w="0" w:type="auto"/>
          </w:tcPr>
          <w:p w14:paraId="2D0667A2" w14:textId="77777777" w:rsidR="00A77B3E" w:rsidRPr="00800D1B" w:rsidRDefault="00623E14" w:rsidP="005E568C">
            <w:pPr>
              <w:spacing w:before="100" w:after="100"/>
              <w:ind w:left="-72"/>
              <w:jc w:val="center"/>
              <w:rPr>
                <w:color w:val="000000"/>
                <w:sz w:val="16"/>
                <w:lang w:val="sv-SE"/>
              </w:rPr>
            </w:pPr>
            <w:r w:rsidRPr="00800D1B">
              <w:rPr>
                <w:color w:val="000000"/>
                <w:sz w:val="16"/>
                <w:lang w:val="sv-SE"/>
              </w:rPr>
              <w:t>Överföringar från</w:t>
            </w:r>
          </w:p>
        </w:tc>
        <w:tc>
          <w:tcPr>
            <w:tcW w:w="0" w:type="auto"/>
          </w:tcPr>
          <w:p w14:paraId="2D0667A3" w14:textId="77777777" w:rsidR="00A77B3E" w:rsidRPr="00800D1B" w:rsidRDefault="00623E14" w:rsidP="005E568C">
            <w:pPr>
              <w:spacing w:before="100" w:after="100"/>
              <w:ind w:left="-72"/>
              <w:jc w:val="center"/>
              <w:rPr>
                <w:color w:val="000000"/>
                <w:sz w:val="16"/>
                <w:lang w:val="sv-SE"/>
              </w:rPr>
            </w:pPr>
            <w:r w:rsidRPr="00800D1B">
              <w:rPr>
                <w:color w:val="000000"/>
                <w:sz w:val="16"/>
                <w:lang w:val="sv-SE"/>
              </w:rPr>
              <w:t>Överföringar till</w:t>
            </w:r>
          </w:p>
        </w:tc>
        <w:tc>
          <w:tcPr>
            <w:tcW w:w="0" w:type="auto"/>
            <w:gridSpan w:val="4"/>
          </w:tcPr>
          <w:p w14:paraId="2D0667A4" w14:textId="77777777" w:rsidR="00A77B3E" w:rsidRPr="00800D1B" w:rsidRDefault="00623E14" w:rsidP="005E568C">
            <w:pPr>
              <w:spacing w:before="100" w:after="100"/>
              <w:ind w:left="-72"/>
              <w:jc w:val="center"/>
              <w:rPr>
                <w:color w:val="000000"/>
                <w:sz w:val="16"/>
                <w:lang w:val="sv-SE"/>
              </w:rPr>
            </w:pPr>
            <w:r w:rsidRPr="00800D1B">
              <w:rPr>
                <w:color w:val="000000"/>
                <w:sz w:val="16"/>
                <w:lang w:val="sv-SE"/>
              </w:rPr>
              <w:t>Uppdelning per år</w:t>
            </w:r>
          </w:p>
        </w:tc>
      </w:tr>
      <w:tr w:rsidR="003422DB" w:rsidRPr="00800D1B" w14:paraId="2D0667AC" w14:textId="77777777" w:rsidTr="005E568C">
        <w:tc>
          <w:tcPr>
            <w:tcW w:w="0" w:type="auto"/>
          </w:tcPr>
          <w:p w14:paraId="2D0667A6" w14:textId="3952F7AE" w:rsidR="00A77B3E" w:rsidRPr="00800D1B" w:rsidRDefault="00623E14" w:rsidP="005E568C">
            <w:pPr>
              <w:spacing w:before="100" w:after="100"/>
              <w:ind w:left="-72"/>
              <w:jc w:val="center"/>
              <w:rPr>
                <w:color w:val="000000"/>
                <w:sz w:val="16"/>
                <w:lang w:val="sv-SE"/>
              </w:rPr>
            </w:pPr>
            <w:r w:rsidRPr="00800D1B">
              <w:rPr>
                <w:color w:val="000000"/>
                <w:sz w:val="16"/>
                <w:lang w:val="sv-SE"/>
              </w:rPr>
              <w:t>Regionkategori</w:t>
            </w:r>
            <w:r w:rsidR="0056794F" w:rsidRPr="00800D1B">
              <w:rPr>
                <w:rStyle w:val="Fotnotsreferens"/>
                <w:color w:val="000000"/>
                <w:sz w:val="20"/>
                <w:szCs w:val="20"/>
                <w:lang w:val="sv-SE"/>
              </w:rPr>
              <w:footnoteReference w:customMarkFollows="1" w:id="7"/>
              <w:t>*</w:t>
            </w:r>
          </w:p>
        </w:tc>
        <w:tc>
          <w:tcPr>
            <w:tcW w:w="0" w:type="auto"/>
          </w:tcPr>
          <w:p w14:paraId="2D0667A7" w14:textId="77777777" w:rsidR="00A77B3E" w:rsidRPr="00800D1B" w:rsidRDefault="00623E14" w:rsidP="005E568C">
            <w:pPr>
              <w:spacing w:before="100" w:after="100"/>
              <w:ind w:left="-72"/>
              <w:jc w:val="center"/>
              <w:rPr>
                <w:color w:val="000000"/>
                <w:sz w:val="16"/>
                <w:lang w:val="sv-SE"/>
              </w:rPr>
            </w:pPr>
            <w:r w:rsidRPr="00800D1B">
              <w:rPr>
                <w:color w:val="000000"/>
                <w:sz w:val="16"/>
                <w:lang w:val="sv-SE"/>
              </w:rPr>
              <w:t>Regionkategori*</w:t>
            </w:r>
          </w:p>
        </w:tc>
        <w:tc>
          <w:tcPr>
            <w:tcW w:w="0" w:type="auto"/>
          </w:tcPr>
          <w:p w14:paraId="2D0667A8" w14:textId="77777777" w:rsidR="00A77B3E" w:rsidRPr="00800D1B" w:rsidRDefault="00623E14" w:rsidP="005E568C">
            <w:pPr>
              <w:spacing w:before="100" w:after="100"/>
              <w:ind w:left="-72"/>
              <w:jc w:val="center"/>
              <w:rPr>
                <w:color w:val="000000"/>
                <w:sz w:val="16"/>
                <w:lang w:val="sv-SE"/>
              </w:rPr>
            </w:pPr>
            <w:r w:rsidRPr="00800D1B">
              <w:rPr>
                <w:color w:val="000000"/>
                <w:sz w:val="16"/>
                <w:lang w:val="sv-SE"/>
              </w:rPr>
              <w:t>2025</w:t>
            </w:r>
          </w:p>
        </w:tc>
        <w:tc>
          <w:tcPr>
            <w:tcW w:w="0" w:type="auto"/>
          </w:tcPr>
          <w:p w14:paraId="2D0667A9" w14:textId="77777777" w:rsidR="00A77B3E" w:rsidRPr="00800D1B" w:rsidRDefault="00623E14" w:rsidP="005E568C">
            <w:pPr>
              <w:spacing w:before="100" w:after="100"/>
              <w:ind w:left="-72"/>
              <w:jc w:val="center"/>
              <w:rPr>
                <w:color w:val="000000"/>
                <w:sz w:val="16"/>
                <w:lang w:val="sv-SE"/>
              </w:rPr>
            </w:pPr>
            <w:r w:rsidRPr="00800D1B">
              <w:rPr>
                <w:color w:val="000000"/>
                <w:sz w:val="16"/>
                <w:lang w:val="sv-SE"/>
              </w:rPr>
              <w:t>2026</w:t>
            </w:r>
          </w:p>
        </w:tc>
        <w:tc>
          <w:tcPr>
            <w:tcW w:w="0" w:type="auto"/>
          </w:tcPr>
          <w:p w14:paraId="2D0667AA" w14:textId="77777777" w:rsidR="00A77B3E" w:rsidRPr="00800D1B" w:rsidRDefault="00623E14" w:rsidP="005E568C">
            <w:pPr>
              <w:spacing w:before="100" w:after="100"/>
              <w:ind w:left="-72"/>
              <w:jc w:val="center"/>
              <w:rPr>
                <w:color w:val="000000"/>
                <w:sz w:val="16"/>
                <w:lang w:val="sv-SE"/>
              </w:rPr>
            </w:pPr>
            <w:r w:rsidRPr="00800D1B">
              <w:rPr>
                <w:color w:val="000000"/>
                <w:sz w:val="16"/>
                <w:lang w:val="sv-SE"/>
              </w:rPr>
              <w:t>2027</w:t>
            </w:r>
          </w:p>
        </w:tc>
        <w:tc>
          <w:tcPr>
            <w:tcW w:w="0" w:type="auto"/>
          </w:tcPr>
          <w:p w14:paraId="2D0667AB" w14:textId="77777777" w:rsidR="00A77B3E" w:rsidRPr="00800D1B" w:rsidRDefault="00623E14" w:rsidP="005E568C">
            <w:pPr>
              <w:spacing w:before="100" w:after="100"/>
              <w:ind w:left="-72"/>
              <w:jc w:val="center"/>
              <w:rPr>
                <w:color w:val="000000"/>
                <w:sz w:val="16"/>
                <w:lang w:val="sv-SE"/>
              </w:rPr>
            </w:pPr>
            <w:r w:rsidRPr="00800D1B">
              <w:rPr>
                <w:color w:val="000000"/>
                <w:sz w:val="16"/>
                <w:lang w:val="sv-SE"/>
              </w:rPr>
              <w:t>Totalt</w:t>
            </w:r>
          </w:p>
        </w:tc>
      </w:tr>
    </w:tbl>
    <w:p w14:paraId="2D0667AF" w14:textId="1E25C000" w:rsidR="00A77B3E" w:rsidRPr="00800D1B" w:rsidRDefault="00623E14" w:rsidP="00BD52ED">
      <w:pPr>
        <w:pStyle w:val="Rubrik4"/>
        <w:spacing w:before="300" w:after="520"/>
        <w:ind w:left="0" w:firstLine="0"/>
      </w:pPr>
      <w:bookmarkStart w:id="211" w:name="_Toc256000452"/>
      <w:r w:rsidRPr="00800D1B">
        <w:t>Tabell 19B: Överföringar mellan regionkategorier till följd av halvtidsöversynen, till andra program (fördelning per år)</w:t>
      </w:r>
      <w:bookmarkEnd w:id="211"/>
    </w:p>
    <w:tbl>
      <w:tblPr>
        <w:tblStyle w:val="Tabellrutnt"/>
        <w:tblW w:w="5000" w:type="pct"/>
        <w:tblLook w:val="04A0" w:firstRow="1" w:lastRow="0" w:firstColumn="1" w:lastColumn="0" w:noHBand="0" w:noVBand="1"/>
        <w:tblDescription w:val="En tabell med tre kolumner: Överföringar från; Överföringar till; Uppdelning per år. Tabellen visar information om Överföringar mellan regionkategorier till följd av halvtidsöversynen, till andra program (fördelning per år)."/>
      </w:tblPr>
      <w:tblGrid>
        <w:gridCol w:w="4213"/>
        <w:gridCol w:w="4008"/>
        <w:gridCol w:w="1689"/>
        <w:gridCol w:w="1689"/>
        <w:gridCol w:w="1689"/>
        <w:gridCol w:w="1884"/>
      </w:tblGrid>
      <w:tr w:rsidR="003422DB" w:rsidRPr="00800D1B" w14:paraId="2D0667B5" w14:textId="77777777" w:rsidTr="005E568C">
        <w:tc>
          <w:tcPr>
            <w:tcW w:w="0" w:type="auto"/>
          </w:tcPr>
          <w:p w14:paraId="2D0667B2" w14:textId="77777777" w:rsidR="00A77B3E" w:rsidRPr="00800D1B" w:rsidRDefault="00623E14" w:rsidP="005E568C">
            <w:pPr>
              <w:spacing w:before="100" w:after="100"/>
              <w:ind w:left="-72"/>
              <w:jc w:val="center"/>
              <w:rPr>
                <w:color w:val="000000"/>
                <w:sz w:val="16"/>
                <w:lang w:val="sv-SE"/>
              </w:rPr>
            </w:pPr>
            <w:r w:rsidRPr="00800D1B">
              <w:rPr>
                <w:color w:val="000000"/>
                <w:sz w:val="16"/>
                <w:lang w:val="sv-SE"/>
              </w:rPr>
              <w:t>Överföringar från</w:t>
            </w:r>
          </w:p>
        </w:tc>
        <w:tc>
          <w:tcPr>
            <w:tcW w:w="0" w:type="auto"/>
          </w:tcPr>
          <w:p w14:paraId="2D0667B3" w14:textId="77777777" w:rsidR="00A77B3E" w:rsidRPr="00800D1B" w:rsidRDefault="00623E14" w:rsidP="005E568C">
            <w:pPr>
              <w:spacing w:before="100" w:after="100"/>
              <w:ind w:left="-72"/>
              <w:jc w:val="center"/>
              <w:rPr>
                <w:color w:val="000000"/>
                <w:sz w:val="16"/>
                <w:lang w:val="sv-SE"/>
              </w:rPr>
            </w:pPr>
            <w:r w:rsidRPr="00800D1B">
              <w:rPr>
                <w:color w:val="000000"/>
                <w:sz w:val="16"/>
                <w:lang w:val="sv-SE"/>
              </w:rPr>
              <w:t>Överföringar till</w:t>
            </w:r>
          </w:p>
        </w:tc>
        <w:tc>
          <w:tcPr>
            <w:tcW w:w="0" w:type="auto"/>
            <w:gridSpan w:val="4"/>
          </w:tcPr>
          <w:p w14:paraId="2D0667B4" w14:textId="77777777" w:rsidR="00A77B3E" w:rsidRPr="00800D1B" w:rsidRDefault="00623E14" w:rsidP="005E568C">
            <w:pPr>
              <w:spacing w:before="100" w:after="100"/>
              <w:ind w:left="-72"/>
              <w:jc w:val="center"/>
              <w:rPr>
                <w:color w:val="000000"/>
                <w:sz w:val="16"/>
                <w:lang w:val="sv-SE"/>
              </w:rPr>
            </w:pPr>
            <w:r w:rsidRPr="00800D1B">
              <w:rPr>
                <w:color w:val="000000"/>
                <w:sz w:val="16"/>
                <w:lang w:val="sv-SE"/>
              </w:rPr>
              <w:t>Uppdelning per år</w:t>
            </w:r>
          </w:p>
        </w:tc>
      </w:tr>
      <w:tr w:rsidR="003422DB" w:rsidRPr="00800D1B" w14:paraId="2D0667BC" w14:textId="77777777" w:rsidTr="005E568C">
        <w:tc>
          <w:tcPr>
            <w:tcW w:w="0" w:type="auto"/>
          </w:tcPr>
          <w:p w14:paraId="2D0667B6" w14:textId="1EFCFA3A" w:rsidR="00A77B3E" w:rsidRPr="00800D1B" w:rsidRDefault="00623E14" w:rsidP="005E568C">
            <w:pPr>
              <w:spacing w:before="100" w:after="100"/>
              <w:ind w:left="-72"/>
              <w:jc w:val="center"/>
              <w:rPr>
                <w:color w:val="000000"/>
                <w:sz w:val="16"/>
                <w:lang w:val="sv-SE"/>
              </w:rPr>
            </w:pPr>
            <w:r w:rsidRPr="00800D1B">
              <w:rPr>
                <w:color w:val="000000"/>
                <w:sz w:val="16"/>
                <w:lang w:val="sv-SE"/>
              </w:rPr>
              <w:t>Regionkategori</w:t>
            </w:r>
            <w:r w:rsidR="0056794F" w:rsidRPr="00800D1B">
              <w:rPr>
                <w:rStyle w:val="Fotnotsreferens"/>
                <w:color w:val="000000"/>
                <w:sz w:val="16"/>
                <w:lang w:val="sv-SE"/>
              </w:rPr>
              <w:footnoteReference w:customMarkFollows="1" w:id="8"/>
              <w:t>*</w:t>
            </w:r>
          </w:p>
        </w:tc>
        <w:tc>
          <w:tcPr>
            <w:tcW w:w="0" w:type="auto"/>
          </w:tcPr>
          <w:p w14:paraId="2D0667B7" w14:textId="77777777" w:rsidR="00A77B3E" w:rsidRPr="00800D1B" w:rsidRDefault="00623E14" w:rsidP="005E568C">
            <w:pPr>
              <w:spacing w:before="100" w:after="100"/>
              <w:ind w:left="-72"/>
              <w:jc w:val="center"/>
              <w:rPr>
                <w:color w:val="000000"/>
                <w:sz w:val="16"/>
                <w:lang w:val="sv-SE"/>
              </w:rPr>
            </w:pPr>
            <w:r w:rsidRPr="00800D1B">
              <w:rPr>
                <w:color w:val="000000"/>
                <w:sz w:val="16"/>
                <w:lang w:val="sv-SE"/>
              </w:rPr>
              <w:t>Regionkategori*</w:t>
            </w:r>
          </w:p>
        </w:tc>
        <w:tc>
          <w:tcPr>
            <w:tcW w:w="0" w:type="auto"/>
          </w:tcPr>
          <w:p w14:paraId="2D0667B8" w14:textId="77777777" w:rsidR="00A77B3E" w:rsidRPr="00800D1B" w:rsidRDefault="00623E14" w:rsidP="005E568C">
            <w:pPr>
              <w:spacing w:before="100" w:after="100"/>
              <w:ind w:left="-72"/>
              <w:jc w:val="center"/>
              <w:rPr>
                <w:color w:val="000000"/>
                <w:sz w:val="16"/>
                <w:lang w:val="sv-SE"/>
              </w:rPr>
            </w:pPr>
            <w:r w:rsidRPr="00800D1B">
              <w:rPr>
                <w:color w:val="000000"/>
                <w:sz w:val="16"/>
                <w:lang w:val="sv-SE"/>
              </w:rPr>
              <w:t>2025</w:t>
            </w:r>
          </w:p>
        </w:tc>
        <w:tc>
          <w:tcPr>
            <w:tcW w:w="0" w:type="auto"/>
          </w:tcPr>
          <w:p w14:paraId="2D0667B9" w14:textId="77777777" w:rsidR="00A77B3E" w:rsidRPr="00800D1B" w:rsidRDefault="00623E14" w:rsidP="005E568C">
            <w:pPr>
              <w:spacing w:before="100" w:after="100"/>
              <w:ind w:left="-72"/>
              <w:jc w:val="center"/>
              <w:rPr>
                <w:color w:val="000000"/>
                <w:sz w:val="16"/>
                <w:lang w:val="sv-SE"/>
              </w:rPr>
            </w:pPr>
            <w:r w:rsidRPr="00800D1B">
              <w:rPr>
                <w:color w:val="000000"/>
                <w:sz w:val="16"/>
                <w:lang w:val="sv-SE"/>
              </w:rPr>
              <w:t>2026</w:t>
            </w:r>
          </w:p>
        </w:tc>
        <w:tc>
          <w:tcPr>
            <w:tcW w:w="0" w:type="auto"/>
          </w:tcPr>
          <w:p w14:paraId="2D0667BA" w14:textId="77777777" w:rsidR="00A77B3E" w:rsidRPr="00800D1B" w:rsidRDefault="00623E14" w:rsidP="005E568C">
            <w:pPr>
              <w:spacing w:before="100" w:after="100"/>
              <w:ind w:left="-72"/>
              <w:jc w:val="center"/>
              <w:rPr>
                <w:color w:val="000000"/>
                <w:sz w:val="16"/>
                <w:lang w:val="sv-SE"/>
              </w:rPr>
            </w:pPr>
            <w:r w:rsidRPr="00800D1B">
              <w:rPr>
                <w:color w:val="000000"/>
                <w:sz w:val="16"/>
                <w:lang w:val="sv-SE"/>
              </w:rPr>
              <w:t>2027</w:t>
            </w:r>
          </w:p>
        </w:tc>
        <w:tc>
          <w:tcPr>
            <w:tcW w:w="0" w:type="auto"/>
          </w:tcPr>
          <w:p w14:paraId="2D0667BB" w14:textId="77777777" w:rsidR="00A77B3E" w:rsidRPr="00800D1B" w:rsidRDefault="00623E14" w:rsidP="005E568C">
            <w:pPr>
              <w:spacing w:before="100" w:after="100"/>
              <w:ind w:left="-72"/>
              <w:jc w:val="center"/>
              <w:rPr>
                <w:color w:val="000000"/>
                <w:sz w:val="16"/>
                <w:lang w:val="sv-SE"/>
              </w:rPr>
            </w:pPr>
            <w:r w:rsidRPr="00800D1B">
              <w:rPr>
                <w:color w:val="000000"/>
                <w:sz w:val="16"/>
                <w:lang w:val="sv-SE"/>
              </w:rPr>
              <w:t>Totalt</w:t>
            </w:r>
          </w:p>
        </w:tc>
      </w:tr>
    </w:tbl>
    <w:p w14:paraId="2D0667BF" w14:textId="5AD10C83" w:rsidR="00A77B3E" w:rsidRPr="00800D1B" w:rsidRDefault="00623E14">
      <w:pPr>
        <w:pStyle w:val="Rubrik3"/>
        <w:spacing w:before="600"/>
        <w:ind w:left="360"/>
        <w:rPr>
          <w:lang w:val="sv-SE"/>
        </w:rPr>
      </w:pPr>
      <w:bookmarkStart w:id="212" w:name="_Toc256000453"/>
      <w:r w:rsidRPr="00800D1B">
        <w:rPr>
          <w:lang w:val="sv-SE"/>
        </w:rPr>
        <w:t xml:space="preserve">Överföringar tillbaka </w:t>
      </w:r>
      <w:bookmarkEnd w:id="212"/>
      <w:r w:rsidR="0056794F" w:rsidRPr="00800D1B">
        <w:rPr>
          <w:rStyle w:val="Fotnotsreferens"/>
          <w:vertAlign w:val="baseline"/>
          <w:lang w:val="sv-SE"/>
        </w:rPr>
        <w:footnoteReference w:customMarkFollows="1" w:id="9"/>
        <w:t>(1)</w:t>
      </w:r>
    </w:p>
    <w:p w14:paraId="2D0667C0" w14:textId="02753580" w:rsidR="00A77B3E" w:rsidRPr="00800D1B" w:rsidRDefault="00623E14" w:rsidP="002249AB">
      <w:pPr>
        <w:pStyle w:val="Rubrik4"/>
        <w:spacing w:before="120" w:after="600"/>
        <w:ind w:left="0" w:firstLine="0"/>
        <w:rPr>
          <w:b/>
        </w:rPr>
      </w:pPr>
      <w:bookmarkStart w:id="213" w:name="_Toc256000454"/>
      <w:r w:rsidRPr="00800D1B">
        <w:t>Tabell 20 A: Överföringar tillbaka (uppdelning per år)</w:t>
      </w:r>
      <w:bookmarkEnd w:id="213"/>
    </w:p>
    <w:tbl>
      <w:tblPr>
        <w:tblStyle w:val="Tabellrutnt"/>
        <w:tblW w:w="5000" w:type="pct"/>
        <w:tblLook w:val="04A0" w:firstRow="1" w:lastRow="0" w:firstColumn="1" w:lastColumn="0" w:noHBand="0" w:noVBand="1"/>
        <w:tblDescription w:val="En tabell med tre kolumner: Överföringar från; Överföringar till; Uppdelning per år. Tabellen visar information om Överföringar tillbaka (uppdelning per år)."/>
      </w:tblPr>
      <w:tblGrid>
        <w:gridCol w:w="4602"/>
        <w:gridCol w:w="945"/>
        <w:gridCol w:w="2070"/>
        <w:gridCol w:w="931"/>
        <w:gridCol w:w="931"/>
        <w:gridCol w:w="931"/>
        <w:gridCol w:w="931"/>
        <w:gridCol w:w="931"/>
        <w:gridCol w:w="931"/>
        <w:gridCol w:w="931"/>
        <w:gridCol w:w="1038"/>
      </w:tblGrid>
      <w:tr w:rsidR="003422DB" w:rsidRPr="00800D1B" w14:paraId="2D0667C6" w14:textId="77777777" w:rsidTr="00AD213E">
        <w:tc>
          <w:tcPr>
            <w:tcW w:w="0" w:type="auto"/>
          </w:tcPr>
          <w:p w14:paraId="2D0667C3" w14:textId="77777777" w:rsidR="00A77B3E" w:rsidRPr="00800D1B" w:rsidRDefault="00623E14" w:rsidP="00AD213E">
            <w:pPr>
              <w:spacing w:before="100" w:after="100"/>
              <w:ind w:left="-72"/>
              <w:jc w:val="center"/>
              <w:rPr>
                <w:color w:val="000000"/>
                <w:sz w:val="16"/>
                <w:lang w:val="sv-SE"/>
              </w:rPr>
            </w:pPr>
            <w:r w:rsidRPr="00800D1B">
              <w:rPr>
                <w:color w:val="000000"/>
                <w:sz w:val="16"/>
                <w:lang w:val="sv-SE"/>
              </w:rPr>
              <w:t>Överföringar från</w:t>
            </w:r>
          </w:p>
        </w:tc>
        <w:tc>
          <w:tcPr>
            <w:tcW w:w="0" w:type="auto"/>
            <w:gridSpan w:val="2"/>
          </w:tcPr>
          <w:p w14:paraId="2D0667C4" w14:textId="77777777" w:rsidR="00A77B3E" w:rsidRPr="00800D1B" w:rsidRDefault="00623E14" w:rsidP="00AD213E">
            <w:pPr>
              <w:spacing w:before="100" w:after="100"/>
              <w:ind w:left="-72"/>
              <w:jc w:val="center"/>
              <w:rPr>
                <w:color w:val="000000"/>
                <w:sz w:val="16"/>
                <w:lang w:val="sv-SE"/>
              </w:rPr>
            </w:pPr>
            <w:r w:rsidRPr="00800D1B">
              <w:rPr>
                <w:color w:val="000000"/>
                <w:sz w:val="16"/>
                <w:lang w:val="sv-SE"/>
              </w:rPr>
              <w:t>Överföringar till</w:t>
            </w:r>
          </w:p>
        </w:tc>
        <w:tc>
          <w:tcPr>
            <w:tcW w:w="0" w:type="auto"/>
            <w:gridSpan w:val="8"/>
          </w:tcPr>
          <w:p w14:paraId="2D0667C5" w14:textId="77777777" w:rsidR="00A77B3E" w:rsidRPr="00800D1B" w:rsidRDefault="00623E14" w:rsidP="00AD213E">
            <w:pPr>
              <w:spacing w:before="100" w:after="100"/>
              <w:ind w:left="-72"/>
              <w:jc w:val="center"/>
              <w:rPr>
                <w:color w:val="000000"/>
                <w:sz w:val="16"/>
                <w:lang w:val="sv-SE"/>
              </w:rPr>
            </w:pPr>
            <w:r w:rsidRPr="00800D1B">
              <w:rPr>
                <w:color w:val="000000"/>
                <w:sz w:val="16"/>
                <w:lang w:val="sv-SE"/>
              </w:rPr>
              <w:t>Uppdelning per år</w:t>
            </w:r>
          </w:p>
        </w:tc>
      </w:tr>
      <w:tr w:rsidR="003422DB" w:rsidRPr="00800D1B" w14:paraId="2D0667D2" w14:textId="77777777" w:rsidTr="00AD213E">
        <w:tc>
          <w:tcPr>
            <w:tcW w:w="0" w:type="auto"/>
          </w:tcPr>
          <w:p w14:paraId="2D0667C7" w14:textId="77777777" w:rsidR="00A77B3E" w:rsidRPr="00800D1B" w:rsidRDefault="00623E14" w:rsidP="00AD213E">
            <w:pPr>
              <w:spacing w:before="100" w:after="100"/>
              <w:ind w:left="-72"/>
              <w:jc w:val="center"/>
              <w:rPr>
                <w:color w:val="000000"/>
                <w:sz w:val="16"/>
                <w:lang w:val="sv-SE"/>
              </w:rPr>
            </w:pPr>
            <w:r w:rsidRPr="00800D1B">
              <w:rPr>
                <w:color w:val="000000"/>
                <w:sz w:val="16"/>
                <w:lang w:val="sv-SE"/>
              </w:rPr>
              <w:t>InvestEU eller annat unionsinstrument</w:t>
            </w:r>
          </w:p>
        </w:tc>
        <w:tc>
          <w:tcPr>
            <w:tcW w:w="0" w:type="auto"/>
          </w:tcPr>
          <w:p w14:paraId="2D0667C8" w14:textId="77777777" w:rsidR="00A77B3E" w:rsidRPr="00800D1B" w:rsidRDefault="00623E14" w:rsidP="00AD213E">
            <w:pPr>
              <w:spacing w:before="100" w:after="100"/>
              <w:ind w:left="-72"/>
              <w:jc w:val="center"/>
              <w:rPr>
                <w:color w:val="000000"/>
                <w:sz w:val="16"/>
                <w:lang w:val="sv-SE"/>
              </w:rPr>
            </w:pPr>
            <w:r w:rsidRPr="00800D1B">
              <w:rPr>
                <w:color w:val="000000"/>
                <w:sz w:val="16"/>
                <w:lang w:val="sv-SE"/>
              </w:rPr>
              <w:t>Fond</w:t>
            </w:r>
          </w:p>
        </w:tc>
        <w:tc>
          <w:tcPr>
            <w:tcW w:w="0" w:type="auto"/>
          </w:tcPr>
          <w:p w14:paraId="2D0667C9" w14:textId="77777777" w:rsidR="00A77B3E" w:rsidRPr="00800D1B" w:rsidRDefault="00623E14" w:rsidP="00AD213E">
            <w:pPr>
              <w:spacing w:before="100" w:after="100"/>
              <w:ind w:left="-72"/>
              <w:jc w:val="center"/>
              <w:rPr>
                <w:color w:val="000000"/>
                <w:sz w:val="16"/>
                <w:lang w:val="sv-SE"/>
              </w:rPr>
            </w:pPr>
            <w:r w:rsidRPr="00800D1B">
              <w:rPr>
                <w:color w:val="000000"/>
                <w:sz w:val="16"/>
                <w:lang w:val="sv-SE"/>
              </w:rPr>
              <w:t>Regionkategori</w:t>
            </w:r>
          </w:p>
        </w:tc>
        <w:tc>
          <w:tcPr>
            <w:tcW w:w="0" w:type="auto"/>
          </w:tcPr>
          <w:p w14:paraId="2D0667CA" w14:textId="77777777" w:rsidR="00A77B3E" w:rsidRPr="00800D1B" w:rsidRDefault="00623E14" w:rsidP="00AD213E">
            <w:pPr>
              <w:spacing w:before="100" w:after="100"/>
              <w:ind w:left="-72"/>
              <w:jc w:val="center"/>
              <w:rPr>
                <w:color w:val="000000"/>
                <w:sz w:val="16"/>
                <w:lang w:val="sv-SE"/>
              </w:rPr>
            </w:pPr>
            <w:r w:rsidRPr="00800D1B">
              <w:rPr>
                <w:color w:val="000000"/>
                <w:sz w:val="16"/>
                <w:lang w:val="sv-SE"/>
              </w:rPr>
              <w:t>2021</w:t>
            </w:r>
          </w:p>
        </w:tc>
        <w:tc>
          <w:tcPr>
            <w:tcW w:w="0" w:type="auto"/>
          </w:tcPr>
          <w:p w14:paraId="2D0667CB" w14:textId="77777777" w:rsidR="00A77B3E" w:rsidRPr="00800D1B" w:rsidRDefault="00623E14" w:rsidP="00AD213E">
            <w:pPr>
              <w:spacing w:before="100" w:after="100"/>
              <w:ind w:left="-72"/>
              <w:jc w:val="center"/>
              <w:rPr>
                <w:color w:val="000000"/>
                <w:sz w:val="16"/>
                <w:lang w:val="sv-SE"/>
              </w:rPr>
            </w:pPr>
            <w:r w:rsidRPr="00800D1B">
              <w:rPr>
                <w:color w:val="000000"/>
                <w:sz w:val="16"/>
                <w:lang w:val="sv-SE"/>
              </w:rPr>
              <w:t>2022</w:t>
            </w:r>
          </w:p>
        </w:tc>
        <w:tc>
          <w:tcPr>
            <w:tcW w:w="0" w:type="auto"/>
          </w:tcPr>
          <w:p w14:paraId="2D0667CC" w14:textId="77777777" w:rsidR="00A77B3E" w:rsidRPr="00800D1B" w:rsidRDefault="00623E14" w:rsidP="00AD213E">
            <w:pPr>
              <w:spacing w:before="100" w:after="100"/>
              <w:ind w:left="-72"/>
              <w:jc w:val="center"/>
              <w:rPr>
                <w:color w:val="000000"/>
                <w:sz w:val="16"/>
                <w:lang w:val="sv-SE"/>
              </w:rPr>
            </w:pPr>
            <w:r w:rsidRPr="00800D1B">
              <w:rPr>
                <w:color w:val="000000"/>
                <w:sz w:val="16"/>
                <w:lang w:val="sv-SE"/>
              </w:rPr>
              <w:t>2023</w:t>
            </w:r>
          </w:p>
        </w:tc>
        <w:tc>
          <w:tcPr>
            <w:tcW w:w="0" w:type="auto"/>
          </w:tcPr>
          <w:p w14:paraId="2D0667CD" w14:textId="77777777" w:rsidR="00A77B3E" w:rsidRPr="00800D1B" w:rsidRDefault="00623E14" w:rsidP="00AD213E">
            <w:pPr>
              <w:spacing w:before="100" w:after="100"/>
              <w:ind w:left="-72"/>
              <w:jc w:val="center"/>
              <w:rPr>
                <w:color w:val="000000"/>
                <w:sz w:val="16"/>
                <w:lang w:val="sv-SE"/>
              </w:rPr>
            </w:pPr>
            <w:r w:rsidRPr="00800D1B">
              <w:rPr>
                <w:color w:val="000000"/>
                <w:sz w:val="16"/>
                <w:lang w:val="sv-SE"/>
              </w:rPr>
              <w:t>2024</w:t>
            </w:r>
          </w:p>
        </w:tc>
        <w:tc>
          <w:tcPr>
            <w:tcW w:w="0" w:type="auto"/>
          </w:tcPr>
          <w:p w14:paraId="2D0667CE" w14:textId="77777777" w:rsidR="00A77B3E" w:rsidRPr="00800D1B" w:rsidRDefault="00623E14" w:rsidP="00AD213E">
            <w:pPr>
              <w:spacing w:before="100" w:after="100"/>
              <w:ind w:left="-72"/>
              <w:jc w:val="center"/>
              <w:rPr>
                <w:color w:val="000000"/>
                <w:sz w:val="16"/>
                <w:lang w:val="sv-SE"/>
              </w:rPr>
            </w:pPr>
            <w:r w:rsidRPr="00800D1B">
              <w:rPr>
                <w:color w:val="000000"/>
                <w:sz w:val="16"/>
                <w:lang w:val="sv-SE"/>
              </w:rPr>
              <w:t>2025</w:t>
            </w:r>
          </w:p>
        </w:tc>
        <w:tc>
          <w:tcPr>
            <w:tcW w:w="0" w:type="auto"/>
          </w:tcPr>
          <w:p w14:paraId="2D0667CF" w14:textId="77777777" w:rsidR="00A77B3E" w:rsidRPr="00800D1B" w:rsidRDefault="00623E14" w:rsidP="00AD213E">
            <w:pPr>
              <w:spacing w:before="100" w:after="100"/>
              <w:ind w:left="-72"/>
              <w:jc w:val="center"/>
              <w:rPr>
                <w:color w:val="000000"/>
                <w:sz w:val="16"/>
                <w:lang w:val="sv-SE"/>
              </w:rPr>
            </w:pPr>
            <w:r w:rsidRPr="00800D1B">
              <w:rPr>
                <w:color w:val="000000"/>
                <w:sz w:val="16"/>
                <w:lang w:val="sv-SE"/>
              </w:rPr>
              <w:t>2026</w:t>
            </w:r>
          </w:p>
        </w:tc>
        <w:tc>
          <w:tcPr>
            <w:tcW w:w="0" w:type="auto"/>
          </w:tcPr>
          <w:p w14:paraId="2D0667D0" w14:textId="77777777" w:rsidR="00A77B3E" w:rsidRPr="00800D1B" w:rsidRDefault="00623E14" w:rsidP="00AD213E">
            <w:pPr>
              <w:spacing w:before="100" w:after="100"/>
              <w:ind w:left="-72"/>
              <w:jc w:val="center"/>
              <w:rPr>
                <w:color w:val="000000"/>
                <w:sz w:val="16"/>
                <w:lang w:val="sv-SE"/>
              </w:rPr>
            </w:pPr>
            <w:r w:rsidRPr="00800D1B">
              <w:rPr>
                <w:color w:val="000000"/>
                <w:sz w:val="16"/>
                <w:lang w:val="sv-SE"/>
              </w:rPr>
              <w:t>2027</w:t>
            </w:r>
          </w:p>
        </w:tc>
        <w:tc>
          <w:tcPr>
            <w:tcW w:w="0" w:type="auto"/>
          </w:tcPr>
          <w:p w14:paraId="2D0667D1" w14:textId="77777777" w:rsidR="00A77B3E" w:rsidRPr="00800D1B" w:rsidRDefault="00623E14" w:rsidP="00AD213E">
            <w:pPr>
              <w:spacing w:before="100" w:after="100"/>
              <w:ind w:left="-72"/>
              <w:jc w:val="center"/>
              <w:rPr>
                <w:color w:val="000000"/>
                <w:sz w:val="16"/>
                <w:lang w:val="sv-SE"/>
              </w:rPr>
            </w:pPr>
            <w:r w:rsidRPr="00800D1B">
              <w:rPr>
                <w:color w:val="000000"/>
                <w:sz w:val="16"/>
                <w:lang w:val="sv-SE"/>
              </w:rPr>
              <w:t>Totalt</w:t>
            </w:r>
          </w:p>
        </w:tc>
      </w:tr>
    </w:tbl>
    <w:p w14:paraId="2D0667D4" w14:textId="5A66F785" w:rsidR="00A77B3E" w:rsidRPr="00800D1B" w:rsidRDefault="00623E14" w:rsidP="002249AB">
      <w:pPr>
        <w:pStyle w:val="Rubrik4"/>
        <w:spacing w:before="360" w:after="600"/>
        <w:ind w:left="0" w:firstLine="0"/>
        <w:rPr>
          <w:b/>
        </w:rPr>
      </w:pPr>
      <w:bookmarkStart w:id="214" w:name="_Toc256000455"/>
      <w:r w:rsidRPr="00800D1B">
        <w:t>Tabell 20B: Överföringar tillbaka</w:t>
      </w:r>
      <w:r w:rsidR="0056794F" w:rsidRPr="00800D1B">
        <w:rPr>
          <w:rStyle w:val="Fotnotsreferens"/>
        </w:rPr>
        <w:footnoteReference w:customMarkFollows="1" w:id="10"/>
        <w:t>*</w:t>
      </w:r>
      <w:r w:rsidRPr="00800D1B">
        <w:t xml:space="preserve"> (sammanfattning)</w:t>
      </w:r>
      <w:bookmarkEnd w:id="214"/>
    </w:p>
    <w:tbl>
      <w:tblPr>
        <w:tblStyle w:val="Tabellrutnt"/>
        <w:tblW w:w="5000" w:type="pct"/>
        <w:tblLook w:val="04A0" w:firstRow="1" w:lastRow="0" w:firstColumn="1" w:lastColumn="0" w:noHBand="0" w:noVBand="1"/>
        <w:tblDescription w:val="En tabell med två kolumner: Från; Till. Tabellen visar information om Överföringar tillbaka Note * (sammanfattning)."/>
      </w:tblPr>
      <w:tblGrid>
        <w:gridCol w:w="2033"/>
        <w:gridCol w:w="2344"/>
        <w:gridCol w:w="1892"/>
        <w:gridCol w:w="1150"/>
        <w:gridCol w:w="2344"/>
        <w:gridCol w:w="1892"/>
        <w:gridCol w:w="1150"/>
        <w:gridCol w:w="2367"/>
      </w:tblGrid>
      <w:tr w:rsidR="003422DB" w:rsidRPr="00800D1B" w14:paraId="2D0667D9" w14:textId="77777777" w:rsidTr="005719E0">
        <w:tc>
          <w:tcPr>
            <w:tcW w:w="0" w:type="auto"/>
          </w:tcPr>
          <w:p w14:paraId="2D0667D7" w14:textId="77777777" w:rsidR="00A77B3E" w:rsidRPr="00800D1B" w:rsidRDefault="00623E14" w:rsidP="005719E0">
            <w:pPr>
              <w:spacing w:before="100" w:after="100"/>
              <w:ind w:left="-72"/>
              <w:jc w:val="center"/>
              <w:rPr>
                <w:color w:val="000000"/>
                <w:sz w:val="16"/>
                <w:lang w:val="sv-SE"/>
              </w:rPr>
            </w:pPr>
            <w:r w:rsidRPr="00800D1B">
              <w:rPr>
                <w:color w:val="000000"/>
                <w:sz w:val="16"/>
                <w:lang w:val="sv-SE"/>
              </w:rPr>
              <w:t>Från</w:t>
            </w:r>
          </w:p>
        </w:tc>
        <w:tc>
          <w:tcPr>
            <w:tcW w:w="0" w:type="auto"/>
            <w:gridSpan w:val="7"/>
          </w:tcPr>
          <w:p w14:paraId="2D0667D8" w14:textId="77777777" w:rsidR="00A77B3E" w:rsidRPr="00800D1B" w:rsidRDefault="00623E14" w:rsidP="005719E0">
            <w:pPr>
              <w:spacing w:before="100" w:after="100"/>
              <w:ind w:left="-72"/>
              <w:jc w:val="center"/>
              <w:rPr>
                <w:color w:val="000000"/>
                <w:sz w:val="16"/>
                <w:lang w:val="sv-SE"/>
              </w:rPr>
            </w:pPr>
            <w:r w:rsidRPr="00800D1B">
              <w:rPr>
                <w:color w:val="000000"/>
                <w:sz w:val="16"/>
                <w:lang w:val="sv-SE"/>
              </w:rPr>
              <w:t>Till</w:t>
            </w:r>
          </w:p>
        </w:tc>
      </w:tr>
      <w:tr w:rsidR="003422DB" w:rsidRPr="00800D1B" w14:paraId="2D0667DE" w14:textId="77777777" w:rsidTr="005719E0">
        <w:tc>
          <w:tcPr>
            <w:tcW w:w="0" w:type="auto"/>
            <w:vMerge w:val="restart"/>
          </w:tcPr>
          <w:p w14:paraId="2D0667DA" w14:textId="77777777" w:rsidR="00A77B3E" w:rsidRPr="00800D1B" w:rsidRDefault="00623E14" w:rsidP="005719E0">
            <w:pPr>
              <w:spacing w:before="100" w:after="100"/>
              <w:ind w:left="-72"/>
              <w:jc w:val="center"/>
              <w:rPr>
                <w:color w:val="000000"/>
                <w:sz w:val="16"/>
                <w:lang w:val="sv-SE"/>
              </w:rPr>
            </w:pPr>
            <w:r w:rsidRPr="00800D1B">
              <w:rPr>
                <w:color w:val="000000"/>
                <w:sz w:val="16"/>
                <w:lang w:val="sv-SE"/>
              </w:rPr>
              <w:t>InvestEU/instrument</w:t>
            </w:r>
          </w:p>
        </w:tc>
        <w:tc>
          <w:tcPr>
            <w:tcW w:w="0" w:type="auto"/>
            <w:gridSpan w:val="3"/>
          </w:tcPr>
          <w:p w14:paraId="2D0667DB" w14:textId="77777777" w:rsidR="00A77B3E" w:rsidRPr="00800D1B" w:rsidRDefault="00623E14" w:rsidP="005719E0">
            <w:pPr>
              <w:spacing w:before="100" w:after="100"/>
              <w:ind w:left="-72"/>
              <w:jc w:val="center"/>
              <w:rPr>
                <w:color w:val="000000"/>
                <w:sz w:val="16"/>
                <w:lang w:val="sv-SE"/>
              </w:rPr>
            </w:pPr>
            <w:r w:rsidRPr="00800D1B">
              <w:rPr>
                <w:color w:val="000000"/>
                <w:sz w:val="16"/>
                <w:lang w:val="sv-SE"/>
              </w:rPr>
              <w:t>Eruf</w:t>
            </w:r>
          </w:p>
        </w:tc>
        <w:tc>
          <w:tcPr>
            <w:tcW w:w="0" w:type="auto"/>
            <w:gridSpan w:val="3"/>
          </w:tcPr>
          <w:p w14:paraId="2D0667DC" w14:textId="77777777" w:rsidR="00A77B3E" w:rsidRPr="00800D1B" w:rsidRDefault="00623E14" w:rsidP="005719E0">
            <w:pPr>
              <w:spacing w:before="100" w:after="100"/>
              <w:ind w:left="-72"/>
              <w:jc w:val="center"/>
              <w:rPr>
                <w:color w:val="000000"/>
                <w:sz w:val="16"/>
                <w:lang w:val="sv-SE"/>
              </w:rPr>
            </w:pPr>
            <w:r w:rsidRPr="00800D1B">
              <w:rPr>
                <w:color w:val="000000"/>
                <w:sz w:val="16"/>
                <w:lang w:val="sv-SE"/>
              </w:rPr>
              <w:t>ESF+</w:t>
            </w:r>
          </w:p>
        </w:tc>
        <w:tc>
          <w:tcPr>
            <w:tcW w:w="0" w:type="auto"/>
            <w:vMerge w:val="restart"/>
          </w:tcPr>
          <w:p w14:paraId="2D0667DD" w14:textId="77777777" w:rsidR="00A77B3E" w:rsidRPr="00800D1B" w:rsidRDefault="00623E14" w:rsidP="005719E0">
            <w:pPr>
              <w:spacing w:before="100" w:after="100"/>
              <w:ind w:left="-72"/>
              <w:jc w:val="center"/>
              <w:rPr>
                <w:color w:val="000000"/>
                <w:sz w:val="16"/>
                <w:lang w:val="sv-SE"/>
              </w:rPr>
            </w:pPr>
            <w:r w:rsidRPr="00800D1B">
              <w:rPr>
                <w:color w:val="000000"/>
                <w:sz w:val="16"/>
                <w:lang w:val="sv-SE"/>
              </w:rPr>
              <w:t>Sammanhållningsfonden</w:t>
            </w:r>
          </w:p>
        </w:tc>
      </w:tr>
      <w:tr w:rsidR="003422DB" w:rsidRPr="00800D1B" w14:paraId="2D0667E7" w14:textId="77777777" w:rsidTr="005719E0">
        <w:tc>
          <w:tcPr>
            <w:tcW w:w="0" w:type="auto"/>
            <w:vMerge/>
          </w:tcPr>
          <w:p w14:paraId="2D0667DF" w14:textId="77777777" w:rsidR="00A77B3E" w:rsidRPr="00800D1B" w:rsidRDefault="00A77B3E" w:rsidP="005719E0">
            <w:pPr>
              <w:spacing w:before="100" w:after="100"/>
              <w:ind w:left="-72"/>
              <w:jc w:val="center"/>
              <w:rPr>
                <w:color w:val="000000"/>
                <w:sz w:val="16"/>
                <w:lang w:val="sv-SE"/>
              </w:rPr>
            </w:pPr>
          </w:p>
        </w:tc>
        <w:tc>
          <w:tcPr>
            <w:tcW w:w="0" w:type="auto"/>
          </w:tcPr>
          <w:p w14:paraId="2D0667E0" w14:textId="77777777" w:rsidR="00A77B3E" w:rsidRPr="00800D1B" w:rsidRDefault="00623E14" w:rsidP="005719E0">
            <w:pPr>
              <w:spacing w:before="100" w:after="100"/>
              <w:ind w:left="-72"/>
              <w:jc w:val="center"/>
              <w:rPr>
                <w:color w:val="000000"/>
                <w:sz w:val="16"/>
                <w:lang w:val="sv-SE"/>
              </w:rPr>
            </w:pPr>
            <w:r w:rsidRPr="00800D1B">
              <w:rPr>
                <w:color w:val="000000"/>
                <w:sz w:val="16"/>
                <w:lang w:val="sv-SE"/>
              </w:rPr>
              <w:t>Mer utvecklade regioner</w:t>
            </w:r>
          </w:p>
        </w:tc>
        <w:tc>
          <w:tcPr>
            <w:tcW w:w="0" w:type="auto"/>
          </w:tcPr>
          <w:p w14:paraId="2D0667E1" w14:textId="77777777" w:rsidR="00A77B3E" w:rsidRPr="00800D1B" w:rsidRDefault="00623E14" w:rsidP="005719E0">
            <w:pPr>
              <w:spacing w:before="100" w:after="100"/>
              <w:ind w:left="-72"/>
              <w:jc w:val="center"/>
              <w:rPr>
                <w:color w:val="000000"/>
                <w:sz w:val="16"/>
                <w:lang w:val="sv-SE"/>
              </w:rPr>
            </w:pPr>
            <w:r w:rsidRPr="00800D1B">
              <w:rPr>
                <w:color w:val="000000"/>
                <w:sz w:val="16"/>
                <w:lang w:val="sv-SE"/>
              </w:rPr>
              <w:t>Övergångsregioner</w:t>
            </w:r>
          </w:p>
        </w:tc>
        <w:tc>
          <w:tcPr>
            <w:tcW w:w="0" w:type="auto"/>
          </w:tcPr>
          <w:p w14:paraId="2D0667E2" w14:textId="77777777" w:rsidR="00A77B3E" w:rsidRPr="00800D1B" w:rsidRDefault="00623E14" w:rsidP="005719E0">
            <w:pPr>
              <w:spacing w:before="100" w:after="100"/>
              <w:ind w:left="-72"/>
              <w:jc w:val="center"/>
              <w:rPr>
                <w:color w:val="000000"/>
                <w:sz w:val="16"/>
                <w:lang w:val="sv-SE"/>
              </w:rPr>
            </w:pPr>
            <w:r w:rsidRPr="00800D1B">
              <w:rPr>
                <w:color w:val="000000"/>
                <w:sz w:val="16"/>
                <w:lang w:val="sv-SE"/>
              </w:rPr>
              <w:t>Utvecklad</w:t>
            </w:r>
          </w:p>
        </w:tc>
        <w:tc>
          <w:tcPr>
            <w:tcW w:w="0" w:type="auto"/>
          </w:tcPr>
          <w:p w14:paraId="2D0667E3" w14:textId="77777777" w:rsidR="00A77B3E" w:rsidRPr="00800D1B" w:rsidRDefault="00623E14" w:rsidP="005719E0">
            <w:pPr>
              <w:spacing w:before="100" w:after="100"/>
              <w:ind w:left="-72"/>
              <w:jc w:val="center"/>
              <w:rPr>
                <w:color w:val="000000"/>
                <w:sz w:val="16"/>
                <w:lang w:val="sv-SE"/>
              </w:rPr>
            </w:pPr>
            <w:r w:rsidRPr="00800D1B">
              <w:rPr>
                <w:color w:val="000000"/>
                <w:sz w:val="16"/>
                <w:lang w:val="sv-SE"/>
              </w:rPr>
              <w:t>Mer utvecklade regioner</w:t>
            </w:r>
          </w:p>
        </w:tc>
        <w:tc>
          <w:tcPr>
            <w:tcW w:w="0" w:type="auto"/>
          </w:tcPr>
          <w:p w14:paraId="2D0667E4" w14:textId="77777777" w:rsidR="00A77B3E" w:rsidRPr="00800D1B" w:rsidRDefault="00623E14" w:rsidP="005719E0">
            <w:pPr>
              <w:spacing w:before="100" w:after="100"/>
              <w:ind w:left="-72"/>
              <w:jc w:val="center"/>
              <w:rPr>
                <w:color w:val="000000"/>
                <w:sz w:val="16"/>
                <w:lang w:val="sv-SE"/>
              </w:rPr>
            </w:pPr>
            <w:r w:rsidRPr="00800D1B">
              <w:rPr>
                <w:color w:val="000000"/>
                <w:sz w:val="16"/>
                <w:lang w:val="sv-SE"/>
              </w:rPr>
              <w:t>Övergångsregioner</w:t>
            </w:r>
          </w:p>
        </w:tc>
        <w:tc>
          <w:tcPr>
            <w:tcW w:w="0" w:type="auto"/>
          </w:tcPr>
          <w:p w14:paraId="2D0667E5" w14:textId="77777777" w:rsidR="00A77B3E" w:rsidRPr="00800D1B" w:rsidRDefault="00623E14" w:rsidP="005719E0">
            <w:pPr>
              <w:spacing w:before="100" w:after="100"/>
              <w:ind w:left="-72"/>
              <w:jc w:val="center"/>
              <w:rPr>
                <w:color w:val="000000"/>
                <w:sz w:val="16"/>
                <w:lang w:val="sv-SE"/>
              </w:rPr>
            </w:pPr>
            <w:r w:rsidRPr="00800D1B">
              <w:rPr>
                <w:color w:val="000000"/>
                <w:sz w:val="16"/>
                <w:lang w:val="sv-SE"/>
              </w:rPr>
              <w:t>Utvecklad</w:t>
            </w:r>
          </w:p>
        </w:tc>
        <w:tc>
          <w:tcPr>
            <w:tcW w:w="0" w:type="auto"/>
            <w:vMerge/>
          </w:tcPr>
          <w:p w14:paraId="2D0667E6" w14:textId="77777777" w:rsidR="00A77B3E" w:rsidRPr="00800D1B" w:rsidRDefault="00A77B3E" w:rsidP="005719E0">
            <w:pPr>
              <w:spacing w:before="100" w:after="100"/>
              <w:ind w:left="-72"/>
              <w:jc w:val="center"/>
              <w:rPr>
                <w:color w:val="000000"/>
                <w:sz w:val="16"/>
                <w:lang w:val="sv-SE"/>
              </w:rPr>
            </w:pPr>
          </w:p>
        </w:tc>
      </w:tr>
    </w:tbl>
    <w:p w14:paraId="2D0667E8" w14:textId="56BB9CEF" w:rsidR="00A77B3E" w:rsidRPr="00800D1B" w:rsidRDefault="00A77B3E">
      <w:pPr>
        <w:spacing w:before="100"/>
        <w:rPr>
          <w:color w:val="000000"/>
          <w:sz w:val="16"/>
          <w:lang w:val="sv-SE"/>
        </w:rPr>
      </w:pPr>
    </w:p>
    <w:p w14:paraId="00AC59AF" w14:textId="77777777" w:rsidR="005E568C" w:rsidRPr="00800D1B" w:rsidRDefault="005E568C">
      <w:pPr>
        <w:spacing w:before="100"/>
        <w:rPr>
          <w:color w:val="000000"/>
          <w:sz w:val="16"/>
          <w:lang w:val="sv-SE"/>
        </w:rPr>
        <w:sectPr w:rsidR="005E568C" w:rsidRPr="00800D1B" w:rsidSect="0065165D">
          <w:footnotePr>
            <w:numRestart w:val="eachPage"/>
          </w:footnotePr>
          <w:pgSz w:w="16838" w:h="11906" w:orient="landscape"/>
          <w:pgMar w:top="720" w:right="720" w:bottom="864" w:left="936" w:header="288" w:footer="72" w:gutter="0"/>
          <w:cols w:space="720"/>
          <w:noEndnote/>
          <w:docGrid w:linePitch="360"/>
        </w:sectPr>
      </w:pPr>
    </w:p>
    <w:p w14:paraId="2D0667EA" w14:textId="2D3F8FCF" w:rsidR="00A77B3E" w:rsidRPr="00800D1B" w:rsidRDefault="00623E14">
      <w:pPr>
        <w:pStyle w:val="Rubrik3"/>
        <w:spacing w:before="600"/>
        <w:ind w:left="360"/>
        <w:rPr>
          <w:lang w:val="sv-SE"/>
        </w:rPr>
      </w:pPr>
      <w:bookmarkStart w:id="215" w:name="_Toc256000456"/>
      <w:r w:rsidRPr="00800D1B">
        <w:rPr>
          <w:lang w:val="sv-SE"/>
        </w:rPr>
        <w:t>Anslag per år</w:t>
      </w:r>
      <w:bookmarkEnd w:id="215"/>
    </w:p>
    <w:p w14:paraId="2D0667EB" w14:textId="77777777" w:rsidR="00A77B3E" w:rsidRPr="00800D1B" w:rsidRDefault="00623E14">
      <w:pPr>
        <w:spacing w:before="100"/>
        <w:rPr>
          <w:color w:val="000000"/>
          <w:lang w:val="sv-SE"/>
        </w:rPr>
      </w:pPr>
      <w:r w:rsidRPr="00800D1B">
        <w:rPr>
          <w:color w:val="000000"/>
          <w:lang w:val="sv-SE"/>
        </w:rPr>
        <w:t>Referens: artikel 22.3 g i i förordningen om gemensamma bestämmelser och artiklarna 3, 4 och 7 i FRO-förordningen</w:t>
      </w:r>
    </w:p>
    <w:p w14:paraId="2D0667EC" w14:textId="77777777" w:rsidR="00A77B3E" w:rsidRPr="00800D1B" w:rsidRDefault="00A77B3E">
      <w:pPr>
        <w:spacing w:before="100"/>
        <w:rPr>
          <w:color w:val="000000"/>
          <w:sz w:val="0"/>
          <w:lang w:val="sv-SE"/>
        </w:rPr>
      </w:pPr>
    </w:p>
    <w:p w14:paraId="2D0667ED" w14:textId="720221E0" w:rsidR="00A77B3E" w:rsidRPr="00800D1B" w:rsidRDefault="00623E14" w:rsidP="002E61A3">
      <w:pPr>
        <w:pStyle w:val="Rubrik4"/>
        <w:ind w:left="0" w:firstLine="0"/>
        <w:rPr>
          <w:b/>
        </w:rPr>
      </w:pPr>
      <w:bookmarkStart w:id="216" w:name="_Toc256000457"/>
      <w:r w:rsidRPr="00800D1B">
        <w:t>Tabell 10: Anslag per år</w:t>
      </w:r>
      <w:bookmarkEnd w:id="216"/>
    </w:p>
    <w:tbl>
      <w:tblPr>
        <w:tblStyle w:val="Tabellrutnt"/>
        <w:tblW w:w="5000" w:type="pct"/>
        <w:tblLook w:val="04A0" w:firstRow="1" w:lastRow="0" w:firstColumn="1" w:lastColumn="0" w:noHBand="0" w:noVBand="1"/>
        <w:tblDescription w:val="En tabell med tio kolumner: Fond; Regionkategori; 2021; 2022; 2023; 2024; 2025; 2026; 2027; Totalt. Tabellen visar information om Anslag per år."/>
      </w:tblPr>
      <w:tblGrid>
        <w:gridCol w:w="1516"/>
        <w:gridCol w:w="1516"/>
        <w:gridCol w:w="1214"/>
        <w:gridCol w:w="1214"/>
        <w:gridCol w:w="1214"/>
        <w:gridCol w:w="1214"/>
        <w:gridCol w:w="1214"/>
        <w:gridCol w:w="1214"/>
        <w:gridCol w:w="1214"/>
        <w:gridCol w:w="1214"/>
        <w:gridCol w:w="1214"/>
        <w:gridCol w:w="1214"/>
      </w:tblGrid>
      <w:tr w:rsidR="003422DB" w:rsidRPr="00800D1B" w14:paraId="2D0667FA" w14:textId="77777777" w:rsidTr="005719E0">
        <w:tc>
          <w:tcPr>
            <w:tcW w:w="1516" w:type="dxa"/>
            <w:vMerge w:val="restart"/>
          </w:tcPr>
          <w:p w14:paraId="2D0667F0" w14:textId="77777777" w:rsidR="00A77B3E" w:rsidRPr="00800D1B" w:rsidRDefault="00623E14" w:rsidP="005719E0">
            <w:pPr>
              <w:spacing w:before="100" w:after="100"/>
              <w:ind w:left="-72"/>
              <w:jc w:val="center"/>
              <w:rPr>
                <w:color w:val="000000"/>
                <w:sz w:val="14"/>
                <w:lang w:val="sv-SE"/>
              </w:rPr>
            </w:pPr>
            <w:r w:rsidRPr="00800D1B">
              <w:rPr>
                <w:color w:val="000000"/>
                <w:sz w:val="14"/>
                <w:lang w:val="sv-SE"/>
              </w:rPr>
              <w:t>Fond</w:t>
            </w:r>
          </w:p>
        </w:tc>
        <w:tc>
          <w:tcPr>
            <w:tcW w:w="1516" w:type="dxa"/>
            <w:vMerge w:val="restart"/>
          </w:tcPr>
          <w:p w14:paraId="2D0667F1" w14:textId="77777777" w:rsidR="00A77B3E" w:rsidRPr="00800D1B" w:rsidRDefault="00623E14" w:rsidP="005719E0">
            <w:pPr>
              <w:spacing w:before="100" w:after="100"/>
              <w:ind w:left="-72"/>
              <w:jc w:val="center"/>
              <w:rPr>
                <w:color w:val="000000"/>
                <w:sz w:val="14"/>
                <w:lang w:val="sv-SE"/>
              </w:rPr>
            </w:pPr>
            <w:r w:rsidRPr="00800D1B">
              <w:rPr>
                <w:color w:val="000000"/>
                <w:sz w:val="14"/>
                <w:lang w:val="sv-SE"/>
              </w:rPr>
              <w:t>Regionkategori</w:t>
            </w:r>
          </w:p>
        </w:tc>
        <w:tc>
          <w:tcPr>
            <w:tcW w:w="1214" w:type="dxa"/>
            <w:vMerge w:val="restart"/>
          </w:tcPr>
          <w:p w14:paraId="2D0667F2" w14:textId="77777777" w:rsidR="00A77B3E" w:rsidRPr="00800D1B" w:rsidRDefault="00623E14" w:rsidP="005719E0">
            <w:pPr>
              <w:spacing w:before="100" w:after="100"/>
              <w:ind w:left="-72"/>
              <w:jc w:val="center"/>
              <w:rPr>
                <w:color w:val="000000"/>
                <w:sz w:val="14"/>
                <w:lang w:val="sv-SE"/>
              </w:rPr>
            </w:pPr>
            <w:r w:rsidRPr="00800D1B">
              <w:rPr>
                <w:color w:val="000000"/>
                <w:sz w:val="14"/>
                <w:lang w:val="sv-SE"/>
              </w:rPr>
              <w:t>2021</w:t>
            </w:r>
          </w:p>
        </w:tc>
        <w:tc>
          <w:tcPr>
            <w:tcW w:w="1214" w:type="dxa"/>
            <w:vMerge w:val="restart"/>
          </w:tcPr>
          <w:p w14:paraId="2D0667F3" w14:textId="77777777" w:rsidR="00A77B3E" w:rsidRPr="00800D1B" w:rsidRDefault="00623E14" w:rsidP="005719E0">
            <w:pPr>
              <w:spacing w:before="100" w:after="100"/>
              <w:ind w:left="-72"/>
              <w:jc w:val="center"/>
              <w:rPr>
                <w:color w:val="000000"/>
                <w:sz w:val="14"/>
                <w:lang w:val="sv-SE"/>
              </w:rPr>
            </w:pPr>
            <w:r w:rsidRPr="00800D1B">
              <w:rPr>
                <w:color w:val="000000"/>
                <w:sz w:val="14"/>
                <w:lang w:val="sv-SE"/>
              </w:rPr>
              <w:t>2022</w:t>
            </w:r>
          </w:p>
        </w:tc>
        <w:tc>
          <w:tcPr>
            <w:tcW w:w="1214" w:type="dxa"/>
            <w:vMerge w:val="restart"/>
          </w:tcPr>
          <w:p w14:paraId="2D0667F4" w14:textId="77777777" w:rsidR="00A77B3E" w:rsidRPr="00800D1B" w:rsidRDefault="00623E14" w:rsidP="005719E0">
            <w:pPr>
              <w:spacing w:before="100" w:after="100"/>
              <w:ind w:left="-72"/>
              <w:jc w:val="center"/>
              <w:rPr>
                <w:color w:val="000000"/>
                <w:sz w:val="14"/>
                <w:lang w:val="sv-SE"/>
              </w:rPr>
            </w:pPr>
            <w:r w:rsidRPr="00800D1B">
              <w:rPr>
                <w:color w:val="000000"/>
                <w:sz w:val="14"/>
                <w:lang w:val="sv-SE"/>
              </w:rPr>
              <w:t>2023</w:t>
            </w:r>
          </w:p>
        </w:tc>
        <w:tc>
          <w:tcPr>
            <w:tcW w:w="1214" w:type="dxa"/>
            <w:vMerge w:val="restart"/>
          </w:tcPr>
          <w:p w14:paraId="2D0667F5" w14:textId="77777777" w:rsidR="00A77B3E" w:rsidRPr="00800D1B" w:rsidRDefault="00623E14" w:rsidP="005719E0">
            <w:pPr>
              <w:spacing w:before="100" w:after="100"/>
              <w:ind w:left="-72"/>
              <w:jc w:val="center"/>
              <w:rPr>
                <w:color w:val="000000"/>
                <w:sz w:val="14"/>
                <w:lang w:val="sv-SE"/>
              </w:rPr>
            </w:pPr>
            <w:r w:rsidRPr="00800D1B">
              <w:rPr>
                <w:color w:val="000000"/>
                <w:sz w:val="14"/>
                <w:lang w:val="sv-SE"/>
              </w:rPr>
              <w:t>2024</w:t>
            </w:r>
          </w:p>
        </w:tc>
        <w:tc>
          <w:tcPr>
            <w:tcW w:w="1214" w:type="dxa"/>
            <w:vMerge w:val="restart"/>
          </w:tcPr>
          <w:p w14:paraId="2D0667F6" w14:textId="77777777" w:rsidR="00A77B3E" w:rsidRPr="00800D1B" w:rsidRDefault="00623E14" w:rsidP="005719E0">
            <w:pPr>
              <w:spacing w:before="100" w:after="100"/>
              <w:ind w:left="-72"/>
              <w:jc w:val="center"/>
              <w:rPr>
                <w:color w:val="000000"/>
                <w:sz w:val="14"/>
                <w:lang w:val="sv-SE"/>
              </w:rPr>
            </w:pPr>
            <w:r w:rsidRPr="00800D1B">
              <w:rPr>
                <w:color w:val="000000"/>
                <w:sz w:val="14"/>
                <w:lang w:val="sv-SE"/>
              </w:rPr>
              <w:t>2025</w:t>
            </w:r>
          </w:p>
        </w:tc>
        <w:tc>
          <w:tcPr>
            <w:tcW w:w="2428" w:type="dxa"/>
            <w:gridSpan w:val="2"/>
          </w:tcPr>
          <w:p w14:paraId="2D0667F7" w14:textId="77777777" w:rsidR="00A77B3E" w:rsidRPr="00800D1B" w:rsidRDefault="00623E14" w:rsidP="005719E0">
            <w:pPr>
              <w:spacing w:before="100" w:after="100"/>
              <w:ind w:left="-72"/>
              <w:jc w:val="center"/>
              <w:rPr>
                <w:color w:val="000000"/>
                <w:sz w:val="14"/>
                <w:lang w:val="sv-SE"/>
              </w:rPr>
            </w:pPr>
            <w:r w:rsidRPr="00800D1B">
              <w:rPr>
                <w:color w:val="000000"/>
                <w:sz w:val="14"/>
                <w:lang w:val="sv-SE"/>
              </w:rPr>
              <w:t>2026</w:t>
            </w:r>
          </w:p>
        </w:tc>
        <w:tc>
          <w:tcPr>
            <w:tcW w:w="2428" w:type="dxa"/>
            <w:gridSpan w:val="2"/>
          </w:tcPr>
          <w:p w14:paraId="2D0667F8" w14:textId="77777777" w:rsidR="00A77B3E" w:rsidRPr="00800D1B" w:rsidRDefault="00623E14" w:rsidP="005719E0">
            <w:pPr>
              <w:spacing w:before="100" w:after="100"/>
              <w:ind w:left="-72"/>
              <w:jc w:val="center"/>
              <w:rPr>
                <w:color w:val="000000"/>
                <w:sz w:val="14"/>
                <w:lang w:val="sv-SE"/>
              </w:rPr>
            </w:pPr>
            <w:r w:rsidRPr="00800D1B">
              <w:rPr>
                <w:color w:val="000000"/>
                <w:sz w:val="14"/>
                <w:lang w:val="sv-SE"/>
              </w:rPr>
              <w:t>2027</w:t>
            </w:r>
          </w:p>
        </w:tc>
        <w:tc>
          <w:tcPr>
            <w:tcW w:w="1214" w:type="dxa"/>
            <w:vMerge w:val="restart"/>
          </w:tcPr>
          <w:p w14:paraId="2D0667F9" w14:textId="77777777" w:rsidR="00A77B3E" w:rsidRPr="00800D1B" w:rsidRDefault="00623E14" w:rsidP="005719E0">
            <w:pPr>
              <w:spacing w:before="100" w:after="100"/>
              <w:ind w:left="-72"/>
              <w:jc w:val="center"/>
              <w:rPr>
                <w:color w:val="000000"/>
                <w:sz w:val="14"/>
                <w:lang w:val="sv-SE"/>
              </w:rPr>
            </w:pPr>
            <w:r w:rsidRPr="00800D1B">
              <w:rPr>
                <w:color w:val="000000"/>
                <w:sz w:val="14"/>
                <w:lang w:val="sv-SE"/>
              </w:rPr>
              <w:t>Totalt</w:t>
            </w:r>
          </w:p>
        </w:tc>
      </w:tr>
      <w:tr w:rsidR="003422DB" w:rsidRPr="00800D1B" w14:paraId="2D066807" w14:textId="77777777" w:rsidTr="005719E0">
        <w:tc>
          <w:tcPr>
            <w:tcW w:w="1516" w:type="dxa"/>
            <w:vMerge/>
          </w:tcPr>
          <w:p w14:paraId="2D0667FB" w14:textId="77777777" w:rsidR="00A77B3E" w:rsidRPr="00800D1B" w:rsidRDefault="00A77B3E" w:rsidP="005719E0">
            <w:pPr>
              <w:spacing w:before="100" w:after="100"/>
              <w:ind w:left="-72"/>
              <w:jc w:val="center"/>
              <w:rPr>
                <w:color w:val="000000"/>
                <w:sz w:val="14"/>
                <w:lang w:val="sv-SE"/>
              </w:rPr>
            </w:pPr>
          </w:p>
        </w:tc>
        <w:tc>
          <w:tcPr>
            <w:tcW w:w="1516" w:type="dxa"/>
            <w:vMerge/>
          </w:tcPr>
          <w:p w14:paraId="2D0667FC" w14:textId="77777777" w:rsidR="00A77B3E" w:rsidRPr="00800D1B" w:rsidRDefault="00A77B3E" w:rsidP="005719E0">
            <w:pPr>
              <w:spacing w:before="100" w:after="100"/>
              <w:ind w:left="-72"/>
              <w:jc w:val="center"/>
              <w:rPr>
                <w:color w:val="000000"/>
                <w:sz w:val="14"/>
                <w:lang w:val="sv-SE"/>
              </w:rPr>
            </w:pPr>
          </w:p>
        </w:tc>
        <w:tc>
          <w:tcPr>
            <w:tcW w:w="1214" w:type="dxa"/>
            <w:vMerge/>
          </w:tcPr>
          <w:p w14:paraId="2D0667FD" w14:textId="77777777" w:rsidR="00A77B3E" w:rsidRPr="00800D1B" w:rsidRDefault="00A77B3E" w:rsidP="005719E0">
            <w:pPr>
              <w:spacing w:before="100" w:after="100"/>
              <w:ind w:left="-72"/>
              <w:jc w:val="center"/>
              <w:rPr>
                <w:color w:val="000000"/>
                <w:sz w:val="14"/>
                <w:lang w:val="sv-SE"/>
              </w:rPr>
            </w:pPr>
          </w:p>
        </w:tc>
        <w:tc>
          <w:tcPr>
            <w:tcW w:w="1214" w:type="dxa"/>
            <w:vMerge/>
          </w:tcPr>
          <w:p w14:paraId="2D0667FE" w14:textId="77777777" w:rsidR="00A77B3E" w:rsidRPr="00800D1B" w:rsidRDefault="00A77B3E" w:rsidP="005719E0">
            <w:pPr>
              <w:spacing w:before="100" w:after="100"/>
              <w:ind w:left="-72"/>
              <w:jc w:val="center"/>
              <w:rPr>
                <w:color w:val="000000"/>
                <w:sz w:val="14"/>
                <w:lang w:val="sv-SE"/>
              </w:rPr>
            </w:pPr>
          </w:p>
        </w:tc>
        <w:tc>
          <w:tcPr>
            <w:tcW w:w="1214" w:type="dxa"/>
            <w:vMerge/>
          </w:tcPr>
          <w:p w14:paraId="2D0667FF" w14:textId="77777777" w:rsidR="00A77B3E" w:rsidRPr="00800D1B" w:rsidRDefault="00A77B3E" w:rsidP="005719E0">
            <w:pPr>
              <w:spacing w:before="100" w:after="100"/>
              <w:ind w:left="-72"/>
              <w:jc w:val="center"/>
              <w:rPr>
                <w:color w:val="000000"/>
                <w:sz w:val="14"/>
                <w:lang w:val="sv-SE"/>
              </w:rPr>
            </w:pPr>
          </w:p>
        </w:tc>
        <w:tc>
          <w:tcPr>
            <w:tcW w:w="1214" w:type="dxa"/>
            <w:vMerge/>
          </w:tcPr>
          <w:p w14:paraId="2D066800" w14:textId="77777777" w:rsidR="00A77B3E" w:rsidRPr="00800D1B" w:rsidRDefault="00A77B3E" w:rsidP="005719E0">
            <w:pPr>
              <w:spacing w:before="100" w:after="100"/>
              <w:ind w:left="-72"/>
              <w:jc w:val="center"/>
              <w:rPr>
                <w:color w:val="000000"/>
                <w:sz w:val="14"/>
                <w:lang w:val="sv-SE"/>
              </w:rPr>
            </w:pPr>
          </w:p>
        </w:tc>
        <w:tc>
          <w:tcPr>
            <w:tcW w:w="1214" w:type="dxa"/>
            <w:vMerge/>
          </w:tcPr>
          <w:p w14:paraId="2D066801" w14:textId="77777777" w:rsidR="00A77B3E" w:rsidRPr="00800D1B" w:rsidRDefault="00A77B3E" w:rsidP="005719E0">
            <w:pPr>
              <w:spacing w:before="100" w:after="100"/>
              <w:ind w:left="-72"/>
              <w:jc w:val="center"/>
              <w:rPr>
                <w:color w:val="000000"/>
                <w:sz w:val="14"/>
                <w:lang w:val="sv-SE"/>
              </w:rPr>
            </w:pPr>
          </w:p>
        </w:tc>
        <w:tc>
          <w:tcPr>
            <w:tcW w:w="1214" w:type="dxa"/>
          </w:tcPr>
          <w:p w14:paraId="2D066802" w14:textId="77777777" w:rsidR="00A77B3E" w:rsidRPr="00800D1B" w:rsidRDefault="00623E14" w:rsidP="005719E0">
            <w:pPr>
              <w:spacing w:before="100" w:after="100"/>
              <w:ind w:left="-72"/>
              <w:jc w:val="center"/>
              <w:rPr>
                <w:color w:val="000000"/>
                <w:sz w:val="14"/>
                <w:lang w:val="sv-SE"/>
              </w:rPr>
            </w:pPr>
            <w:r w:rsidRPr="00800D1B">
              <w:rPr>
                <w:color w:val="000000"/>
                <w:sz w:val="14"/>
                <w:lang w:val="sv-SE"/>
              </w:rPr>
              <w:t>Anslag utan flexibilitetsbelopp</w:t>
            </w:r>
          </w:p>
        </w:tc>
        <w:tc>
          <w:tcPr>
            <w:tcW w:w="1214" w:type="dxa"/>
          </w:tcPr>
          <w:p w14:paraId="2D066803" w14:textId="77777777" w:rsidR="00A77B3E" w:rsidRPr="00800D1B" w:rsidRDefault="00623E14" w:rsidP="005719E0">
            <w:pPr>
              <w:spacing w:before="100" w:after="100"/>
              <w:ind w:left="-72"/>
              <w:jc w:val="center"/>
              <w:rPr>
                <w:color w:val="000000"/>
                <w:sz w:val="14"/>
                <w:lang w:val="sv-SE"/>
              </w:rPr>
            </w:pPr>
            <w:r w:rsidRPr="00800D1B">
              <w:rPr>
                <w:color w:val="000000"/>
                <w:sz w:val="14"/>
                <w:lang w:val="sv-SE"/>
              </w:rPr>
              <w:t>Flexibilitetsbelopp</w:t>
            </w:r>
          </w:p>
        </w:tc>
        <w:tc>
          <w:tcPr>
            <w:tcW w:w="1214" w:type="dxa"/>
          </w:tcPr>
          <w:p w14:paraId="2D066804" w14:textId="77777777" w:rsidR="00A77B3E" w:rsidRPr="00800D1B" w:rsidRDefault="00623E14" w:rsidP="005719E0">
            <w:pPr>
              <w:spacing w:before="100" w:after="100"/>
              <w:ind w:left="-72"/>
              <w:jc w:val="center"/>
              <w:rPr>
                <w:color w:val="000000"/>
                <w:sz w:val="14"/>
                <w:lang w:val="sv-SE"/>
              </w:rPr>
            </w:pPr>
            <w:r w:rsidRPr="00800D1B">
              <w:rPr>
                <w:color w:val="000000"/>
                <w:sz w:val="14"/>
                <w:lang w:val="sv-SE"/>
              </w:rPr>
              <w:t>Anslag utan flexibilitetsbelopp</w:t>
            </w:r>
          </w:p>
        </w:tc>
        <w:tc>
          <w:tcPr>
            <w:tcW w:w="1214" w:type="dxa"/>
          </w:tcPr>
          <w:p w14:paraId="2D066805" w14:textId="77777777" w:rsidR="00A77B3E" w:rsidRPr="00800D1B" w:rsidRDefault="00623E14" w:rsidP="005719E0">
            <w:pPr>
              <w:spacing w:before="100" w:after="100"/>
              <w:ind w:left="-72"/>
              <w:jc w:val="center"/>
              <w:rPr>
                <w:color w:val="000000"/>
                <w:sz w:val="14"/>
                <w:lang w:val="sv-SE"/>
              </w:rPr>
            </w:pPr>
            <w:r w:rsidRPr="00800D1B">
              <w:rPr>
                <w:color w:val="000000"/>
                <w:sz w:val="14"/>
                <w:lang w:val="sv-SE"/>
              </w:rPr>
              <w:t>Flexibilitetsbelopp</w:t>
            </w:r>
          </w:p>
        </w:tc>
        <w:tc>
          <w:tcPr>
            <w:tcW w:w="1214" w:type="dxa"/>
            <w:vMerge/>
          </w:tcPr>
          <w:p w14:paraId="2D066806" w14:textId="77777777" w:rsidR="00A77B3E" w:rsidRPr="00800D1B" w:rsidRDefault="00A77B3E" w:rsidP="005719E0">
            <w:pPr>
              <w:spacing w:before="100" w:after="100"/>
              <w:ind w:left="-72"/>
              <w:jc w:val="center"/>
              <w:rPr>
                <w:color w:val="000000"/>
                <w:sz w:val="14"/>
                <w:lang w:val="sv-SE"/>
              </w:rPr>
            </w:pPr>
          </w:p>
        </w:tc>
      </w:tr>
      <w:tr w:rsidR="003422DB" w:rsidRPr="00800D1B" w14:paraId="2D066814" w14:textId="77777777" w:rsidTr="005719E0">
        <w:tc>
          <w:tcPr>
            <w:tcW w:w="1516" w:type="dxa"/>
          </w:tcPr>
          <w:p w14:paraId="2D066808" w14:textId="731FC671" w:rsidR="00A77B3E" w:rsidRPr="00800D1B" w:rsidRDefault="00623E14" w:rsidP="005719E0">
            <w:pPr>
              <w:spacing w:before="100" w:after="100"/>
              <w:ind w:left="-72"/>
              <w:rPr>
                <w:color w:val="000000"/>
                <w:sz w:val="14"/>
                <w:lang w:val="sv-SE"/>
              </w:rPr>
            </w:pPr>
            <w:r w:rsidRPr="00800D1B">
              <w:rPr>
                <w:color w:val="000000"/>
                <w:sz w:val="14"/>
                <w:lang w:val="sv-SE"/>
              </w:rPr>
              <w:t>Eruf</w:t>
            </w:r>
            <w:r w:rsidR="00E516B6" w:rsidRPr="00800D1B">
              <w:rPr>
                <w:rStyle w:val="Fotnotsreferens"/>
                <w:color w:val="000000"/>
                <w:sz w:val="14"/>
                <w:lang w:val="sv-SE"/>
              </w:rPr>
              <w:footnoteReference w:customMarkFollows="1" w:id="11"/>
              <w:t>*</w:t>
            </w:r>
          </w:p>
        </w:tc>
        <w:tc>
          <w:tcPr>
            <w:tcW w:w="1516" w:type="dxa"/>
          </w:tcPr>
          <w:p w14:paraId="2D066809" w14:textId="77777777" w:rsidR="00A77B3E" w:rsidRPr="00800D1B" w:rsidRDefault="00623E14" w:rsidP="005719E0">
            <w:pPr>
              <w:spacing w:before="100" w:after="100"/>
              <w:ind w:left="-72"/>
              <w:rPr>
                <w:color w:val="000000"/>
                <w:sz w:val="14"/>
                <w:lang w:val="sv-SE"/>
              </w:rPr>
            </w:pPr>
            <w:r w:rsidRPr="00800D1B">
              <w:rPr>
                <w:color w:val="000000"/>
                <w:sz w:val="14"/>
                <w:lang w:val="sv-SE"/>
              </w:rPr>
              <w:t>Mer utvecklade regioner</w:t>
            </w:r>
          </w:p>
        </w:tc>
        <w:tc>
          <w:tcPr>
            <w:tcW w:w="1214" w:type="dxa"/>
          </w:tcPr>
          <w:p w14:paraId="2D06680A" w14:textId="77777777" w:rsidR="00A77B3E" w:rsidRPr="00800D1B" w:rsidRDefault="00623E14" w:rsidP="005719E0">
            <w:pPr>
              <w:spacing w:before="100" w:after="100"/>
              <w:ind w:left="-72"/>
              <w:jc w:val="right"/>
              <w:rPr>
                <w:color w:val="000000"/>
                <w:sz w:val="14"/>
                <w:lang w:val="sv-SE"/>
              </w:rPr>
            </w:pPr>
            <w:r w:rsidRPr="00800D1B">
              <w:rPr>
                <w:color w:val="000000"/>
                <w:sz w:val="14"/>
                <w:lang w:val="sv-SE"/>
              </w:rPr>
              <w:t>0,00</w:t>
            </w:r>
          </w:p>
        </w:tc>
        <w:tc>
          <w:tcPr>
            <w:tcW w:w="1214" w:type="dxa"/>
          </w:tcPr>
          <w:p w14:paraId="2D06680B" w14:textId="77777777" w:rsidR="00A77B3E" w:rsidRPr="00800D1B" w:rsidRDefault="00623E14" w:rsidP="005719E0">
            <w:pPr>
              <w:spacing w:before="100" w:after="100"/>
              <w:ind w:left="-72"/>
              <w:jc w:val="right"/>
              <w:rPr>
                <w:color w:val="000000"/>
                <w:sz w:val="14"/>
                <w:lang w:val="sv-SE"/>
              </w:rPr>
            </w:pPr>
            <w:r w:rsidRPr="00800D1B">
              <w:rPr>
                <w:color w:val="000000"/>
                <w:sz w:val="14"/>
                <w:lang w:val="sv-SE"/>
              </w:rPr>
              <w:t>19 491 091,00</w:t>
            </w:r>
          </w:p>
        </w:tc>
        <w:tc>
          <w:tcPr>
            <w:tcW w:w="1214" w:type="dxa"/>
          </w:tcPr>
          <w:p w14:paraId="2D06680C" w14:textId="77777777" w:rsidR="00A77B3E" w:rsidRPr="00800D1B" w:rsidRDefault="00623E14" w:rsidP="005719E0">
            <w:pPr>
              <w:spacing w:before="100" w:after="100"/>
              <w:ind w:left="-72"/>
              <w:jc w:val="right"/>
              <w:rPr>
                <w:color w:val="000000"/>
                <w:sz w:val="14"/>
                <w:lang w:val="sv-SE"/>
              </w:rPr>
            </w:pPr>
            <w:r w:rsidRPr="00800D1B">
              <w:rPr>
                <w:color w:val="000000"/>
                <w:sz w:val="14"/>
                <w:lang w:val="sv-SE"/>
              </w:rPr>
              <w:t>19 804 873,00</w:t>
            </w:r>
          </w:p>
        </w:tc>
        <w:tc>
          <w:tcPr>
            <w:tcW w:w="1214" w:type="dxa"/>
          </w:tcPr>
          <w:p w14:paraId="2D06680D" w14:textId="77777777" w:rsidR="00A77B3E" w:rsidRPr="00800D1B" w:rsidRDefault="00623E14" w:rsidP="005719E0">
            <w:pPr>
              <w:spacing w:before="100" w:after="100"/>
              <w:ind w:left="-72"/>
              <w:jc w:val="right"/>
              <w:rPr>
                <w:color w:val="000000"/>
                <w:sz w:val="14"/>
                <w:lang w:val="sv-SE"/>
              </w:rPr>
            </w:pPr>
            <w:r w:rsidRPr="00800D1B">
              <w:rPr>
                <w:color w:val="000000"/>
                <w:sz w:val="14"/>
                <w:lang w:val="sv-SE"/>
              </w:rPr>
              <w:t>20 125 050,00</w:t>
            </w:r>
          </w:p>
        </w:tc>
        <w:tc>
          <w:tcPr>
            <w:tcW w:w="1214" w:type="dxa"/>
          </w:tcPr>
          <w:p w14:paraId="2D06680E" w14:textId="77777777" w:rsidR="00A77B3E" w:rsidRPr="00800D1B" w:rsidRDefault="00623E14" w:rsidP="005719E0">
            <w:pPr>
              <w:spacing w:before="100" w:after="100"/>
              <w:ind w:left="-72"/>
              <w:jc w:val="right"/>
              <w:rPr>
                <w:color w:val="000000"/>
                <w:sz w:val="14"/>
                <w:lang w:val="sv-SE"/>
              </w:rPr>
            </w:pPr>
            <w:r w:rsidRPr="00800D1B">
              <w:rPr>
                <w:color w:val="000000"/>
                <w:sz w:val="14"/>
                <w:lang w:val="sv-SE"/>
              </w:rPr>
              <w:t>20 451 629,00</w:t>
            </w:r>
          </w:p>
        </w:tc>
        <w:tc>
          <w:tcPr>
            <w:tcW w:w="1214" w:type="dxa"/>
          </w:tcPr>
          <w:p w14:paraId="2D06680F" w14:textId="77777777" w:rsidR="00A77B3E" w:rsidRPr="00800D1B" w:rsidRDefault="00623E14" w:rsidP="005719E0">
            <w:pPr>
              <w:spacing w:before="100" w:after="100"/>
              <w:ind w:left="-72"/>
              <w:jc w:val="right"/>
              <w:rPr>
                <w:color w:val="000000"/>
                <w:sz w:val="14"/>
                <w:lang w:val="sv-SE"/>
              </w:rPr>
            </w:pPr>
            <w:r w:rsidRPr="00800D1B">
              <w:rPr>
                <w:color w:val="000000"/>
                <w:sz w:val="14"/>
                <w:lang w:val="sv-SE"/>
              </w:rPr>
              <w:t>8 474 023,00</w:t>
            </w:r>
          </w:p>
        </w:tc>
        <w:tc>
          <w:tcPr>
            <w:tcW w:w="1214" w:type="dxa"/>
          </w:tcPr>
          <w:p w14:paraId="2D066810" w14:textId="77777777" w:rsidR="00A77B3E" w:rsidRPr="00800D1B" w:rsidRDefault="00623E14" w:rsidP="005719E0">
            <w:pPr>
              <w:spacing w:before="100" w:after="100"/>
              <w:ind w:left="-72"/>
              <w:jc w:val="right"/>
              <w:rPr>
                <w:color w:val="000000"/>
                <w:sz w:val="14"/>
                <w:lang w:val="sv-SE"/>
              </w:rPr>
            </w:pPr>
            <w:r w:rsidRPr="00800D1B">
              <w:rPr>
                <w:color w:val="000000"/>
                <w:sz w:val="14"/>
                <w:lang w:val="sv-SE"/>
              </w:rPr>
              <w:t>8 474 023,00</w:t>
            </w:r>
          </w:p>
        </w:tc>
        <w:tc>
          <w:tcPr>
            <w:tcW w:w="1214" w:type="dxa"/>
          </w:tcPr>
          <w:p w14:paraId="2D066811" w14:textId="77777777" w:rsidR="00A77B3E" w:rsidRPr="00800D1B" w:rsidRDefault="00623E14" w:rsidP="005719E0">
            <w:pPr>
              <w:spacing w:before="100" w:after="100"/>
              <w:ind w:left="-72"/>
              <w:jc w:val="right"/>
              <w:rPr>
                <w:color w:val="000000"/>
                <w:sz w:val="14"/>
                <w:lang w:val="sv-SE"/>
              </w:rPr>
            </w:pPr>
            <w:r w:rsidRPr="00800D1B">
              <w:rPr>
                <w:color w:val="000000"/>
                <w:sz w:val="14"/>
                <w:lang w:val="sv-SE"/>
              </w:rPr>
              <w:t>8 643 912,00</w:t>
            </w:r>
          </w:p>
        </w:tc>
        <w:tc>
          <w:tcPr>
            <w:tcW w:w="1214" w:type="dxa"/>
          </w:tcPr>
          <w:p w14:paraId="2D066812" w14:textId="77777777" w:rsidR="00A77B3E" w:rsidRPr="00800D1B" w:rsidRDefault="00623E14" w:rsidP="005719E0">
            <w:pPr>
              <w:spacing w:before="100" w:after="100"/>
              <w:ind w:left="-72"/>
              <w:jc w:val="right"/>
              <w:rPr>
                <w:color w:val="000000"/>
                <w:sz w:val="14"/>
                <w:lang w:val="sv-SE"/>
              </w:rPr>
            </w:pPr>
            <w:r w:rsidRPr="00800D1B">
              <w:rPr>
                <w:color w:val="000000"/>
                <w:sz w:val="14"/>
                <w:lang w:val="sv-SE"/>
              </w:rPr>
              <w:t>8 643 911,00</w:t>
            </w:r>
          </w:p>
        </w:tc>
        <w:tc>
          <w:tcPr>
            <w:tcW w:w="1214" w:type="dxa"/>
          </w:tcPr>
          <w:p w14:paraId="2D066813" w14:textId="77777777" w:rsidR="00A77B3E" w:rsidRPr="00800D1B" w:rsidRDefault="00623E14" w:rsidP="005719E0">
            <w:pPr>
              <w:spacing w:before="100" w:after="100"/>
              <w:ind w:left="-72"/>
              <w:jc w:val="right"/>
              <w:rPr>
                <w:color w:val="000000"/>
                <w:sz w:val="14"/>
                <w:lang w:val="sv-SE"/>
              </w:rPr>
            </w:pPr>
            <w:r w:rsidRPr="00800D1B">
              <w:rPr>
                <w:color w:val="000000"/>
                <w:sz w:val="14"/>
                <w:lang w:val="sv-SE"/>
              </w:rPr>
              <w:t>114 108 512,00</w:t>
            </w:r>
          </w:p>
        </w:tc>
      </w:tr>
      <w:tr w:rsidR="003422DB" w:rsidRPr="00800D1B" w14:paraId="2D066821" w14:textId="77777777" w:rsidTr="005719E0">
        <w:tc>
          <w:tcPr>
            <w:tcW w:w="1516" w:type="dxa"/>
          </w:tcPr>
          <w:p w14:paraId="2D066815" w14:textId="77777777" w:rsidR="00A77B3E" w:rsidRPr="00800D1B" w:rsidRDefault="00623E14" w:rsidP="005719E0">
            <w:pPr>
              <w:spacing w:before="100" w:after="100"/>
              <w:ind w:left="-72"/>
              <w:rPr>
                <w:color w:val="000000"/>
                <w:sz w:val="14"/>
                <w:lang w:val="sv-SE"/>
              </w:rPr>
            </w:pPr>
            <w:r w:rsidRPr="00800D1B">
              <w:rPr>
                <w:color w:val="000000"/>
                <w:sz w:val="14"/>
                <w:lang w:val="sv-SE"/>
              </w:rPr>
              <w:t>Eruf*</w:t>
            </w:r>
          </w:p>
        </w:tc>
        <w:tc>
          <w:tcPr>
            <w:tcW w:w="1516" w:type="dxa"/>
          </w:tcPr>
          <w:p w14:paraId="2D066816" w14:textId="77777777" w:rsidR="00A77B3E" w:rsidRPr="00800D1B" w:rsidRDefault="00623E14" w:rsidP="005719E0">
            <w:pPr>
              <w:spacing w:before="100" w:after="100"/>
              <w:ind w:left="-72"/>
              <w:rPr>
                <w:color w:val="000000"/>
                <w:sz w:val="14"/>
                <w:lang w:val="sv-SE"/>
              </w:rPr>
            </w:pPr>
            <w:r w:rsidRPr="00800D1B">
              <w:rPr>
                <w:color w:val="000000"/>
                <w:sz w:val="14"/>
                <w:lang w:val="sv-SE"/>
              </w:rPr>
              <w:t>De yttersta randområdena eller de nordliga glesbefolkade områdena</w:t>
            </w:r>
          </w:p>
        </w:tc>
        <w:tc>
          <w:tcPr>
            <w:tcW w:w="1214" w:type="dxa"/>
          </w:tcPr>
          <w:p w14:paraId="2D066817" w14:textId="77777777" w:rsidR="00A77B3E" w:rsidRPr="00800D1B" w:rsidRDefault="00623E14" w:rsidP="005719E0">
            <w:pPr>
              <w:spacing w:before="100" w:after="100"/>
              <w:ind w:left="-72"/>
              <w:jc w:val="right"/>
              <w:rPr>
                <w:color w:val="000000"/>
                <w:sz w:val="14"/>
                <w:lang w:val="sv-SE"/>
              </w:rPr>
            </w:pPr>
            <w:r w:rsidRPr="00800D1B">
              <w:rPr>
                <w:color w:val="000000"/>
                <w:sz w:val="14"/>
                <w:lang w:val="sv-SE"/>
              </w:rPr>
              <w:t>0,00</w:t>
            </w:r>
          </w:p>
        </w:tc>
        <w:tc>
          <w:tcPr>
            <w:tcW w:w="1214" w:type="dxa"/>
          </w:tcPr>
          <w:p w14:paraId="2D066818" w14:textId="77777777" w:rsidR="00A77B3E" w:rsidRPr="00800D1B" w:rsidRDefault="00623E14" w:rsidP="005719E0">
            <w:pPr>
              <w:spacing w:before="100" w:after="100"/>
              <w:ind w:left="-72"/>
              <w:jc w:val="right"/>
              <w:rPr>
                <w:color w:val="000000"/>
                <w:sz w:val="14"/>
                <w:lang w:val="sv-SE"/>
              </w:rPr>
            </w:pPr>
            <w:r w:rsidRPr="00800D1B">
              <w:rPr>
                <w:color w:val="000000"/>
                <w:sz w:val="14"/>
                <w:lang w:val="sv-SE"/>
              </w:rPr>
              <w:t>14 043 175,00</w:t>
            </w:r>
          </w:p>
        </w:tc>
        <w:tc>
          <w:tcPr>
            <w:tcW w:w="1214" w:type="dxa"/>
          </w:tcPr>
          <w:p w14:paraId="2D066819" w14:textId="77777777" w:rsidR="00A77B3E" w:rsidRPr="00800D1B" w:rsidRDefault="00623E14" w:rsidP="005719E0">
            <w:pPr>
              <w:spacing w:before="100" w:after="100"/>
              <w:ind w:left="-72"/>
              <w:jc w:val="right"/>
              <w:rPr>
                <w:color w:val="000000"/>
                <w:sz w:val="14"/>
                <w:lang w:val="sv-SE"/>
              </w:rPr>
            </w:pPr>
            <w:r w:rsidRPr="00800D1B">
              <w:rPr>
                <w:color w:val="000000"/>
                <w:sz w:val="14"/>
                <w:lang w:val="sv-SE"/>
              </w:rPr>
              <w:t>14 269 077,00</w:t>
            </w:r>
          </w:p>
        </w:tc>
        <w:tc>
          <w:tcPr>
            <w:tcW w:w="1214" w:type="dxa"/>
          </w:tcPr>
          <w:p w14:paraId="2D06681A" w14:textId="77777777" w:rsidR="00A77B3E" w:rsidRPr="00800D1B" w:rsidRDefault="00623E14" w:rsidP="005719E0">
            <w:pPr>
              <w:spacing w:before="100" w:after="100"/>
              <w:ind w:left="-72"/>
              <w:jc w:val="right"/>
              <w:rPr>
                <w:color w:val="000000"/>
                <w:sz w:val="14"/>
                <w:lang w:val="sv-SE"/>
              </w:rPr>
            </w:pPr>
            <w:r w:rsidRPr="00800D1B">
              <w:rPr>
                <w:color w:val="000000"/>
                <w:sz w:val="14"/>
                <w:lang w:val="sv-SE"/>
              </w:rPr>
              <w:t>14 499 551,00</w:t>
            </w:r>
          </w:p>
        </w:tc>
        <w:tc>
          <w:tcPr>
            <w:tcW w:w="1214" w:type="dxa"/>
          </w:tcPr>
          <w:p w14:paraId="2D06681B" w14:textId="77777777" w:rsidR="00A77B3E" w:rsidRPr="00800D1B" w:rsidRDefault="00623E14" w:rsidP="005719E0">
            <w:pPr>
              <w:spacing w:before="100" w:after="100"/>
              <w:ind w:left="-72"/>
              <w:jc w:val="right"/>
              <w:rPr>
                <w:color w:val="000000"/>
                <w:sz w:val="14"/>
                <w:lang w:val="sv-SE"/>
              </w:rPr>
            </w:pPr>
            <w:r w:rsidRPr="00800D1B">
              <w:rPr>
                <w:color w:val="000000"/>
                <w:sz w:val="14"/>
                <w:lang w:val="sv-SE"/>
              </w:rPr>
              <w:t>14 734 635,00</w:t>
            </w:r>
          </w:p>
        </w:tc>
        <w:tc>
          <w:tcPr>
            <w:tcW w:w="1214" w:type="dxa"/>
          </w:tcPr>
          <w:p w14:paraId="2D06681C" w14:textId="77777777" w:rsidR="00A77B3E" w:rsidRPr="00800D1B" w:rsidRDefault="00623E14" w:rsidP="005719E0">
            <w:pPr>
              <w:spacing w:before="100" w:after="100"/>
              <w:ind w:left="-72"/>
              <w:jc w:val="right"/>
              <w:rPr>
                <w:color w:val="000000"/>
                <w:sz w:val="14"/>
                <w:lang w:val="sv-SE"/>
              </w:rPr>
            </w:pPr>
            <w:r w:rsidRPr="00800D1B">
              <w:rPr>
                <w:color w:val="000000"/>
                <w:sz w:val="14"/>
                <w:lang w:val="sv-SE"/>
              </w:rPr>
              <w:t>6 105 039,00</w:t>
            </w:r>
          </w:p>
        </w:tc>
        <w:tc>
          <w:tcPr>
            <w:tcW w:w="1214" w:type="dxa"/>
          </w:tcPr>
          <w:p w14:paraId="2D06681D" w14:textId="77777777" w:rsidR="00A77B3E" w:rsidRPr="00800D1B" w:rsidRDefault="00623E14" w:rsidP="005719E0">
            <w:pPr>
              <w:spacing w:before="100" w:after="100"/>
              <w:ind w:left="-72"/>
              <w:jc w:val="right"/>
              <w:rPr>
                <w:color w:val="000000"/>
                <w:sz w:val="14"/>
                <w:lang w:val="sv-SE"/>
              </w:rPr>
            </w:pPr>
            <w:r w:rsidRPr="00800D1B">
              <w:rPr>
                <w:color w:val="000000"/>
                <w:sz w:val="14"/>
                <w:lang w:val="sv-SE"/>
              </w:rPr>
              <w:t>6 105 039,00</w:t>
            </w:r>
          </w:p>
        </w:tc>
        <w:tc>
          <w:tcPr>
            <w:tcW w:w="1214" w:type="dxa"/>
          </w:tcPr>
          <w:p w14:paraId="2D06681E" w14:textId="77777777" w:rsidR="00A77B3E" w:rsidRPr="00800D1B" w:rsidRDefault="00623E14" w:rsidP="005719E0">
            <w:pPr>
              <w:spacing w:before="100" w:after="100"/>
              <w:ind w:left="-72"/>
              <w:jc w:val="right"/>
              <w:rPr>
                <w:color w:val="000000"/>
                <w:sz w:val="14"/>
                <w:lang w:val="sv-SE"/>
              </w:rPr>
            </w:pPr>
            <w:r w:rsidRPr="00800D1B">
              <w:rPr>
                <w:color w:val="000000"/>
                <w:sz w:val="14"/>
                <w:lang w:val="sv-SE"/>
              </w:rPr>
              <w:t>6 227 330,00</w:t>
            </w:r>
          </w:p>
        </w:tc>
        <w:tc>
          <w:tcPr>
            <w:tcW w:w="1214" w:type="dxa"/>
          </w:tcPr>
          <w:p w14:paraId="2D06681F" w14:textId="77777777" w:rsidR="00A77B3E" w:rsidRPr="00800D1B" w:rsidRDefault="00623E14" w:rsidP="005719E0">
            <w:pPr>
              <w:spacing w:before="100" w:after="100"/>
              <w:ind w:left="-72"/>
              <w:jc w:val="right"/>
              <w:rPr>
                <w:color w:val="000000"/>
                <w:sz w:val="14"/>
                <w:lang w:val="sv-SE"/>
              </w:rPr>
            </w:pPr>
            <w:r w:rsidRPr="00800D1B">
              <w:rPr>
                <w:color w:val="000000"/>
                <w:sz w:val="14"/>
                <w:lang w:val="sv-SE"/>
              </w:rPr>
              <w:t>6 227 330,00</w:t>
            </w:r>
          </w:p>
        </w:tc>
        <w:tc>
          <w:tcPr>
            <w:tcW w:w="1214" w:type="dxa"/>
          </w:tcPr>
          <w:p w14:paraId="2D066820" w14:textId="77777777" w:rsidR="00A77B3E" w:rsidRPr="00800D1B" w:rsidRDefault="00623E14" w:rsidP="005719E0">
            <w:pPr>
              <w:spacing w:before="100" w:after="100"/>
              <w:ind w:left="-72"/>
              <w:jc w:val="right"/>
              <w:rPr>
                <w:color w:val="000000"/>
                <w:sz w:val="14"/>
                <w:lang w:val="sv-SE"/>
              </w:rPr>
            </w:pPr>
            <w:r w:rsidRPr="00800D1B">
              <w:rPr>
                <w:color w:val="000000"/>
                <w:sz w:val="14"/>
                <w:lang w:val="sv-SE"/>
              </w:rPr>
              <w:t>82 211 176,00</w:t>
            </w:r>
          </w:p>
        </w:tc>
      </w:tr>
      <w:tr w:rsidR="003422DB" w:rsidRPr="00800D1B" w14:paraId="2D06682E" w14:textId="77777777" w:rsidTr="005719E0">
        <w:tc>
          <w:tcPr>
            <w:tcW w:w="1516" w:type="dxa"/>
          </w:tcPr>
          <w:p w14:paraId="2D066822" w14:textId="77777777" w:rsidR="00A77B3E" w:rsidRPr="00800D1B" w:rsidRDefault="00623E14" w:rsidP="005719E0">
            <w:pPr>
              <w:spacing w:before="100" w:after="100"/>
              <w:ind w:left="-72"/>
              <w:rPr>
                <w:color w:val="000000"/>
                <w:sz w:val="14"/>
                <w:lang w:val="sv-SE"/>
              </w:rPr>
            </w:pPr>
            <w:r w:rsidRPr="00800D1B">
              <w:rPr>
                <w:color w:val="000000"/>
                <w:sz w:val="14"/>
                <w:lang w:val="sv-SE"/>
              </w:rPr>
              <w:t>Totalt Eruf</w:t>
            </w:r>
          </w:p>
        </w:tc>
        <w:tc>
          <w:tcPr>
            <w:tcW w:w="1516" w:type="dxa"/>
          </w:tcPr>
          <w:p w14:paraId="2D066823" w14:textId="77777777" w:rsidR="00A77B3E" w:rsidRPr="00800D1B" w:rsidRDefault="00A77B3E" w:rsidP="005719E0">
            <w:pPr>
              <w:spacing w:before="100" w:after="100"/>
              <w:ind w:left="-72"/>
              <w:rPr>
                <w:color w:val="000000"/>
                <w:sz w:val="14"/>
                <w:lang w:val="sv-SE"/>
              </w:rPr>
            </w:pPr>
          </w:p>
        </w:tc>
        <w:tc>
          <w:tcPr>
            <w:tcW w:w="1214" w:type="dxa"/>
          </w:tcPr>
          <w:p w14:paraId="2D066824" w14:textId="77777777" w:rsidR="00A77B3E" w:rsidRPr="00800D1B" w:rsidRDefault="00623E14" w:rsidP="005719E0">
            <w:pPr>
              <w:spacing w:before="100" w:after="100"/>
              <w:ind w:left="-72"/>
              <w:jc w:val="right"/>
              <w:rPr>
                <w:color w:val="000000"/>
                <w:sz w:val="14"/>
                <w:lang w:val="sv-SE"/>
              </w:rPr>
            </w:pPr>
            <w:r w:rsidRPr="00800D1B">
              <w:rPr>
                <w:color w:val="000000"/>
                <w:sz w:val="14"/>
                <w:lang w:val="sv-SE"/>
              </w:rPr>
              <w:t>0,00</w:t>
            </w:r>
          </w:p>
        </w:tc>
        <w:tc>
          <w:tcPr>
            <w:tcW w:w="1214" w:type="dxa"/>
          </w:tcPr>
          <w:p w14:paraId="2D066825" w14:textId="77777777" w:rsidR="00A77B3E" w:rsidRPr="00800D1B" w:rsidRDefault="00623E14" w:rsidP="005719E0">
            <w:pPr>
              <w:spacing w:before="100" w:after="100"/>
              <w:ind w:left="-72"/>
              <w:jc w:val="right"/>
              <w:rPr>
                <w:color w:val="000000"/>
                <w:sz w:val="14"/>
                <w:lang w:val="sv-SE"/>
              </w:rPr>
            </w:pPr>
            <w:r w:rsidRPr="00800D1B">
              <w:rPr>
                <w:color w:val="000000"/>
                <w:sz w:val="14"/>
                <w:lang w:val="sv-SE"/>
              </w:rPr>
              <w:t>33 534 266,00</w:t>
            </w:r>
          </w:p>
        </w:tc>
        <w:tc>
          <w:tcPr>
            <w:tcW w:w="1214" w:type="dxa"/>
          </w:tcPr>
          <w:p w14:paraId="2D066826" w14:textId="77777777" w:rsidR="00A77B3E" w:rsidRPr="00800D1B" w:rsidRDefault="00623E14" w:rsidP="005719E0">
            <w:pPr>
              <w:spacing w:before="100" w:after="100"/>
              <w:ind w:left="-72"/>
              <w:jc w:val="right"/>
              <w:rPr>
                <w:color w:val="000000"/>
                <w:sz w:val="14"/>
                <w:lang w:val="sv-SE"/>
              </w:rPr>
            </w:pPr>
            <w:r w:rsidRPr="00800D1B">
              <w:rPr>
                <w:color w:val="000000"/>
                <w:sz w:val="14"/>
                <w:lang w:val="sv-SE"/>
              </w:rPr>
              <w:t>34 073 950,00</w:t>
            </w:r>
          </w:p>
        </w:tc>
        <w:tc>
          <w:tcPr>
            <w:tcW w:w="1214" w:type="dxa"/>
          </w:tcPr>
          <w:p w14:paraId="2D066827" w14:textId="77777777" w:rsidR="00A77B3E" w:rsidRPr="00800D1B" w:rsidRDefault="00623E14" w:rsidP="005719E0">
            <w:pPr>
              <w:spacing w:before="100" w:after="100"/>
              <w:ind w:left="-72"/>
              <w:jc w:val="right"/>
              <w:rPr>
                <w:color w:val="000000"/>
                <w:sz w:val="14"/>
                <w:lang w:val="sv-SE"/>
              </w:rPr>
            </w:pPr>
            <w:r w:rsidRPr="00800D1B">
              <w:rPr>
                <w:color w:val="000000"/>
                <w:sz w:val="14"/>
                <w:lang w:val="sv-SE"/>
              </w:rPr>
              <w:t>34 624 601,00</w:t>
            </w:r>
          </w:p>
        </w:tc>
        <w:tc>
          <w:tcPr>
            <w:tcW w:w="1214" w:type="dxa"/>
          </w:tcPr>
          <w:p w14:paraId="2D066828" w14:textId="77777777" w:rsidR="00A77B3E" w:rsidRPr="00800D1B" w:rsidRDefault="00623E14" w:rsidP="005719E0">
            <w:pPr>
              <w:spacing w:before="100" w:after="100"/>
              <w:ind w:left="-72"/>
              <w:jc w:val="right"/>
              <w:rPr>
                <w:color w:val="000000"/>
                <w:sz w:val="14"/>
                <w:lang w:val="sv-SE"/>
              </w:rPr>
            </w:pPr>
            <w:r w:rsidRPr="00800D1B">
              <w:rPr>
                <w:color w:val="000000"/>
                <w:sz w:val="14"/>
                <w:lang w:val="sv-SE"/>
              </w:rPr>
              <w:t>35 186 264,00</w:t>
            </w:r>
          </w:p>
        </w:tc>
        <w:tc>
          <w:tcPr>
            <w:tcW w:w="1214" w:type="dxa"/>
          </w:tcPr>
          <w:p w14:paraId="2D066829" w14:textId="77777777" w:rsidR="00A77B3E" w:rsidRPr="00800D1B" w:rsidRDefault="00623E14" w:rsidP="005719E0">
            <w:pPr>
              <w:spacing w:before="100" w:after="100"/>
              <w:ind w:left="-72"/>
              <w:jc w:val="right"/>
              <w:rPr>
                <w:color w:val="000000"/>
                <w:sz w:val="14"/>
                <w:lang w:val="sv-SE"/>
              </w:rPr>
            </w:pPr>
            <w:r w:rsidRPr="00800D1B">
              <w:rPr>
                <w:color w:val="000000"/>
                <w:sz w:val="14"/>
                <w:lang w:val="sv-SE"/>
              </w:rPr>
              <w:t>14 579 062,00</w:t>
            </w:r>
          </w:p>
        </w:tc>
        <w:tc>
          <w:tcPr>
            <w:tcW w:w="1214" w:type="dxa"/>
          </w:tcPr>
          <w:p w14:paraId="2D06682A" w14:textId="77777777" w:rsidR="00A77B3E" w:rsidRPr="00800D1B" w:rsidRDefault="00623E14" w:rsidP="005719E0">
            <w:pPr>
              <w:spacing w:before="100" w:after="100"/>
              <w:ind w:left="-72"/>
              <w:jc w:val="right"/>
              <w:rPr>
                <w:color w:val="000000"/>
                <w:sz w:val="14"/>
                <w:lang w:val="sv-SE"/>
              </w:rPr>
            </w:pPr>
            <w:r w:rsidRPr="00800D1B">
              <w:rPr>
                <w:color w:val="000000"/>
                <w:sz w:val="14"/>
                <w:lang w:val="sv-SE"/>
              </w:rPr>
              <w:t>14 579 062,00</w:t>
            </w:r>
          </w:p>
        </w:tc>
        <w:tc>
          <w:tcPr>
            <w:tcW w:w="1214" w:type="dxa"/>
          </w:tcPr>
          <w:p w14:paraId="2D06682B" w14:textId="77777777" w:rsidR="00A77B3E" w:rsidRPr="00800D1B" w:rsidRDefault="00623E14" w:rsidP="005719E0">
            <w:pPr>
              <w:spacing w:before="100" w:after="100"/>
              <w:ind w:left="-72"/>
              <w:jc w:val="right"/>
              <w:rPr>
                <w:color w:val="000000"/>
                <w:sz w:val="14"/>
                <w:lang w:val="sv-SE"/>
              </w:rPr>
            </w:pPr>
            <w:r w:rsidRPr="00800D1B">
              <w:rPr>
                <w:color w:val="000000"/>
                <w:sz w:val="14"/>
                <w:lang w:val="sv-SE"/>
              </w:rPr>
              <w:t>14 871 242,00</w:t>
            </w:r>
          </w:p>
        </w:tc>
        <w:tc>
          <w:tcPr>
            <w:tcW w:w="1214" w:type="dxa"/>
          </w:tcPr>
          <w:p w14:paraId="2D06682C" w14:textId="77777777" w:rsidR="00A77B3E" w:rsidRPr="00800D1B" w:rsidRDefault="00623E14" w:rsidP="005719E0">
            <w:pPr>
              <w:spacing w:before="100" w:after="100"/>
              <w:ind w:left="-72"/>
              <w:jc w:val="right"/>
              <w:rPr>
                <w:color w:val="000000"/>
                <w:sz w:val="14"/>
                <w:lang w:val="sv-SE"/>
              </w:rPr>
            </w:pPr>
            <w:r w:rsidRPr="00800D1B">
              <w:rPr>
                <w:color w:val="000000"/>
                <w:sz w:val="14"/>
                <w:lang w:val="sv-SE"/>
              </w:rPr>
              <w:t>14 871 241,00</w:t>
            </w:r>
          </w:p>
        </w:tc>
        <w:tc>
          <w:tcPr>
            <w:tcW w:w="1214" w:type="dxa"/>
          </w:tcPr>
          <w:p w14:paraId="2D06682D" w14:textId="77777777" w:rsidR="00A77B3E" w:rsidRPr="00800D1B" w:rsidRDefault="00623E14" w:rsidP="005719E0">
            <w:pPr>
              <w:spacing w:before="100" w:after="100"/>
              <w:ind w:left="-72"/>
              <w:jc w:val="right"/>
              <w:rPr>
                <w:color w:val="000000"/>
                <w:sz w:val="14"/>
                <w:lang w:val="sv-SE"/>
              </w:rPr>
            </w:pPr>
            <w:r w:rsidRPr="00800D1B">
              <w:rPr>
                <w:color w:val="000000"/>
                <w:sz w:val="14"/>
                <w:lang w:val="sv-SE"/>
              </w:rPr>
              <w:t>196 319 688,00</w:t>
            </w:r>
          </w:p>
        </w:tc>
      </w:tr>
      <w:tr w:rsidR="003422DB" w:rsidRPr="00800D1B" w14:paraId="2D06683B" w14:textId="77777777" w:rsidTr="005719E0">
        <w:tc>
          <w:tcPr>
            <w:tcW w:w="1516" w:type="dxa"/>
          </w:tcPr>
          <w:p w14:paraId="2D06682F" w14:textId="77777777" w:rsidR="00A77B3E" w:rsidRPr="00800D1B" w:rsidRDefault="00623E14" w:rsidP="005719E0">
            <w:pPr>
              <w:spacing w:before="100" w:after="100"/>
              <w:ind w:left="-72"/>
              <w:rPr>
                <w:color w:val="000000"/>
                <w:sz w:val="14"/>
                <w:lang w:val="sv-SE"/>
              </w:rPr>
            </w:pPr>
            <w:r w:rsidRPr="00800D1B">
              <w:rPr>
                <w:color w:val="000000"/>
                <w:sz w:val="14"/>
                <w:lang w:val="sv-SE"/>
              </w:rPr>
              <w:t>Totalt</w:t>
            </w:r>
          </w:p>
        </w:tc>
        <w:tc>
          <w:tcPr>
            <w:tcW w:w="1516" w:type="dxa"/>
          </w:tcPr>
          <w:p w14:paraId="2D066830" w14:textId="77777777" w:rsidR="00A77B3E" w:rsidRPr="00800D1B" w:rsidRDefault="00A77B3E" w:rsidP="005719E0">
            <w:pPr>
              <w:spacing w:before="100" w:after="100"/>
              <w:ind w:left="-72"/>
              <w:rPr>
                <w:color w:val="000000"/>
                <w:sz w:val="14"/>
                <w:lang w:val="sv-SE"/>
              </w:rPr>
            </w:pPr>
          </w:p>
        </w:tc>
        <w:tc>
          <w:tcPr>
            <w:tcW w:w="1214" w:type="dxa"/>
          </w:tcPr>
          <w:p w14:paraId="2D066831" w14:textId="77777777" w:rsidR="00A77B3E" w:rsidRPr="00800D1B" w:rsidRDefault="00623E14" w:rsidP="005719E0">
            <w:pPr>
              <w:spacing w:before="100" w:after="100"/>
              <w:ind w:left="-72"/>
              <w:jc w:val="right"/>
              <w:rPr>
                <w:color w:val="000000"/>
                <w:sz w:val="14"/>
                <w:lang w:val="sv-SE"/>
              </w:rPr>
            </w:pPr>
            <w:r w:rsidRPr="00800D1B">
              <w:rPr>
                <w:color w:val="000000"/>
                <w:sz w:val="14"/>
                <w:lang w:val="sv-SE"/>
              </w:rPr>
              <w:t>0,00</w:t>
            </w:r>
          </w:p>
        </w:tc>
        <w:tc>
          <w:tcPr>
            <w:tcW w:w="1214" w:type="dxa"/>
          </w:tcPr>
          <w:p w14:paraId="2D066832" w14:textId="77777777" w:rsidR="00A77B3E" w:rsidRPr="00800D1B" w:rsidRDefault="00623E14" w:rsidP="005719E0">
            <w:pPr>
              <w:spacing w:before="100" w:after="100"/>
              <w:ind w:left="-72"/>
              <w:jc w:val="right"/>
              <w:rPr>
                <w:color w:val="000000"/>
                <w:sz w:val="14"/>
                <w:lang w:val="sv-SE"/>
              </w:rPr>
            </w:pPr>
            <w:r w:rsidRPr="00800D1B">
              <w:rPr>
                <w:color w:val="000000"/>
                <w:sz w:val="14"/>
                <w:lang w:val="sv-SE"/>
              </w:rPr>
              <w:t>33 534 266,00</w:t>
            </w:r>
          </w:p>
        </w:tc>
        <w:tc>
          <w:tcPr>
            <w:tcW w:w="1214" w:type="dxa"/>
          </w:tcPr>
          <w:p w14:paraId="2D066833" w14:textId="77777777" w:rsidR="00A77B3E" w:rsidRPr="00800D1B" w:rsidRDefault="00623E14" w:rsidP="005719E0">
            <w:pPr>
              <w:spacing w:before="100" w:after="100"/>
              <w:ind w:left="-72"/>
              <w:jc w:val="right"/>
              <w:rPr>
                <w:color w:val="000000"/>
                <w:sz w:val="14"/>
                <w:lang w:val="sv-SE"/>
              </w:rPr>
            </w:pPr>
            <w:r w:rsidRPr="00800D1B">
              <w:rPr>
                <w:color w:val="000000"/>
                <w:sz w:val="14"/>
                <w:lang w:val="sv-SE"/>
              </w:rPr>
              <w:t>34 073 950,00</w:t>
            </w:r>
          </w:p>
        </w:tc>
        <w:tc>
          <w:tcPr>
            <w:tcW w:w="1214" w:type="dxa"/>
          </w:tcPr>
          <w:p w14:paraId="2D066834" w14:textId="77777777" w:rsidR="00A77B3E" w:rsidRPr="00800D1B" w:rsidRDefault="00623E14" w:rsidP="005719E0">
            <w:pPr>
              <w:spacing w:before="100" w:after="100"/>
              <w:ind w:left="-72"/>
              <w:jc w:val="right"/>
              <w:rPr>
                <w:color w:val="000000"/>
                <w:sz w:val="14"/>
                <w:lang w:val="sv-SE"/>
              </w:rPr>
            </w:pPr>
            <w:r w:rsidRPr="00800D1B">
              <w:rPr>
                <w:color w:val="000000"/>
                <w:sz w:val="14"/>
                <w:lang w:val="sv-SE"/>
              </w:rPr>
              <w:t>34 624 601,00</w:t>
            </w:r>
          </w:p>
        </w:tc>
        <w:tc>
          <w:tcPr>
            <w:tcW w:w="1214" w:type="dxa"/>
          </w:tcPr>
          <w:p w14:paraId="2D066835" w14:textId="77777777" w:rsidR="00A77B3E" w:rsidRPr="00800D1B" w:rsidRDefault="00623E14" w:rsidP="005719E0">
            <w:pPr>
              <w:spacing w:before="100" w:after="100"/>
              <w:ind w:left="-72"/>
              <w:jc w:val="right"/>
              <w:rPr>
                <w:color w:val="000000"/>
                <w:sz w:val="14"/>
                <w:lang w:val="sv-SE"/>
              </w:rPr>
            </w:pPr>
            <w:r w:rsidRPr="00800D1B">
              <w:rPr>
                <w:color w:val="000000"/>
                <w:sz w:val="14"/>
                <w:lang w:val="sv-SE"/>
              </w:rPr>
              <w:t>35 186 264,00</w:t>
            </w:r>
          </w:p>
        </w:tc>
        <w:tc>
          <w:tcPr>
            <w:tcW w:w="1214" w:type="dxa"/>
          </w:tcPr>
          <w:p w14:paraId="2D066836" w14:textId="77777777" w:rsidR="00A77B3E" w:rsidRPr="00800D1B" w:rsidRDefault="00623E14" w:rsidP="005719E0">
            <w:pPr>
              <w:spacing w:before="100" w:after="100"/>
              <w:ind w:left="-72"/>
              <w:jc w:val="right"/>
              <w:rPr>
                <w:color w:val="000000"/>
                <w:sz w:val="14"/>
                <w:lang w:val="sv-SE"/>
              </w:rPr>
            </w:pPr>
            <w:r w:rsidRPr="00800D1B">
              <w:rPr>
                <w:color w:val="000000"/>
                <w:sz w:val="14"/>
                <w:lang w:val="sv-SE"/>
              </w:rPr>
              <w:t>14 579 062,00</w:t>
            </w:r>
          </w:p>
        </w:tc>
        <w:tc>
          <w:tcPr>
            <w:tcW w:w="1214" w:type="dxa"/>
          </w:tcPr>
          <w:p w14:paraId="2D066837" w14:textId="77777777" w:rsidR="00A77B3E" w:rsidRPr="00800D1B" w:rsidRDefault="00623E14" w:rsidP="005719E0">
            <w:pPr>
              <w:spacing w:before="100" w:after="100"/>
              <w:ind w:left="-72"/>
              <w:jc w:val="right"/>
              <w:rPr>
                <w:color w:val="000000"/>
                <w:sz w:val="14"/>
                <w:lang w:val="sv-SE"/>
              </w:rPr>
            </w:pPr>
            <w:r w:rsidRPr="00800D1B">
              <w:rPr>
                <w:color w:val="000000"/>
                <w:sz w:val="14"/>
                <w:lang w:val="sv-SE"/>
              </w:rPr>
              <w:t>14 579 062,00</w:t>
            </w:r>
          </w:p>
        </w:tc>
        <w:tc>
          <w:tcPr>
            <w:tcW w:w="1214" w:type="dxa"/>
          </w:tcPr>
          <w:p w14:paraId="2D066838" w14:textId="77777777" w:rsidR="00A77B3E" w:rsidRPr="00800D1B" w:rsidRDefault="00623E14" w:rsidP="005719E0">
            <w:pPr>
              <w:spacing w:before="100" w:after="100"/>
              <w:ind w:left="-72"/>
              <w:jc w:val="right"/>
              <w:rPr>
                <w:color w:val="000000"/>
                <w:sz w:val="14"/>
                <w:lang w:val="sv-SE"/>
              </w:rPr>
            </w:pPr>
            <w:r w:rsidRPr="00800D1B">
              <w:rPr>
                <w:color w:val="000000"/>
                <w:sz w:val="14"/>
                <w:lang w:val="sv-SE"/>
              </w:rPr>
              <w:t>14 871 242,00</w:t>
            </w:r>
          </w:p>
        </w:tc>
        <w:tc>
          <w:tcPr>
            <w:tcW w:w="1214" w:type="dxa"/>
          </w:tcPr>
          <w:p w14:paraId="2D066839" w14:textId="77777777" w:rsidR="00A77B3E" w:rsidRPr="00800D1B" w:rsidRDefault="00623E14" w:rsidP="005719E0">
            <w:pPr>
              <w:spacing w:before="100" w:after="100"/>
              <w:ind w:left="-72"/>
              <w:jc w:val="right"/>
              <w:rPr>
                <w:color w:val="000000"/>
                <w:sz w:val="14"/>
                <w:lang w:val="sv-SE"/>
              </w:rPr>
            </w:pPr>
            <w:r w:rsidRPr="00800D1B">
              <w:rPr>
                <w:color w:val="000000"/>
                <w:sz w:val="14"/>
                <w:lang w:val="sv-SE"/>
              </w:rPr>
              <w:t>14 871 241,00</w:t>
            </w:r>
          </w:p>
        </w:tc>
        <w:tc>
          <w:tcPr>
            <w:tcW w:w="1214" w:type="dxa"/>
          </w:tcPr>
          <w:p w14:paraId="2D06683A" w14:textId="77777777" w:rsidR="00A77B3E" w:rsidRPr="00800D1B" w:rsidRDefault="00623E14" w:rsidP="005719E0">
            <w:pPr>
              <w:spacing w:before="100" w:after="100"/>
              <w:ind w:left="-72"/>
              <w:jc w:val="right"/>
              <w:rPr>
                <w:color w:val="000000"/>
                <w:sz w:val="14"/>
                <w:lang w:val="sv-SE"/>
              </w:rPr>
            </w:pPr>
            <w:r w:rsidRPr="00800D1B">
              <w:rPr>
                <w:color w:val="000000"/>
                <w:sz w:val="14"/>
                <w:lang w:val="sv-SE"/>
              </w:rPr>
              <w:t>196 319 688,00</w:t>
            </w:r>
          </w:p>
        </w:tc>
      </w:tr>
    </w:tbl>
    <w:p w14:paraId="2B6A7E9B" w14:textId="70727C84" w:rsidR="00A77B3E" w:rsidRPr="00800D1B" w:rsidRDefault="00A77B3E">
      <w:pPr>
        <w:spacing w:before="100"/>
        <w:rPr>
          <w:color w:val="000000"/>
          <w:sz w:val="14"/>
          <w:lang w:val="sv-SE"/>
        </w:rPr>
      </w:pPr>
    </w:p>
    <w:p w14:paraId="2D06683C" w14:textId="6E4D6D64" w:rsidR="00E516B6" w:rsidRPr="00800D1B" w:rsidRDefault="00E516B6">
      <w:pPr>
        <w:spacing w:before="100"/>
        <w:rPr>
          <w:color w:val="000000"/>
          <w:sz w:val="14"/>
          <w:lang w:val="sv-SE"/>
        </w:rPr>
        <w:sectPr w:rsidR="00E516B6" w:rsidRPr="00800D1B" w:rsidSect="0065165D">
          <w:footnotePr>
            <w:numFmt w:val="chicago"/>
            <w:numRestart w:val="eachPage"/>
          </w:footnotePr>
          <w:pgSz w:w="16838" w:h="11906" w:orient="landscape"/>
          <w:pgMar w:top="720" w:right="720" w:bottom="864" w:left="936" w:header="288" w:footer="72" w:gutter="0"/>
          <w:cols w:space="720"/>
          <w:noEndnote/>
          <w:docGrid w:linePitch="360"/>
        </w:sectPr>
      </w:pPr>
    </w:p>
    <w:p w14:paraId="2D06683D" w14:textId="22EF4DF3" w:rsidR="00A77B3E" w:rsidRPr="00800D1B" w:rsidRDefault="00623E14">
      <w:pPr>
        <w:pStyle w:val="Rubrik3"/>
        <w:ind w:left="360"/>
        <w:rPr>
          <w:lang w:val="sv-SE"/>
        </w:rPr>
      </w:pPr>
      <w:bookmarkStart w:id="217" w:name="_Toc256000458"/>
      <w:r w:rsidRPr="00800D1B">
        <w:rPr>
          <w:lang w:val="sv-SE"/>
        </w:rPr>
        <w:t>Totala anslag per fond och nationell medfinansiering</w:t>
      </w:r>
      <w:bookmarkEnd w:id="217"/>
    </w:p>
    <w:p w14:paraId="2D06683E" w14:textId="77777777" w:rsidR="00A77B3E" w:rsidRPr="00800D1B" w:rsidRDefault="00A77B3E">
      <w:pPr>
        <w:spacing w:before="100"/>
        <w:rPr>
          <w:color w:val="000000"/>
          <w:sz w:val="0"/>
          <w:lang w:val="sv-SE"/>
        </w:rPr>
      </w:pPr>
    </w:p>
    <w:p w14:paraId="2D06683F" w14:textId="77777777" w:rsidR="00A77B3E" w:rsidRPr="00800D1B" w:rsidRDefault="00623E14">
      <w:pPr>
        <w:spacing w:before="100"/>
        <w:rPr>
          <w:color w:val="000000"/>
          <w:lang w:val="sv-SE"/>
        </w:rPr>
      </w:pPr>
      <w:r w:rsidRPr="00800D1B">
        <w:rPr>
          <w:color w:val="000000"/>
          <w:lang w:val="sv-SE"/>
        </w:rPr>
        <w:t>Referens: artiklarna 22.3 g ii, 22.6 och 36 i förordningen om gemensamma bestämmelser</w:t>
      </w:r>
    </w:p>
    <w:p w14:paraId="2D066840" w14:textId="77777777" w:rsidR="00A77B3E" w:rsidRPr="00800D1B" w:rsidRDefault="00A77B3E">
      <w:pPr>
        <w:spacing w:before="100"/>
        <w:rPr>
          <w:color w:val="000000"/>
          <w:sz w:val="0"/>
          <w:lang w:val="sv-SE"/>
        </w:rPr>
      </w:pPr>
    </w:p>
    <w:p w14:paraId="2D066841" w14:textId="77777777" w:rsidR="00A77B3E" w:rsidRPr="00800D1B" w:rsidRDefault="00623E14">
      <w:pPr>
        <w:spacing w:before="100"/>
        <w:rPr>
          <w:color w:val="000000"/>
          <w:lang w:val="sv-SE"/>
        </w:rPr>
      </w:pPr>
      <w:r w:rsidRPr="00800D1B">
        <w:rPr>
          <w:color w:val="000000"/>
          <w:lang w:val="sv-SE"/>
        </w:rPr>
        <w:t>För målet Investering för sysselsättning och tillväxt: program som använder tekniskt bistånd i enlighet med artikel 36.5 i förordningen om gemensamma bestämmelser enligt valet i partnerskapsöverenskommelsen.</w:t>
      </w:r>
    </w:p>
    <w:p w14:paraId="2D066842" w14:textId="435A5ADE" w:rsidR="00A77B3E" w:rsidRPr="00800D1B" w:rsidRDefault="00623E14" w:rsidP="002E61A3">
      <w:pPr>
        <w:pStyle w:val="Rubrik4"/>
        <w:spacing w:before="100"/>
        <w:ind w:left="0" w:firstLine="0"/>
        <w:rPr>
          <w:b/>
        </w:rPr>
      </w:pPr>
      <w:bookmarkStart w:id="218" w:name="_Toc256000459"/>
      <w:r w:rsidRPr="00800D1B">
        <w:t>Tabell 11: Totala anslag per fond och nationellt bidrag</w:t>
      </w:r>
      <w:bookmarkEnd w:id="218"/>
    </w:p>
    <w:p w14:paraId="2D066843" w14:textId="77777777" w:rsidR="00A77B3E" w:rsidRPr="00800D1B" w:rsidRDefault="00A77B3E">
      <w:pPr>
        <w:spacing w:before="100"/>
        <w:rPr>
          <w:color w:val="000000"/>
          <w:sz w:val="0"/>
          <w:lang w:val="sv-SE"/>
        </w:rPr>
      </w:pPr>
    </w:p>
    <w:tbl>
      <w:tblPr>
        <w:tblStyle w:val="Tabellrutnt"/>
        <w:tblW w:w="5000" w:type="pct"/>
        <w:tblLook w:val="04A0" w:firstRow="1" w:lastRow="0" w:firstColumn="1" w:lastColumn="0" w:noHBand="0" w:noVBand="1"/>
        <w:tblDescription w:val="En tabell med elva kolumner: Politiskt målnummer/FRO:s specifika mål nummer eller tekniskt bistånd; Prioritering; Beräkningsunderlag för unionens stöd; Fond; Regionkategori Note *; Unionsbidrag (a)=(b)+(c)+(i)+(j); Fördelning av unionsbidrag; Nationellt bidrag (d)=(e)+(f); Preliminär fördelning av det nationella bidraget; Totalt (g)=(a)+(d); Medfinansieringsgrad (h) = (a) dividerat med (g). Tabellen visar information om Totala anslag per fond och nationellt bidrag."/>
      </w:tblPr>
      <w:tblGrid>
        <w:gridCol w:w="991"/>
        <w:gridCol w:w="976"/>
        <w:gridCol w:w="1111"/>
        <w:gridCol w:w="953"/>
        <w:gridCol w:w="996"/>
        <w:gridCol w:w="1048"/>
        <w:gridCol w:w="992"/>
        <w:gridCol w:w="982"/>
        <w:gridCol w:w="987"/>
        <w:gridCol w:w="975"/>
        <w:gridCol w:w="992"/>
        <w:gridCol w:w="992"/>
        <w:gridCol w:w="987"/>
        <w:gridCol w:w="992"/>
        <w:gridCol w:w="1198"/>
      </w:tblGrid>
      <w:tr w:rsidR="003422DB" w:rsidRPr="00800D1B" w14:paraId="2D06684F" w14:textId="77777777" w:rsidTr="00A26CDD">
        <w:tc>
          <w:tcPr>
            <w:tcW w:w="991" w:type="dxa"/>
            <w:vMerge w:val="restart"/>
          </w:tcPr>
          <w:p w14:paraId="2D066844" w14:textId="77777777" w:rsidR="00A77B3E" w:rsidRPr="00800D1B" w:rsidRDefault="00623E14" w:rsidP="005719E0">
            <w:pPr>
              <w:spacing w:before="100" w:after="100"/>
              <w:ind w:left="-72"/>
              <w:jc w:val="center"/>
              <w:rPr>
                <w:color w:val="000000"/>
                <w:sz w:val="12"/>
                <w:lang w:val="sv-SE"/>
              </w:rPr>
            </w:pPr>
            <w:r w:rsidRPr="00800D1B">
              <w:rPr>
                <w:color w:val="000000"/>
                <w:sz w:val="12"/>
                <w:lang w:val="sv-SE"/>
              </w:rPr>
              <w:t>Politiskt mål nummer/FRO:s specifika mål nummer eller tekniskt bistånd</w:t>
            </w:r>
          </w:p>
        </w:tc>
        <w:tc>
          <w:tcPr>
            <w:tcW w:w="976" w:type="dxa"/>
            <w:vMerge w:val="restart"/>
          </w:tcPr>
          <w:p w14:paraId="2D066845" w14:textId="77777777" w:rsidR="00A77B3E" w:rsidRPr="00800D1B" w:rsidRDefault="00623E14" w:rsidP="005719E0">
            <w:pPr>
              <w:spacing w:before="100" w:after="100"/>
              <w:ind w:left="-72"/>
              <w:jc w:val="center"/>
              <w:rPr>
                <w:color w:val="000000"/>
                <w:sz w:val="12"/>
                <w:lang w:val="sv-SE"/>
              </w:rPr>
            </w:pPr>
            <w:r w:rsidRPr="00800D1B">
              <w:rPr>
                <w:color w:val="000000"/>
                <w:sz w:val="12"/>
                <w:lang w:val="sv-SE"/>
              </w:rPr>
              <w:t>Prioritering</w:t>
            </w:r>
          </w:p>
        </w:tc>
        <w:tc>
          <w:tcPr>
            <w:tcW w:w="1111" w:type="dxa"/>
            <w:vMerge w:val="restart"/>
          </w:tcPr>
          <w:p w14:paraId="2D066846" w14:textId="77777777" w:rsidR="00A77B3E" w:rsidRPr="00800D1B" w:rsidRDefault="00623E14" w:rsidP="005719E0">
            <w:pPr>
              <w:spacing w:before="100" w:after="100"/>
              <w:ind w:left="-72"/>
              <w:jc w:val="center"/>
              <w:rPr>
                <w:color w:val="000000"/>
                <w:sz w:val="12"/>
                <w:lang w:val="sv-SE"/>
              </w:rPr>
            </w:pPr>
            <w:r w:rsidRPr="00800D1B">
              <w:rPr>
                <w:color w:val="000000"/>
                <w:sz w:val="12"/>
                <w:lang w:val="sv-SE"/>
              </w:rPr>
              <w:t>Beräkningsunderlag för unionens stöd</w:t>
            </w:r>
          </w:p>
        </w:tc>
        <w:tc>
          <w:tcPr>
            <w:tcW w:w="953" w:type="dxa"/>
            <w:vMerge w:val="restart"/>
          </w:tcPr>
          <w:p w14:paraId="2D066847" w14:textId="77777777" w:rsidR="00A77B3E" w:rsidRPr="00800D1B" w:rsidRDefault="00623E14" w:rsidP="005719E0">
            <w:pPr>
              <w:spacing w:before="100" w:after="100"/>
              <w:ind w:left="-72"/>
              <w:jc w:val="center"/>
              <w:rPr>
                <w:color w:val="000000"/>
                <w:sz w:val="12"/>
                <w:lang w:val="sv-SE"/>
              </w:rPr>
            </w:pPr>
            <w:r w:rsidRPr="00800D1B">
              <w:rPr>
                <w:color w:val="000000"/>
                <w:sz w:val="12"/>
                <w:lang w:val="sv-SE"/>
              </w:rPr>
              <w:t>Fond</w:t>
            </w:r>
          </w:p>
        </w:tc>
        <w:tc>
          <w:tcPr>
            <w:tcW w:w="996" w:type="dxa"/>
            <w:vMerge w:val="restart"/>
          </w:tcPr>
          <w:p w14:paraId="2D066848" w14:textId="440840FD" w:rsidR="00A77B3E" w:rsidRPr="00800D1B" w:rsidRDefault="00623E14" w:rsidP="005719E0">
            <w:pPr>
              <w:spacing w:before="100" w:after="100"/>
              <w:ind w:left="-72"/>
              <w:jc w:val="center"/>
              <w:rPr>
                <w:color w:val="000000"/>
                <w:sz w:val="12"/>
                <w:lang w:val="sv-SE"/>
              </w:rPr>
            </w:pPr>
            <w:r w:rsidRPr="00800D1B">
              <w:rPr>
                <w:color w:val="000000"/>
                <w:sz w:val="12"/>
                <w:lang w:val="sv-SE"/>
              </w:rPr>
              <w:t>Regionkategori</w:t>
            </w:r>
            <w:r w:rsidR="0056794F" w:rsidRPr="00800D1B">
              <w:rPr>
                <w:rStyle w:val="Fotnotsreferens"/>
                <w:color w:val="000000"/>
                <w:sz w:val="12"/>
                <w:vertAlign w:val="baseline"/>
                <w:lang w:val="sv-SE"/>
              </w:rPr>
              <w:footnoteReference w:customMarkFollows="1" w:id="12"/>
              <w:t>*</w:t>
            </w:r>
          </w:p>
        </w:tc>
        <w:tc>
          <w:tcPr>
            <w:tcW w:w="1048" w:type="dxa"/>
            <w:vMerge w:val="restart"/>
          </w:tcPr>
          <w:p w14:paraId="2D066849" w14:textId="77777777" w:rsidR="00A77B3E" w:rsidRPr="00800D1B" w:rsidRDefault="00623E14" w:rsidP="005719E0">
            <w:pPr>
              <w:spacing w:before="100" w:after="100"/>
              <w:ind w:left="-72"/>
              <w:jc w:val="center"/>
              <w:rPr>
                <w:color w:val="000000"/>
                <w:sz w:val="12"/>
                <w:lang w:val="sv-SE"/>
              </w:rPr>
            </w:pPr>
            <w:r w:rsidRPr="00800D1B">
              <w:rPr>
                <w:color w:val="000000"/>
                <w:sz w:val="12"/>
                <w:lang w:val="sv-SE"/>
              </w:rPr>
              <w:t>Unionsbidrag (a)=(b)+(c)+(i)+(j)</w:t>
            </w:r>
          </w:p>
        </w:tc>
        <w:tc>
          <w:tcPr>
            <w:tcW w:w="3936" w:type="dxa"/>
            <w:gridSpan w:val="4"/>
          </w:tcPr>
          <w:p w14:paraId="2D06684A" w14:textId="77777777" w:rsidR="00A77B3E" w:rsidRPr="00800D1B" w:rsidRDefault="00623E14" w:rsidP="005719E0">
            <w:pPr>
              <w:spacing w:before="100" w:after="100"/>
              <w:ind w:left="-72"/>
              <w:jc w:val="center"/>
              <w:rPr>
                <w:color w:val="000000"/>
                <w:sz w:val="12"/>
                <w:lang w:val="sv-SE"/>
              </w:rPr>
            </w:pPr>
            <w:r w:rsidRPr="00800D1B">
              <w:rPr>
                <w:color w:val="000000"/>
                <w:sz w:val="12"/>
                <w:lang w:val="sv-SE"/>
              </w:rPr>
              <w:t>Fördelning av unionsbidrag</w:t>
            </w:r>
          </w:p>
        </w:tc>
        <w:tc>
          <w:tcPr>
            <w:tcW w:w="992" w:type="dxa"/>
            <w:vMerge w:val="restart"/>
          </w:tcPr>
          <w:p w14:paraId="2D06684B" w14:textId="77777777" w:rsidR="00A77B3E" w:rsidRPr="00800D1B" w:rsidRDefault="00623E14" w:rsidP="005719E0">
            <w:pPr>
              <w:spacing w:before="100" w:after="100"/>
              <w:ind w:left="-72"/>
              <w:jc w:val="center"/>
              <w:rPr>
                <w:color w:val="000000"/>
                <w:sz w:val="12"/>
                <w:lang w:val="sv-SE"/>
              </w:rPr>
            </w:pPr>
            <w:r w:rsidRPr="00800D1B">
              <w:rPr>
                <w:color w:val="000000"/>
                <w:sz w:val="12"/>
                <w:lang w:val="sv-SE"/>
              </w:rPr>
              <w:t>Nationellt bidrag (d)=(e)+(f)</w:t>
            </w:r>
          </w:p>
        </w:tc>
        <w:tc>
          <w:tcPr>
            <w:tcW w:w="1979" w:type="dxa"/>
            <w:gridSpan w:val="2"/>
          </w:tcPr>
          <w:p w14:paraId="2D06684C" w14:textId="77777777" w:rsidR="00A77B3E" w:rsidRPr="00800D1B" w:rsidRDefault="00623E14" w:rsidP="005719E0">
            <w:pPr>
              <w:spacing w:before="100" w:after="100"/>
              <w:ind w:left="-72"/>
              <w:jc w:val="center"/>
              <w:rPr>
                <w:color w:val="000000"/>
                <w:sz w:val="12"/>
                <w:lang w:val="sv-SE"/>
              </w:rPr>
            </w:pPr>
            <w:r w:rsidRPr="00800D1B">
              <w:rPr>
                <w:color w:val="000000"/>
                <w:sz w:val="12"/>
                <w:lang w:val="sv-SE"/>
              </w:rPr>
              <w:t>Preliminär fördelning av det nationella bidraget</w:t>
            </w:r>
          </w:p>
        </w:tc>
        <w:tc>
          <w:tcPr>
            <w:tcW w:w="992" w:type="dxa"/>
            <w:vMerge w:val="restart"/>
          </w:tcPr>
          <w:p w14:paraId="2D06684D" w14:textId="77777777" w:rsidR="00A77B3E" w:rsidRPr="00800D1B" w:rsidRDefault="00623E14" w:rsidP="005719E0">
            <w:pPr>
              <w:spacing w:before="100" w:after="100"/>
              <w:ind w:left="-72"/>
              <w:jc w:val="center"/>
              <w:rPr>
                <w:color w:val="000000"/>
                <w:sz w:val="12"/>
                <w:lang w:val="sv-SE"/>
              </w:rPr>
            </w:pPr>
            <w:r w:rsidRPr="00800D1B">
              <w:rPr>
                <w:color w:val="000000"/>
                <w:sz w:val="12"/>
                <w:lang w:val="sv-SE"/>
              </w:rPr>
              <w:t>Totalt (g)=(a)+(d)</w:t>
            </w:r>
          </w:p>
        </w:tc>
        <w:tc>
          <w:tcPr>
            <w:tcW w:w="1198" w:type="dxa"/>
            <w:vMerge w:val="restart"/>
          </w:tcPr>
          <w:p w14:paraId="2D06684E" w14:textId="77777777" w:rsidR="00A77B3E" w:rsidRPr="00800D1B" w:rsidRDefault="00623E14" w:rsidP="005719E0">
            <w:pPr>
              <w:spacing w:before="100" w:after="100"/>
              <w:ind w:left="-72"/>
              <w:jc w:val="center"/>
              <w:rPr>
                <w:color w:val="000000"/>
                <w:sz w:val="12"/>
                <w:lang w:val="sv-SE"/>
              </w:rPr>
            </w:pPr>
            <w:r w:rsidRPr="00800D1B">
              <w:rPr>
                <w:color w:val="000000"/>
                <w:sz w:val="12"/>
                <w:lang w:val="sv-SE"/>
              </w:rPr>
              <w:t>Medfinansieringsgrad (h)=(a)/(g)</w:t>
            </w:r>
          </w:p>
        </w:tc>
      </w:tr>
      <w:tr w:rsidR="003422DB" w:rsidRPr="00800D1B" w14:paraId="2D06685D" w14:textId="77777777" w:rsidTr="00A26CDD">
        <w:tc>
          <w:tcPr>
            <w:tcW w:w="991" w:type="dxa"/>
            <w:vMerge/>
          </w:tcPr>
          <w:p w14:paraId="2D066850" w14:textId="77777777" w:rsidR="00A77B3E" w:rsidRPr="00800D1B" w:rsidRDefault="00A77B3E" w:rsidP="005719E0">
            <w:pPr>
              <w:spacing w:before="100" w:after="100"/>
              <w:ind w:left="-72"/>
              <w:jc w:val="center"/>
              <w:rPr>
                <w:color w:val="000000"/>
                <w:sz w:val="12"/>
                <w:lang w:val="sv-SE"/>
              </w:rPr>
            </w:pPr>
          </w:p>
        </w:tc>
        <w:tc>
          <w:tcPr>
            <w:tcW w:w="976" w:type="dxa"/>
            <w:vMerge/>
          </w:tcPr>
          <w:p w14:paraId="2D066851" w14:textId="77777777" w:rsidR="00A77B3E" w:rsidRPr="00800D1B" w:rsidRDefault="00A77B3E" w:rsidP="005719E0">
            <w:pPr>
              <w:spacing w:before="100" w:after="100"/>
              <w:ind w:left="-72"/>
              <w:jc w:val="center"/>
              <w:rPr>
                <w:color w:val="000000"/>
                <w:sz w:val="12"/>
                <w:lang w:val="sv-SE"/>
              </w:rPr>
            </w:pPr>
          </w:p>
        </w:tc>
        <w:tc>
          <w:tcPr>
            <w:tcW w:w="1111" w:type="dxa"/>
            <w:vMerge/>
          </w:tcPr>
          <w:p w14:paraId="2D066852" w14:textId="77777777" w:rsidR="00A77B3E" w:rsidRPr="00800D1B" w:rsidRDefault="00A77B3E" w:rsidP="005719E0">
            <w:pPr>
              <w:spacing w:before="100" w:after="100"/>
              <w:ind w:left="-72"/>
              <w:jc w:val="center"/>
              <w:rPr>
                <w:color w:val="000000"/>
                <w:sz w:val="12"/>
                <w:lang w:val="sv-SE"/>
              </w:rPr>
            </w:pPr>
          </w:p>
        </w:tc>
        <w:tc>
          <w:tcPr>
            <w:tcW w:w="953" w:type="dxa"/>
            <w:vMerge/>
          </w:tcPr>
          <w:p w14:paraId="2D066853" w14:textId="77777777" w:rsidR="00A77B3E" w:rsidRPr="00800D1B" w:rsidRDefault="00A77B3E" w:rsidP="005719E0">
            <w:pPr>
              <w:spacing w:before="100" w:after="100"/>
              <w:ind w:left="-72"/>
              <w:jc w:val="center"/>
              <w:rPr>
                <w:color w:val="000000"/>
                <w:sz w:val="12"/>
                <w:lang w:val="sv-SE"/>
              </w:rPr>
            </w:pPr>
          </w:p>
        </w:tc>
        <w:tc>
          <w:tcPr>
            <w:tcW w:w="996" w:type="dxa"/>
            <w:vMerge/>
          </w:tcPr>
          <w:p w14:paraId="2D066854" w14:textId="77777777" w:rsidR="00A77B3E" w:rsidRPr="00800D1B" w:rsidRDefault="00A77B3E" w:rsidP="005719E0">
            <w:pPr>
              <w:spacing w:before="100" w:after="100"/>
              <w:ind w:left="-72"/>
              <w:jc w:val="center"/>
              <w:rPr>
                <w:color w:val="000000"/>
                <w:sz w:val="12"/>
                <w:lang w:val="sv-SE"/>
              </w:rPr>
            </w:pPr>
          </w:p>
        </w:tc>
        <w:tc>
          <w:tcPr>
            <w:tcW w:w="1048" w:type="dxa"/>
            <w:vMerge/>
          </w:tcPr>
          <w:p w14:paraId="2D066855" w14:textId="77777777" w:rsidR="00A77B3E" w:rsidRPr="00800D1B" w:rsidRDefault="00A77B3E" w:rsidP="005719E0">
            <w:pPr>
              <w:spacing w:before="100" w:after="100"/>
              <w:ind w:left="-72"/>
              <w:jc w:val="center"/>
              <w:rPr>
                <w:color w:val="000000"/>
                <w:sz w:val="12"/>
                <w:lang w:val="sv-SE"/>
              </w:rPr>
            </w:pPr>
          </w:p>
        </w:tc>
        <w:tc>
          <w:tcPr>
            <w:tcW w:w="1974" w:type="dxa"/>
            <w:gridSpan w:val="2"/>
          </w:tcPr>
          <w:p w14:paraId="2D066856" w14:textId="77777777" w:rsidR="00A77B3E" w:rsidRPr="00800D1B" w:rsidRDefault="00623E14" w:rsidP="005719E0">
            <w:pPr>
              <w:spacing w:before="100" w:after="100"/>
              <w:ind w:left="-72"/>
              <w:jc w:val="center"/>
              <w:rPr>
                <w:color w:val="000000"/>
                <w:sz w:val="12"/>
                <w:lang w:val="sv-SE"/>
              </w:rPr>
            </w:pPr>
            <w:r w:rsidRPr="00800D1B">
              <w:rPr>
                <w:color w:val="000000"/>
                <w:sz w:val="12"/>
                <w:lang w:val="sv-SE"/>
              </w:rPr>
              <w:t>Bidrag från unionen</w:t>
            </w:r>
          </w:p>
        </w:tc>
        <w:tc>
          <w:tcPr>
            <w:tcW w:w="1962" w:type="dxa"/>
            <w:gridSpan w:val="2"/>
          </w:tcPr>
          <w:p w14:paraId="2D066857" w14:textId="77777777" w:rsidR="00A77B3E" w:rsidRPr="00800D1B" w:rsidRDefault="00623E14" w:rsidP="005719E0">
            <w:pPr>
              <w:spacing w:before="100" w:after="100"/>
              <w:ind w:left="-72"/>
              <w:jc w:val="center"/>
              <w:rPr>
                <w:color w:val="000000"/>
                <w:sz w:val="12"/>
                <w:lang w:val="sv-SE"/>
              </w:rPr>
            </w:pPr>
            <w:r w:rsidRPr="00800D1B">
              <w:rPr>
                <w:color w:val="000000"/>
                <w:sz w:val="12"/>
                <w:lang w:val="sv-SE"/>
              </w:rPr>
              <w:t>Flexibilitetsbelopp</w:t>
            </w:r>
          </w:p>
        </w:tc>
        <w:tc>
          <w:tcPr>
            <w:tcW w:w="992" w:type="dxa"/>
            <w:vMerge/>
          </w:tcPr>
          <w:p w14:paraId="2D066858" w14:textId="77777777" w:rsidR="00A77B3E" w:rsidRPr="00800D1B" w:rsidRDefault="00A77B3E" w:rsidP="005719E0">
            <w:pPr>
              <w:spacing w:before="100" w:after="100"/>
              <w:ind w:left="-72"/>
              <w:jc w:val="center"/>
              <w:rPr>
                <w:color w:val="000000"/>
                <w:sz w:val="12"/>
                <w:lang w:val="sv-SE"/>
              </w:rPr>
            </w:pPr>
          </w:p>
        </w:tc>
        <w:tc>
          <w:tcPr>
            <w:tcW w:w="992" w:type="dxa"/>
            <w:vMerge w:val="restart"/>
          </w:tcPr>
          <w:p w14:paraId="2D066859" w14:textId="77777777" w:rsidR="00A77B3E" w:rsidRPr="00800D1B" w:rsidRDefault="00623E14" w:rsidP="005719E0">
            <w:pPr>
              <w:spacing w:before="100" w:after="100"/>
              <w:ind w:left="-72"/>
              <w:jc w:val="center"/>
              <w:rPr>
                <w:color w:val="000000"/>
                <w:sz w:val="12"/>
                <w:lang w:val="sv-SE"/>
              </w:rPr>
            </w:pPr>
            <w:r w:rsidRPr="00800D1B">
              <w:rPr>
                <w:color w:val="000000"/>
                <w:sz w:val="12"/>
                <w:lang w:val="sv-SE"/>
              </w:rPr>
              <w:t>Offentlig (e)</w:t>
            </w:r>
          </w:p>
        </w:tc>
        <w:tc>
          <w:tcPr>
            <w:tcW w:w="987" w:type="dxa"/>
            <w:vMerge w:val="restart"/>
          </w:tcPr>
          <w:p w14:paraId="2D06685A" w14:textId="77777777" w:rsidR="00A77B3E" w:rsidRPr="00800D1B" w:rsidRDefault="00623E14" w:rsidP="005719E0">
            <w:pPr>
              <w:spacing w:before="100" w:after="100"/>
              <w:ind w:left="-72"/>
              <w:jc w:val="center"/>
              <w:rPr>
                <w:color w:val="000000"/>
                <w:sz w:val="12"/>
                <w:lang w:val="sv-SE"/>
              </w:rPr>
            </w:pPr>
            <w:r w:rsidRPr="00800D1B">
              <w:rPr>
                <w:color w:val="000000"/>
                <w:sz w:val="12"/>
                <w:lang w:val="sv-SE"/>
              </w:rPr>
              <w:t>Privat (f)</w:t>
            </w:r>
          </w:p>
        </w:tc>
        <w:tc>
          <w:tcPr>
            <w:tcW w:w="992" w:type="dxa"/>
            <w:vMerge/>
          </w:tcPr>
          <w:p w14:paraId="2D06685B" w14:textId="77777777" w:rsidR="00A77B3E" w:rsidRPr="00800D1B" w:rsidRDefault="00A77B3E" w:rsidP="005719E0">
            <w:pPr>
              <w:spacing w:before="100" w:after="100"/>
              <w:ind w:left="-72"/>
              <w:jc w:val="center"/>
              <w:rPr>
                <w:color w:val="000000"/>
                <w:sz w:val="12"/>
                <w:lang w:val="sv-SE"/>
              </w:rPr>
            </w:pPr>
          </w:p>
        </w:tc>
        <w:tc>
          <w:tcPr>
            <w:tcW w:w="1198" w:type="dxa"/>
            <w:vMerge/>
          </w:tcPr>
          <w:p w14:paraId="2D06685C" w14:textId="77777777" w:rsidR="00A77B3E" w:rsidRPr="00800D1B" w:rsidRDefault="00A77B3E" w:rsidP="005719E0">
            <w:pPr>
              <w:spacing w:before="100" w:after="100"/>
              <w:ind w:left="-72"/>
              <w:jc w:val="center"/>
              <w:rPr>
                <w:color w:val="000000"/>
                <w:sz w:val="12"/>
                <w:lang w:val="sv-SE"/>
              </w:rPr>
            </w:pPr>
          </w:p>
        </w:tc>
      </w:tr>
      <w:tr w:rsidR="003422DB" w:rsidRPr="00BD3045" w14:paraId="2D06686D" w14:textId="77777777" w:rsidTr="00A26CDD">
        <w:tc>
          <w:tcPr>
            <w:tcW w:w="991" w:type="dxa"/>
            <w:vMerge/>
          </w:tcPr>
          <w:p w14:paraId="2D06685E" w14:textId="77777777" w:rsidR="00A77B3E" w:rsidRPr="00800D1B" w:rsidRDefault="00A77B3E" w:rsidP="005719E0">
            <w:pPr>
              <w:spacing w:before="100" w:after="100"/>
              <w:ind w:left="-72"/>
              <w:jc w:val="center"/>
              <w:rPr>
                <w:color w:val="000000"/>
                <w:sz w:val="12"/>
                <w:lang w:val="sv-SE"/>
              </w:rPr>
            </w:pPr>
          </w:p>
        </w:tc>
        <w:tc>
          <w:tcPr>
            <w:tcW w:w="976" w:type="dxa"/>
            <w:vMerge/>
          </w:tcPr>
          <w:p w14:paraId="2D06685F" w14:textId="77777777" w:rsidR="00A77B3E" w:rsidRPr="00800D1B" w:rsidRDefault="00A77B3E" w:rsidP="005719E0">
            <w:pPr>
              <w:spacing w:before="100" w:after="100"/>
              <w:ind w:left="-72"/>
              <w:jc w:val="center"/>
              <w:rPr>
                <w:color w:val="000000"/>
                <w:sz w:val="12"/>
                <w:lang w:val="sv-SE"/>
              </w:rPr>
            </w:pPr>
          </w:p>
        </w:tc>
        <w:tc>
          <w:tcPr>
            <w:tcW w:w="1111" w:type="dxa"/>
            <w:vMerge/>
          </w:tcPr>
          <w:p w14:paraId="2D066860" w14:textId="77777777" w:rsidR="00A77B3E" w:rsidRPr="00800D1B" w:rsidRDefault="00A77B3E" w:rsidP="005719E0">
            <w:pPr>
              <w:spacing w:before="100" w:after="100"/>
              <w:ind w:left="-72"/>
              <w:jc w:val="center"/>
              <w:rPr>
                <w:color w:val="000000"/>
                <w:sz w:val="12"/>
                <w:lang w:val="sv-SE"/>
              </w:rPr>
            </w:pPr>
          </w:p>
        </w:tc>
        <w:tc>
          <w:tcPr>
            <w:tcW w:w="953" w:type="dxa"/>
            <w:vMerge/>
          </w:tcPr>
          <w:p w14:paraId="2D066861" w14:textId="77777777" w:rsidR="00A77B3E" w:rsidRPr="00800D1B" w:rsidRDefault="00A77B3E" w:rsidP="005719E0">
            <w:pPr>
              <w:spacing w:before="100" w:after="100"/>
              <w:ind w:left="-72"/>
              <w:jc w:val="center"/>
              <w:rPr>
                <w:color w:val="000000"/>
                <w:sz w:val="12"/>
                <w:lang w:val="sv-SE"/>
              </w:rPr>
            </w:pPr>
          </w:p>
        </w:tc>
        <w:tc>
          <w:tcPr>
            <w:tcW w:w="996" w:type="dxa"/>
            <w:vMerge/>
          </w:tcPr>
          <w:p w14:paraId="2D066862" w14:textId="77777777" w:rsidR="00A77B3E" w:rsidRPr="00800D1B" w:rsidRDefault="00A77B3E" w:rsidP="005719E0">
            <w:pPr>
              <w:spacing w:before="100" w:after="100"/>
              <w:ind w:left="-72"/>
              <w:jc w:val="center"/>
              <w:rPr>
                <w:color w:val="000000"/>
                <w:sz w:val="12"/>
                <w:lang w:val="sv-SE"/>
              </w:rPr>
            </w:pPr>
          </w:p>
        </w:tc>
        <w:tc>
          <w:tcPr>
            <w:tcW w:w="1048" w:type="dxa"/>
            <w:vMerge/>
          </w:tcPr>
          <w:p w14:paraId="2D066863" w14:textId="77777777" w:rsidR="00A77B3E" w:rsidRPr="00800D1B" w:rsidRDefault="00A77B3E" w:rsidP="005719E0">
            <w:pPr>
              <w:spacing w:before="100" w:after="100"/>
              <w:ind w:left="-72"/>
              <w:jc w:val="center"/>
              <w:rPr>
                <w:color w:val="000000"/>
                <w:sz w:val="12"/>
                <w:lang w:val="sv-SE"/>
              </w:rPr>
            </w:pPr>
          </w:p>
        </w:tc>
        <w:tc>
          <w:tcPr>
            <w:tcW w:w="992" w:type="dxa"/>
          </w:tcPr>
          <w:p w14:paraId="2D066864" w14:textId="77777777" w:rsidR="00A77B3E" w:rsidRPr="00800D1B" w:rsidRDefault="00623E14" w:rsidP="005719E0">
            <w:pPr>
              <w:spacing w:before="100" w:after="100"/>
              <w:ind w:left="-72"/>
              <w:jc w:val="center"/>
              <w:rPr>
                <w:color w:val="000000"/>
                <w:sz w:val="12"/>
                <w:lang w:val="sv-SE"/>
              </w:rPr>
            </w:pPr>
            <w:r w:rsidRPr="00800D1B">
              <w:rPr>
                <w:color w:val="000000"/>
                <w:sz w:val="12"/>
                <w:lang w:val="sv-SE"/>
              </w:rPr>
              <w:t>utan tekniskt bistånd enligt artikel 36.5 (b)</w:t>
            </w:r>
          </w:p>
        </w:tc>
        <w:tc>
          <w:tcPr>
            <w:tcW w:w="982" w:type="dxa"/>
          </w:tcPr>
          <w:p w14:paraId="2D066865" w14:textId="77777777" w:rsidR="00A77B3E" w:rsidRPr="00800D1B" w:rsidRDefault="00623E14" w:rsidP="005719E0">
            <w:pPr>
              <w:spacing w:before="100" w:after="100"/>
              <w:ind w:left="-72"/>
              <w:jc w:val="center"/>
              <w:rPr>
                <w:color w:val="000000"/>
                <w:sz w:val="12"/>
                <w:lang w:val="sv-SE"/>
              </w:rPr>
            </w:pPr>
            <w:r w:rsidRPr="00800D1B">
              <w:rPr>
                <w:color w:val="000000"/>
                <w:sz w:val="12"/>
                <w:lang w:val="sv-SE"/>
              </w:rPr>
              <w:t>för tekniskt bistånd enligt artikel 36.5 (c)</w:t>
            </w:r>
          </w:p>
        </w:tc>
        <w:tc>
          <w:tcPr>
            <w:tcW w:w="987" w:type="dxa"/>
          </w:tcPr>
          <w:p w14:paraId="2D066866" w14:textId="77777777" w:rsidR="00A77B3E" w:rsidRPr="00800D1B" w:rsidRDefault="00623E14" w:rsidP="005719E0">
            <w:pPr>
              <w:spacing w:before="100" w:after="100"/>
              <w:ind w:left="-72"/>
              <w:jc w:val="center"/>
              <w:rPr>
                <w:color w:val="000000"/>
                <w:sz w:val="12"/>
                <w:lang w:val="sv-SE"/>
              </w:rPr>
            </w:pPr>
            <w:r w:rsidRPr="00800D1B">
              <w:rPr>
                <w:color w:val="000000"/>
                <w:sz w:val="12"/>
                <w:lang w:val="sv-SE"/>
              </w:rPr>
              <w:t>utan tekniskt bistånd enligt artikel 36.5 (i)</w:t>
            </w:r>
          </w:p>
        </w:tc>
        <w:tc>
          <w:tcPr>
            <w:tcW w:w="975" w:type="dxa"/>
          </w:tcPr>
          <w:p w14:paraId="2D066867" w14:textId="77777777" w:rsidR="00A77B3E" w:rsidRPr="00800D1B" w:rsidRDefault="00623E14" w:rsidP="005719E0">
            <w:pPr>
              <w:spacing w:before="100" w:after="100"/>
              <w:ind w:left="-72"/>
              <w:jc w:val="center"/>
              <w:rPr>
                <w:color w:val="000000"/>
                <w:sz w:val="12"/>
                <w:lang w:val="sv-SE"/>
              </w:rPr>
            </w:pPr>
            <w:r w:rsidRPr="00800D1B">
              <w:rPr>
                <w:color w:val="000000"/>
                <w:sz w:val="12"/>
                <w:lang w:val="sv-SE"/>
              </w:rPr>
              <w:t>för tekniskt bistånd enligt artikel 36.5 (j)</w:t>
            </w:r>
          </w:p>
        </w:tc>
        <w:tc>
          <w:tcPr>
            <w:tcW w:w="992" w:type="dxa"/>
            <w:vMerge/>
          </w:tcPr>
          <w:p w14:paraId="2D066868" w14:textId="77777777" w:rsidR="00A77B3E" w:rsidRPr="00800D1B" w:rsidRDefault="00A77B3E" w:rsidP="005719E0">
            <w:pPr>
              <w:spacing w:before="100" w:after="100"/>
              <w:ind w:left="-72"/>
              <w:jc w:val="center"/>
              <w:rPr>
                <w:color w:val="000000"/>
                <w:sz w:val="12"/>
                <w:lang w:val="sv-SE"/>
              </w:rPr>
            </w:pPr>
          </w:p>
        </w:tc>
        <w:tc>
          <w:tcPr>
            <w:tcW w:w="992" w:type="dxa"/>
            <w:vMerge/>
          </w:tcPr>
          <w:p w14:paraId="2D066869" w14:textId="77777777" w:rsidR="00A77B3E" w:rsidRPr="00800D1B" w:rsidRDefault="00A77B3E" w:rsidP="005719E0">
            <w:pPr>
              <w:spacing w:before="100" w:after="100"/>
              <w:ind w:left="-72"/>
              <w:jc w:val="center"/>
              <w:rPr>
                <w:color w:val="000000"/>
                <w:sz w:val="12"/>
                <w:lang w:val="sv-SE"/>
              </w:rPr>
            </w:pPr>
          </w:p>
        </w:tc>
        <w:tc>
          <w:tcPr>
            <w:tcW w:w="987" w:type="dxa"/>
            <w:vMerge/>
          </w:tcPr>
          <w:p w14:paraId="2D06686A" w14:textId="77777777" w:rsidR="00A77B3E" w:rsidRPr="00800D1B" w:rsidRDefault="00A77B3E" w:rsidP="005719E0">
            <w:pPr>
              <w:spacing w:before="100" w:after="100"/>
              <w:ind w:left="-72"/>
              <w:jc w:val="center"/>
              <w:rPr>
                <w:color w:val="000000"/>
                <w:sz w:val="12"/>
                <w:lang w:val="sv-SE"/>
              </w:rPr>
            </w:pPr>
          </w:p>
        </w:tc>
        <w:tc>
          <w:tcPr>
            <w:tcW w:w="992" w:type="dxa"/>
            <w:vMerge/>
          </w:tcPr>
          <w:p w14:paraId="2D06686B" w14:textId="77777777" w:rsidR="00A77B3E" w:rsidRPr="00800D1B" w:rsidRDefault="00A77B3E" w:rsidP="005719E0">
            <w:pPr>
              <w:spacing w:before="100" w:after="100"/>
              <w:ind w:left="-72"/>
              <w:jc w:val="center"/>
              <w:rPr>
                <w:color w:val="000000"/>
                <w:sz w:val="12"/>
                <w:lang w:val="sv-SE"/>
              </w:rPr>
            </w:pPr>
          </w:p>
        </w:tc>
        <w:tc>
          <w:tcPr>
            <w:tcW w:w="1198" w:type="dxa"/>
            <w:vMerge/>
          </w:tcPr>
          <w:p w14:paraId="2D06686C" w14:textId="77777777" w:rsidR="00A77B3E" w:rsidRPr="00800D1B" w:rsidRDefault="00A77B3E" w:rsidP="005719E0">
            <w:pPr>
              <w:spacing w:before="100" w:after="100"/>
              <w:ind w:left="-72"/>
              <w:jc w:val="center"/>
              <w:rPr>
                <w:color w:val="000000"/>
                <w:sz w:val="12"/>
                <w:lang w:val="sv-SE"/>
              </w:rPr>
            </w:pPr>
          </w:p>
        </w:tc>
      </w:tr>
      <w:tr w:rsidR="003422DB" w:rsidRPr="00800D1B" w14:paraId="2D06687D" w14:textId="77777777" w:rsidTr="00A26CDD">
        <w:tc>
          <w:tcPr>
            <w:tcW w:w="991" w:type="dxa"/>
          </w:tcPr>
          <w:p w14:paraId="2D06686E" w14:textId="77777777" w:rsidR="00A77B3E" w:rsidRPr="00800D1B" w:rsidRDefault="00623E14" w:rsidP="005719E0">
            <w:pPr>
              <w:spacing w:before="100" w:after="100"/>
              <w:ind w:left="-72"/>
              <w:rPr>
                <w:color w:val="000000"/>
                <w:sz w:val="12"/>
                <w:lang w:val="sv-SE"/>
              </w:rPr>
            </w:pPr>
            <w:r w:rsidRPr="00800D1B">
              <w:rPr>
                <w:color w:val="000000"/>
                <w:sz w:val="12"/>
                <w:lang w:val="sv-SE"/>
              </w:rPr>
              <w:t>1</w:t>
            </w:r>
          </w:p>
        </w:tc>
        <w:tc>
          <w:tcPr>
            <w:tcW w:w="976" w:type="dxa"/>
          </w:tcPr>
          <w:p w14:paraId="2D06686F" w14:textId="77777777" w:rsidR="00A77B3E" w:rsidRPr="00800D1B" w:rsidRDefault="00623E14" w:rsidP="005719E0">
            <w:pPr>
              <w:spacing w:before="100" w:after="100"/>
              <w:ind w:left="-72"/>
              <w:rPr>
                <w:color w:val="000000"/>
                <w:sz w:val="12"/>
                <w:lang w:val="sv-SE"/>
              </w:rPr>
            </w:pPr>
            <w:r w:rsidRPr="00800D1B">
              <w:rPr>
                <w:color w:val="000000"/>
                <w:sz w:val="12"/>
                <w:lang w:val="sv-SE"/>
              </w:rPr>
              <w:t>1</w:t>
            </w:r>
          </w:p>
        </w:tc>
        <w:tc>
          <w:tcPr>
            <w:tcW w:w="1111" w:type="dxa"/>
          </w:tcPr>
          <w:p w14:paraId="2D066870" w14:textId="77777777" w:rsidR="00A77B3E" w:rsidRPr="00800D1B" w:rsidRDefault="00623E14" w:rsidP="005719E0">
            <w:pPr>
              <w:spacing w:before="100" w:after="100"/>
              <w:ind w:left="-72"/>
              <w:rPr>
                <w:color w:val="000000"/>
                <w:sz w:val="12"/>
                <w:lang w:val="sv-SE"/>
              </w:rPr>
            </w:pPr>
            <w:r w:rsidRPr="00800D1B">
              <w:rPr>
                <w:color w:val="000000"/>
                <w:sz w:val="12"/>
                <w:lang w:val="sv-SE"/>
              </w:rPr>
              <w:t>Totalt</w:t>
            </w:r>
          </w:p>
        </w:tc>
        <w:tc>
          <w:tcPr>
            <w:tcW w:w="953" w:type="dxa"/>
          </w:tcPr>
          <w:p w14:paraId="2D066871" w14:textId="77777777" w:rsidR="00A77B3E" w:rsidRPr="00800D1B" w:rsidRDefault="00623E14" w:rsidP="005719E0">
            <w:pPr>
              <w:spacing w:before="100" w:after="100"/>
              <w:ind w:left="-72"/>
              <w:rPr>
                <w:color w:val="000000"/>
                <w:sz w:val="12"/>
                <w:lang w:val="sv-SE"/>
              </w:rPr>
            </w:pPr>
            <w:r w:rsidRPr="00800D1B">
              <w:rPr>
                <w:color w:val="000000"/>
                <w:sz w:val="12"/>
                <w:lang w:val="sv-SE"/>
              </w:rPr>
              <w:t>Eruf</w:t>
            </w:r>
          </w:p>
        </w:tc>
        <w:tc>
          <w:tcPr>
            <w:tcW w:w="996" w:type="dxa"/>
          </w:tcPr>
          <w:p w14:paraId="2D066872" w14:textId="77777777" w:rsidR="00A77B3E" w:rsidRPr="00800D1B" w:rsidRDefault="00623E14" w:rsidP="00B55BCE">
            <w:pPr>
              <w:spacing w:before="60" w:after="60"/>
              <w:ind w:left="-72"/>
              <w:rPr>
                <w:color w:val="000000"/>
                <w:sz w:val="12"/>
                <w:lang w:val="sv-SE"/>
              </w:rPr>
            </w:pPr>
            <w:r w:rsidRPr="00800D1B">
              <w:rPr>
                <w:color w:val="000000"/>
                <w:sz w:val="12"/>
                <w:lang w:val="sv-SE"/>
              </w:rPr>
              <w:t>Mer utvecklade regioner</w:t>
            </w:r>
          </w:p>
        </w:tc>
        <w:tc>
          <w:tcPr>
            <w:tcW w:w="1048" w:type="dxa"/>
          </w:tcPr>
          <w:p w14:paraId="2D066873" w14:textId="77777777" w:rsidR="00A77B3E" w:rsidRPr="00800D1B" w:rsidRDefault="00623E14" w:rsidP="005719E0">
            <w:pPr>
              <w:spacing w:before="100" w:after="100"/>
              <w:ind w:left="-72"/>
              <w:jc w:val="right"/>
              <w:rPr>
                <w:color w:val="000000"/>
                <w:sz w:val="12"/>
                <w:lang w:val="sv-SE"/>
              </w:rPr>
            </w:pPr>
            <w:r w:rsidRPr="00800D1B">
              <w:rPr>
                <w:color w:val="000000"/>
                <w:sz w:val="12"/>
                <w:lang w:val="sv-SE"/>
              </w:rPr>
              <w:t>28 767 456,00</w:t>
            </w:r>
          </w:p>
        </w:tc>
        <w:tc>
          <w:tcPr>
            <w:tcW w:w="992" w:type="dxa"/>
          </w:tcPr>
          <w:p w14:paraId="2D066874" w14:textId="77777777" w:rsidR="00A77B3E" w:rsidRPr="00800D1B" w:rsidRDefault="00623E14" w:rsidP="005719E0">
            <w:pPr>
              <w:spacing w:before="100" w:after="100"/>
              <w:ind w:left="-72"/>
              <w:jc w:val="right"/>
              <w:rPr>
                <w:color w:val="000000"/>
                <w:sz w:val="12"/>
                <w:lang w:val="sv-SE"/>
              </w:rPr>
            </w:pPr>
            <w:r w:rsidRPr="00800D1B">
              <w:rPr>
                <w:color w:val="000000"/>
                <w:sz w:val="12"/>
                <w:lang w:val="sv-SE"/>
              </w:rPr>
              <w:t>23 625 044,00</w:t>
            </w:r>
          </w:p>
        </w:tc>
        <w:tc>
          <w:tcPr>
            <w:tcW w:w="982" w:type="dxa"/>
          </w:tcPr>
          <w:p w14:paraId="2D066875" w14:textId="77777777" w:rsidR="00A77B3E" w:rsidRPr="00800D1B" w:rsidRDefault="00623E14" w:rsidP="005719E0">
            <w:pPr>
              <w:spacing w:before="100" w:after="100"/>
              <w:ind w:left="-72"/>
              <w:jc w:val="right"/>
              <w:rPr>
                <w:color w:val="000000"/>
                <w:sz w:val="12"/>
                <w:lang w:val="sv-SE"/>
              </w:rPr>
            </w:pPr>
            <w:r w:rsidRPr="00800D1B">
              <w:rPr>
                <w:color w:val="000000"/>
                <w:sz w:val="12"/>
                <w:lang w:val="sv-SE"/>
              </w:rPr>
              <w:t>826 876,00</w:t>
            </w:r>
          </w:p>
        </w:tc>
        <w:tc>
          <w:tcPr>
            <w:tcW w:w="987" w:type="dxa"/>
          </w:tcPr>
          <w:p w14:paraId="2D066876" w14:textId="77777777" w:rsidR="00A77B3E" w:rsidRPr="00800D1B" w:rsidRDefault="00623E14" w:rsidP="005719E0">
            <w:pPr>
              <w:spacing w:before="100" w:after="100"/>
              <w:ind w:left="-72"/>
              <w:jc w:val="right"/>
              <w:rPr>
                <w:color w:val="000000"/>
                <w:sz w:val="12"/>
                <w:lang w:val="sv-SE"/>
              </w:rPr>
            </w:pPr>
            <w:r w:rsidRPr="00800D1B">
              <w:rPr>
                <w:color w:val="000000"/>
                <w:sz w:val="12"/>
                <w:lang w:val="sv-SE"/>
              </w:rPr>
              <w:t>4 169 600,00</w:t>
            </w:r>
          </w:p>
        </w:tc>
        <w:tc>
          <w:tcPr>
            <w:tcW w:w="975" w:type="dxa"/>
          </w:tcPr>
          <w:p w14:paraId="2D066877" w14:textId="77777777" w:rsidR="00A77B3E" w:rsidRPr="00800D1B" w:rsidRDefault="00623E14" w:rsidP="005719E0">
            <w:pPr>
              <w:spacing w:before="100" w:after="100"/>
              <w:ind w:left="-72"/>
              <w:jc w:val="right"/>
              <w:rPr>
                <w:color w:val="000000"/>
                <w:sz w:val="12"/>
                <w:lang w:val="sv-SE"/>
              </w:rPr>
            </w:pPr>
            <w:r w:rsidRPr="00800D1B">
              <w:rPr>
                <w:color w:val="000000"/>
                <w:sz w:val="12"/>
                <w:lang w:val="sv-SE"/>
              </w:rPr>
              <w:t>145 936,00</w:t>
            </w:r>
          </w:p>
        </w:tc>
        <w:tc>
          <w:tcPr>
            <w:tcW w:w="992" w:type="dxa"/>
          </w:tcPr>
          <w:p w14:paraId="2D066878" w14:textId="77777777" w:rsidR="00A77B3E" w:rsidRPr="00800D1B" w:rsidRDefault="00623E14" w:rsidP="005719E0">
            <w:pPr>
              <w:spacing w:before="100" w:after="100"/>
              <w:ind w:left="-72"/>
              <w:jc w:val="right"/>
              <w:rPr>
                <w:color w:val="000000"/>
                <w:sz w:val="12"/>
                <w:lang w:val="sv-SE"/>
              </w:rPr>
            </w:pPr>
            <w:r w:rsidRPr="00800D1B">
              <w:rPr>
                <w:color w:val="000000"/>
                <w:sz w:val="12"/>
                <w:lang w:val="sv-SE"/>
              </w:rPr>
              <w:t>43 151 184,00</w:t>
            </w:r>
          </w:p>
        </w:tc>
        <w:tc>
          <w:tcPr>
            <w:tcW w:w="992" w:type="dxa"/>
          </w:tcPr>
          <w:p w14:paraId="2D066879" w14:textId="77777777" w:rsidR="00A77B3E" w:rsidRPr="00800D1B" w:rsidRDefault="00623E14" w:rsidP="005719E0">
            <w:pPr>
              <w:spacing w:before="100" w:after="100"/>
              <w:ind w:left="-72"/>
              <w:jc w:val="right"/>
              <w:rPr>
                <w:color w:val="000000"/>
                <w:sz w:val="12"/>
                <w:lang w:val="sv-SE"/>
              </w:rPr>
            </w:pPr>
            <w:r w:rsidRPr="00800D1B">
              <w:rPr>
                <w:color w:val="000000"/>
                <w:sz w:val="12"/>
                <w:lang w:val="sv-SE"/>
              </w:rPr>
              <w:t>37 973 042,00</w:t>
            </w:r>
          </w:p>
        </w:tc>
        <w:tc>
          <w:tcPr>
            <w:tcW w:w="987" w:type="dxa"/>
          </w:tcPr>
          <w:p w14:paraId="2D06687A" w14:textId="77777777" w:rsidR="00A77B3E" w:rsidRPr="00800D1B" w:rsidRDefault="00623E14" w:rsidP="005719E0">
            <w:pPr>
              <w:spacing w:before="100" w:after="100"/>
              <w:ind w:left="-72"/>
              <w:jc w:val="right"/>
              <w:rPr>
                <w:color w:val="000000"/>
                <w:sz w:val="12"/>
                <w:lang w:val="sv-SE"/>
              </w:rPr>
            </w:pPr>
            <w:r w:rsidRPr="00800D1B">
              <w:rPr>
                <w:color w:val="000000"/>
                <w:sz w:val="12"/>
                <w:lang w:val="sv-SE"/>
              </w:rPr>
              <w:t>5 178 142,00</w:t>
            </w:r>
          </w:p>
        </w:tc>
        <w:tc>
          <w:tcPr>
            <w:tcW w:w="992" w:type="dxa"/>
          </w:tcPr>
          <w:p w14:paraId="2D06687B" w14:textId="77777777" w:rsidR="00A77B3E" w:rsidRPr="00800D1B" w:rsidRDefault="00623E14" w:rsidP="005719E0">
            <w:pPr>
              <w:spacing w:before="100" w:after="100"/>
              <w:ind w:left="-72"/>
              <w:jc w:val="right"/>
              <w:rPr>
                <w:color w:val="000000"/>
                <w:sz w:val="12"/>
                <w:lang w:val="sv-SE"/>
              </w:rPr>
            </w:pPr>
            <w:r w:rsidRPr="00800D1B">
              <w:rPr>
                <w:color w:val="000000"/>
                <w:sz w:val="12"/>
                <w:lang w:val="sv-SE"/>
              </w:rPr>
              <w:t>71 918 640,00</w:t>
            </w:r>
          </w:p>
        </w:tc>
        <w:tc>
          <w:tcPr>
            <w:tcW w:w="1198" w:type="dxa"/>
          </w:tcPr>
          <w:p w14:paraId="2D06687C" w14:textId="77777777" w:rsidR="00A77B3E" w:rsidRPr="00800D1B" w:rsidRDefault="00623E14" w:rsidP="005719E0">
            <w:pPr>
              <w:spacing w:before="100" w:after="100"/>
              <w:ind w:left="-72"/>
              <w:jc w:val="right"/>
              <w:rPr>
                <w:color w:val="000000"/>
                <w:sz w:val="12"/>
                <w:lang w:val="sv-SE"/>
              </w:rPr>
            </w:pPr>
            <w:r w:rsidRPr="00800D1B">
              <w:rPr>
                <w:color w:val="000000"/>
                <w:sz w:val="12"/>
                <w:lang w:val="sv-SE"/>
              </w:rPr>
              <w:t>40,0000000000%</w:t>
            </w:r>
          </w:p>
        </w:tc>
      </w:tr>
      <w:tr w:rsidR="003422DB" w:rsidRPr="00800D1B" w14:paraId="2D06688D" w14:textId="77777777" w:rsidTr="00A26CDD">
        <w:tc>
          <w:tcPr>
            <w:tcW w:w="991" w:type="dxa"/>
          </w:tcPr>
          <w:p w14:paraId="2D06687E" w14:textId="77777777" w:rsidR="00A77B3E" w:rsidRPr="00800D1B" w:rsidRDefault="00623E14" w:rsidP="005719E0">
            <w:pPr>
              <w:spacing w:before="100" w:after="100"/>
              <w:ind w:left="-72"/>
              <w:rPr>
                <w:color w:val="000000"/>
                <w:sz w:val="12"/>
                <w:lang w:val="sv-SE"/>
              </w:rPr>
            </w:pPr>
            <w:r w:rsidRPr="00800D1B">
              <w:rPr>
                <w:color w:val="000000"/>
                <w:sz w:val="12"/>
                <w:lang w:val="sv-SE"/>
              </w:rPr>
              <w:t>1</w:t>
            </w:r>
          </w:p>
        </w:tc>
        <w:tc>
          <w:tcPr>
            <w:tcW w:w="976" w:type="dxa"/>
          </w:tcPr>
          <w:p w14:paraId="2D06687F" w14:textId="77777777" w:rsidR="00A77B3E" w:rsidRPr="00800D1B" w:rsidRDefault="00623E14" w:rsidP="005719E0">
            <w:pPr>
              <w:spacing w:before="100" w:after="100"/>
              <w:ind w:left="-72"/>
              <w:rPr>
                <w:color w:val="000000"/>
                <w:sz w:val="12"/>
                <w:lang w:val="sv-SE"/>
              </w:rPr>
            </w:pPr>
            <w:r w:rsidRPr="00800D1B">
              <w:rPr>
                <w:color w:val="000000"/>
                <w:sz w:val="12"/>
                <w:lang w:val="sv-SE"/>
              </w:rPr>
              <w:t>1</w:t>
            </w:r>
          </w:p>
        </w:tc>
        <w:tc>
          <w:tcPr>
            <w:tcW w:w="1111" w:type="dxa"/>
          </w:tcPr>
          <w:p w14:paraId="2D066880" w14:textId="77777777" w:rsidR="00A77B3E" w:rsidRPr="00800D1B" w:rsidRDefault="00623E14" w:rsidP="005719E0">
            <w:pPr>
              <w:spacing w:before="100" w:after="100"/>
              <w:ind w:left="-72"/>
              <w:rPr>
                <w:color w:val="000000"/>
                <w:sz w:val="12"/>
                <w:lang w:val="sv-SE"/>
              </w:rPr>
            </w:pPr>
            <w:r w:rsidRPr="00800D1B">
              <w:rPr>
                <w:color w:val="000000"/>
                <w:sz w:val="12"/>
                <w:lang w:val="sv-SE"/>
              </w:rPr>
              <w:t>Totalt</w:t>
            </w:r>
          </w:p>
        </w:tc>
        <w:tc>
          <w:tcPr>
            <w:tcW w:w="953" w:type="dxa"/>
          </w:tcPr>
          <w:p w14:paraId="2D066881" w14:textId="77777777" w:rsidR="00A77B3E" w:rsidRPr="00800D1B" w:rsidRDefault="00623E14" w:rsidP="005719E0">
            <w:pPr>
              <w:spacing w:before="100" w:after="100"/>
              <w:ind w:left="-72"/>
              <w:rPr>
                <w:color w:val="000000"/>
                <w:sz w:val="12"/>
                <w:lang w:val="sv-SE"/>
              </w:rPr>
            </w:pPr>
            <w:r w:rsidRPr="00800D1B">
              <w:rPr>
                <w:color w:val="000000"/>
                <w:sz w:val="12"/>
                <w:lang w:val="sv-SE"/>
              </w:rPr>
              <w:t>Eruf</w:t>
            </w:r>
          </w:p>
        </w:tc>
        <w:tc>
          <w:tcPr>
            <w:tcW w:w="996" w:type="dxa"/>
          </w:tcPr>
          <w:p w14:paraId="2D066882" w14:textId="77777777" w:rsidR="00A77B3E" w:rsidRPr="00800D1B" w:rsidRDefault="00623E14" w:rsidP="00B55BCE">
            <w:pPr>
              <w:spacing w:before="60" w:after="60"/>
              <w:ind w:left="-72"/>
              <w:rPr>
                <w:color w:val="000000"/>
                <w:sz w:val="12"/>
                <w:lang w:val="sv-SE"/>
              </w:rPr>
            </w:pPr>
            <w:r w:rsidRPr="00800D1B">
              <w:rPr>
                <w:color w:val="000000"/>
                <w:sz w:val="12"/>
                <w:lang w:val="sv-SE"/>
              </w:rPr>
              <w:t>De yttersta randområdena eller de nordliga glesbefolkade områdena</w:t>
            </w:r>
          </w:p>
        </w:tc>
        <w:tc>
          <w:tcPr>
            <w:tcW w:w="1048" w:type="dxa"/>
          </w:tcPr>
          <w:p w14:paraId="2D066883" w14:textId="77777777" w:rsidR="00A77B3E" w:rsidRPr="00800D1B" w:rsidRDefault="00623E14" w:rsidP="005719E0">
            <w:pPr>
              <w:spacing w:before="100" w:after="100"/>
              <w:ind w:left="-72"/>
              <w:jc w:val="right"/>
              <w:rPr>
                <w:color w:val="000000"/>
                <w:sz w:val="12"/>
                <w:lang w:val="sv-SE"/>
              </w:rPr>
            </w:pPr>
            <w:r w:rsidRPr="00800D1B">
              <w:rPr>
                <w:color w:val="000000"/>
                <w:sz w:val="12"/>
                <w:lang w:val="sv-SE"/>
              </w:rPr>
              <w:t>5 532 674,00</w:t>
            </w:r>
          </w:p>
        </w:tc>
        <w:tc>
          <w:tcPr>
            <w:tcW w:w="992" w:type="dxa"/>
          </w:tcPr>
          <w:p w14:paraId="2D066884" w14:textId="77777777" w:rsidR="00A77B3E" w:rsidRPr="00800D1B" w:rsidRDefault="00623E14" w:rsidP="005719E0">
            <w:pPr>
              <w:spacing w:before="100" w:after="100"/>
              <w:ind w:left="-72"/>
              <w:jc w:val="right"/>
              <w:rPr>
                <w:color w:val="000000"/>
                <w:sz w:val="12"/>
                <w:lang w:val="sv-SE"/>
              </w:rPr>
            </w:pPr>
            <w:r w:rsidRPr="00800D1B">
              <w:rPr>
                <w:color w:val="000000"/>
                <w:sz w:val="12"/>
                <w:lang w:val="sv-SE"/>
              </w:rPr>
              <w:t>4 543 697,00</w:t>
            </w:r>
          </w:p>
        </w:tc>
        <w:tc>
          <w:tcPr>
            <w:tcW w:w="982" w:type="dxa"/>
          </w:tcPr>
          <w:p w14:paraId="2D066885" w14:textId="77777777" w:rsidR="00A77B3E" w:rsidRPr="00800D1B" w:rsidRDefault="00623E14" w:rsidP="005719E0">
            <w:pPr>
              <w:spacing w:before="100" w:after="100"/>
              <w:ind w:left="-72"/>
              <w:jc w:val="right"/>
              <w:rPr>
                <w:color w:val="000000"/>
                <w:sz w:val="12"/>
                <w:lang w:val="sv-SE"/>
              </w:rPr>
            </w:pPr>
            <w:r w:rsidRPr="00800D1B">
              <w:rPr>
                <w:color w:val="000000"/>
                <w:sz w:val="12"/>
                <w:lang w:val="sv-SE"/>
              </w:rPr>
              <w:t>159 029,00</w:t>
            </w:r>
          </w:p>
        </w:tc>
        <w:tc>
          <w:tcPr>
            <w:tcW w:w="987" w:type="dxa"/>
          </w:tcPr>
          <w:p w14:paraId="2D066886" w14:textId="77777777" w:rsidR="00A77B3E" w:rsidRPr="00800D1B" w:rsidRDefault="00623E14" w:rsidP="005719E0">
            <w:pPr>
              <w:spacing w:before="100" w:after="100"/>
              <w:ind w:left="-72"/>
              <w:jc w:val="right"/>
              <w:rPr>
                <w:color w:val="000000"/>
                <w:sz w:val="12"/>
                <w:lang w:val="sv-SE"/>
              </w:rPr>
            </w:pPr>
            <w:r w:rsidRPr="00800D1B">
              <w:rPr>
                <w:color w:val="000000"/>
                <w:sz w:val="12"/>
                <w:lang w:val="sv-SE"/>
              </w:rPr>
              <w:t>801 882,00</w:t>
            </w:r>
          </w:p>
        </w:tc>
        <w:tc>
          <w:tcPr>
            <w:tcW w:w="975" w:type="dxa"/>
          </w:tcPr>
          <w:p w14:paraId="2D066887" w14:textId="77777777" w:rsidR="00A77B3E" w:rsidRPr="00800D1B" w:rsidRDefault="00623E14" w:rsidP="005719E0">
            <w:pPr>
              <w:spacing w:before="100" w:after="100"/>
              <w:ind w:left="-72"/>
              <w:jc w:val="right"/>
              <w:rPr>
                <w:color w:val="000000"/>
                <w:sz w:val="12"/>
                <w:lang w:val="sv-SE"/>
              </w:rPr>
            </w:pPr>
            <w:r w:rsidRPr="00800D1B">
              <w:rPr>
                <w:color w:val="000000"/>
                <w:sz w:val="12"/>
                <w:lang w:val="sv-SE"/>
              </w:rPr>
              <w:t>28 066,00</w:t>
            </w:r>
          </w:p>
        </w:tc>
        <w:tc>
          <w:tcPr>
            <w:tcW w:w="992" w:type="dxa"/>
          </w:tcPr>
          <w:p w14:paraId="2D066888" w14:textId="77777777" w:rsidR="00A77B3E" w:rsidRPr="00800D1B" w:rsidRDefault="00623E14" w:rsidP="005719E0">
            <w:pPr>
              <w:spacing w:before="100" w:after="100"/>
              <w:ind w:left="-72"/>
              <w:jc w:val="right"/>
              <w:rPr>
                <w:color w:val="000000"/>
                <w:sz w:val="12"/>
                <w:lang w:val="sv-SE"/>
              </w:rPr>
            </w:pPr>
            <w:r w:rsidRPr="00800D1B">
              <w:rPr>
                <w:color w:val="000000"/>
                <w:sz w:val="12"/>
                <w:lang w:val="sv-SE"/>
              </w:rPr>
              <w:t>8 299 012,00</w:t>
            </w:r>
          </w:p>
        </w:tc>
        <w:tc>
          <w:tcPr>
            <w:tcW w:w="992" w:type="dxa"/>
          </w:tcPr>
          <w:p w14:paraId="2D066889" w14:textId="77777777" w:rsidR="00A77B3E" w:rsidRPr="00800D1B" w:rsidRDefault="00623E14" w:rsidP="005719E0">
            <w:pPr>
              <w:spacing w:before="100" w:after="100"/>
              <w:ind w:left="-72"/>
              <w:jc w:val="right"/>
              <w:rPr>
                <w:color w:val="000000"/>
                <w:sz w:val="12"/>
                <w:lang w:val="sv-SE"/>
              </w:rPr>
            </w:pPr>
            <w:r w:rsidRPr="00800D1B">
              <w:rPr>
                <w:color w:val="000000"/>
                <w:sz w:val="12"/>
                <w:lang w:val="sv-SE"/>
              </w:rPr>
              <w:t>8 000 248,00</w:t>
            </w:r>
          </w:p>
        </w:tc>
        <w:tc>
          <w:tcPr>
            <w:tcW w:w="987" w:type="dxa"/>
          </w:tcPr>
          <w:p w14:paraId="2D06688A" w14:textId="77777777" w:rsidR="00A77B3E" w:rsidRPr="00800D1B" w:rsidRDefault="00623E14" w:rsidP="005719E0">
            <w:pPr>
              <w:spacing w:before="100" w:after="100"/>
              <w:ind w:left="-72"/>
              <w:jc w:val="right"/>
              <w:rPr>
                <w:color w:val="000000"/>
                <w:sz w:val="12"/>
                <w:lang w:val="sv-SE"/>
              </w:rPr>
            </w:pPr>
            <w:r w:rsidRPr="00800D1B">
              <w:rPr>
                <w:color w:val="000000"/>
                <w:sz w:val="12"/>
                <w:lang w:val="sv-SE"/>
              </w:rPr>
              <w:t>298 764,00</w:t>
            </w:r>
          </w:p>
        </w:tc>
        <w:tc>
          <w:tcPr>
            <w:tcW w:w="992" w:type="dxa"/>
          </w:tcPr>
          <w:p w14:paraId="2D06688B" w14:textId="77777777" w:rsidR="00A77B3E" w:rsidRPr="00800D1B" w:rsidRDefault="00623E14" w:rsidP="005719E0">
            <w:pPr>
              <w:spacing w:before="100" w:after="100"/>
              <w:ind w:left="-72"/>
              <w:jc w:val="right"/>
              <w:rPr>
                <w:color w:val="000000"/>
                <w:sz w:val="12"/>
                <w:lang w:val="sv-SE"/>
              </w:rPr>
            </w:pPr>
            <w:r w:rsidRPr="00800D1B">
              <w:rPr>
                <w:color w:val="000000"/>
                <w:sz w:val="12"/>
                <w:lang w:val="sv-SE"/>
              </w:rPr>
              <w:t>13 831 686,00</w:t>
            </w:r>
          </w:p>
        </w:tc>
        <w:tc>
          <w:tcPr>
            <w:tcW w:w="1198" w:type="dxa"/>
          </w:tcPr>
          <w:p w14:paraId="2D06688C" w14:textId="77777777" w:rsidR="00A77B3E" w:rsidRPr="00800D1B" w:rsidRDefault="00623E14" w:rsidP="005719E0">
            <w:pPr>
              <w:spacing w:before="100" w:after="100"/>
              <w:ind w:left="-72"/>
              <w:jc w:val="right"/>
              <w:rPr>
                <w:color w:val="000000"/>
                <w:sz w:val="12"/>
                <w:lang w:val="sv-SE"/>
              </w:rPr>
            </w:pPr>
            <w:r w:rsidRPr="00800D1B">
              <w:rPr>
                <w:color w:val="000000"/>
                <w:sz w:val="12"/>
                <w:lang w:val="sv-SE"/>
              </w:rPr>
              <w:t>39,9999971081%</w:t>
            </w:r>
          </w:p>
        </w:tc>
      </w:tr>
      <w:tr w:rsidR="003422DB" w:rsidRPr="00800D1B" w14:paraId="2D06689D" w14:textId="77777777" w:rsidTr="00A26CDD">
        <w:tc>
          <w:tcPr>
            <w:tcW w:w="991" w:type="dxa"/>
          </w:tcPr>
          <w:p w14:paraId="2D06688E" w14:textId="77777777" w:rsidR="00A77B3E" w:rsidRPr="00800D1B" w:rsidRDefault="00623E14" w:rsidP="005719E0">
            <w:pPr>
              <w:spacing w:before="100" w:after="100"/>
              <w:ind w:left="-72"/>
              <w:rPr>
                <w:color w:val="000000"/>
                <w:sz w:val="12"/>
                <w:lang w:val="sv-SE"/>
              </w:rPr>
            </w:pPr>
            <w:r w:rsidRPr="00800D1B">
              <w:rPr>
                <w:color w:val="000000"/>
                <w:sz w:val="12"/>
                <w:lang w:val="sv-SE"/>
              </w:rPr>
              <w:t>1</w:t>
            </w:r>
          </w:p>
        </w:tc>
        <w:tc>
          <w:tcPr>
            <w:tcW w:w="976" w:type="dxa"/>
          </w:tcPr>
          <w:p w14:paraId="2D06688F" w14:textId="77777777" w:rsidR="00A77B3E" w:rsidRPr="00800D1B" w:rsidRDefault="00623E14" w:rsidP="005719E0">
            <w:pPr>
              <w:spacing w:before="100" w:after="100"/>
              <w:ind w:left="-72"/>
              <w:rPr>
                <w:color w:val="000000"/>
                <w:sz w:val="12"/>
                <w:lang w:val="sv-SE"/>
              </w:rPr>
            </w:pPr>
            <w:r w:rsidRPr="00800D1B">
              <w:rPr>
                <w:color w:val="000000"/>
                <w:sz w:val="12"/>
                <w:lang w:val="sv-SE"/>
              </w:rPr>
              <w:t>2</w:t>
            </w:r>
          </w:p>
        </w:tc>
        <w:tc>
          <w:tcPr>
            <w:tcW w:w="1111" w:type="dxa"/>
          </w:tcPr>
          <w:p w14:paraId="2D066890" w14:textId="77777777" w:rsidR="00A77B3E" w:rsidRPr="00800D1B" w:rsidRDefault="00623E14" w:rsidP="005719E0">
            <w:pPr>
              <w:spacing w:before="100" w:after="100"/>
              <w:ind w:left="-72"/>
              <w:rPr>
                <w:color w:val="000000"/>
                <w:sz w:val="12"/>
                <w:lang w:val="sv-SE"/>
              </w:rPr>
            </w:pPr>
            <w:r w:rsidRPr="00800D1B">
              <w:rPr>
                <w:color w:val="000000"/>
                <w:sz w:val="12"/>
                <w:lang w:val="sv-SE"/>
              </w:rPr>
              <w:t>Totalt</w:t>
            </w:r>
          </w:p>
        </w:tc>
        <w:tc>
          <w:tcPr>
            <w:tcW w:w="953" w:type="dxa"/>
          </w:tcPr>
          <w:p w14:paraId="2D066891" w14:textId="77777777" w:rsidR="00A77B3E" w:rsidRPr="00800D1B" w:rsidRDefault="00623E14" w:rsidP="005719E0">
            <w:pPr>
              <w:spacing w:before="100" w:after="100"/>
              <w:ind w:left="-72"/>
              <w:rPr>
                <w:color w:val="000000"/>
                <w:sz w:val="12"/>
                <w:lang w:val="sv-SE"/>
              </w:rPr>
            </w:pPr>
            <w:r w:rsidRPr="00800D1B">
              <w:rPr>
                <w:color w:val="000000"/>
                <w:sz w:val="12"/>
                <w:lang w:val="sv-SE"/>
              </w:rPr>
              <w:t>Eruf</w:t>
            </w:r>
          </w:p>
        </w:tc>
        <w:tc>
          <w:tcPr>
            <w:tcW w:w="996" w:type="dxa"/>
          </w:tcPr>
          <w:p w14:paraId="2D066892" w14:textId="77777777" w:rsidR="00A77B3E" w:rsidRPr="00800D1B" w:rsidRDefault="00623E14" w:rsidP="00B55BCE">
            <w:pPr>
              <w:spacing w:before="60" w:after="60"/>
              <w:ind w:left="-72"/>
              <w:rPr>
                <w:color w:val="000000"/>
                <w:sz w:val="12"/>
                <w:lang w:val="sv-SE"/>
              </w:rPr>
            </w:pPr>
            <w:r w:rsidRPr="00800D1B">
              <w:rPr>
                <w:color w:val="000000"/>
                <w:sz w:val="12"/>
                <w:lang w:val="sv-SE"/>
              </w:rPr>
              <w:t>De yttersta randområdena eller de nordliga glesbefolkade områdena</w:t>
            </w:r>
          </w:p>
        </w:tc>
        <w:tc>
          <w:tcPr>
            <w:tcW w:w="1048" w:type="dxa"/>
          </w:tcPr>
          <w:p w14:paraId="2D066893" w14:textId="77777777" w:rsidR="00A77B3E" w:rsidRPr="00800D1B" w:rsidRDefault="00623E14" w:rsidP="005719E0">
            <w:pPr>
              <w:spacing w:before="100" w:after="100"/>
              <w:ind w:left="-72"/>
              <w:jc w:val="right"/>
              <w:rPr>
                <w:color w:val="000000"/>
                <w:sz w:val="12"/>
                <w:lang w:val="sv-SE"/>
              </w:rPr>
            </w:pPr>
            <w:r w:rsidRPr="00800D1B">
              <w:rPr>
                <w:color w:val="000000"/>
                <w:sz w:val="12"/>
                <w:lang w:val="sv-SE"/>
              </w:rPr>
              <w:t>10 000 668,00</w:t>
            </w:r>
          </w:p>
        </w:tc>
        <w:tc>
          <w:tcPr>
            <w:tcW w:w="992" w:type="dxa"/>
          </w:tcPr>
          <w:p w14:paraId="2D066894" w14:textId="77777777" w:rsidR="00A77B3E" w:rsidRPr="00800D1B" w:rsidRDefault="00623E14" w:rsidP="005719E0">
            <w:pPr>
              <w:spacing w:before="100" w:after="100"/>
              <w:ind w:left="-72"/>
              <w:jc w:val="right"/>
              <w:rPr>
                <w:color w:val="000000"/>
                <w:sz w:val="12"/>
                <w:lang w:val="sv-SE"/>
              </w:rPr>
            </w:pPr>
            <w:r w:rsidRPr="00800D1B">
              <w:rPr>
                <w:color w:val="000000"/>
                <w:sz w:val="12"/>
                <w:lang w:val="sv-SE"/>
              </w:rPr>
              <w:t>8 213 028,00</w:t>
            </w:r>
          </w:p>
        </w:tc>
        <w:tc>
          <w:tcPr>
            <w:tcW w:w="982" w:type="dxa"/>
          </w:tcPr>
          <w:p w14:paraId="2D066895" w14:textId="77777777" w:rsidR="00A77B3E" w:rsidRPr="00800D1B" w:rsidRDefault="00623E14" w:rsidP="005719E0">
            <w:pPr>
              <w:spacing w:before="100" w:after="100"/>
              <w:ind w:left="-72"/>
              <w:jc w:val="right"/>
              <w:rPr>
                <w:color w:val="000000"/>
                <w:sz w:val="12"/>
                <w:lang w:val="sv-SE"/>
              </w:rPr>
            </w:pPr>
            <w:r w:rsidRPr="00800D1B">
              <w:rPr>
                <w:color w:val="000000"/>
                <w:sz w:val="12"/>
                <w:lang w:val="sv-SE"/>
              </w:rPr>
              <w:t>287 456,00</w:t>
            </w:r>
          </w:p>
        </w:tc>
        <w:tc>
          <w:tcPr>
            <w:tcW w:w="987" w:type="dxa"/>
          </w:tcPr>
          <w:p w14:paraId="2D066896" w14:textId="77777777" w:rsidR="00A77B3E" w:rsidRPr="00800D1B" w:rsidRDefault="00623E14" w:rsidP="005719E0">
            <w:pPr>
              <w:spacing w:before="100" w:after="100"/>
              <w:ind w:left="-72"/>
              <w:jc w:val="right"/>
              <w:rPr>
                <w:color w:val="000000"/>
                <w:sz w:val="12"/>
                <w:lang w:val="sv-SE"/>
              </w:rPr>
            </w:pPr>
            <w:r w:rsidRPr="00800D1B">
              <w:rPr>
                <w:color w:val="000000"/>
                <w:sz w:val="12"/>
                <w:lang w:val="sv-SE"/>
              </w:rPr>
              <w:t>1 449 454,00</w:t>
            </w:r>
          </w:p>
        </w:tc>
        <w:tc>
          <w:tcPr>
            <w:tcW w:w="975" w:type="dxa"/>
          </w:tcPr>
          <w:p w14:paraId="2D066897" w14:textId="77777777" w:rsidR="00A77B3E" w:rsidRPr="00800D1B" w:rsidRDefault="00623E14" w:rsidP="005719E0">
            <w:pPr>
              <w:spacing w:before="100" w:after="100"/>
              <w:ind w:left="-72"/>
              <w:jc w:val="right"/>
              <w:rPr>
                <w:color w:val="000000"/>
                <w:sz w:val="12"/>
                <w:lang w:val="sv-SE"/>
              </w:rPr>
            </w:pPr>
            <w:r w:rsidRPr="00800D1B">
              <w:rPr>
                <w:color w:val="000000"/>
                <w:sz w:val="12"/>
                <w:lang w:val="sv-SE"/>
              </w:rPr>
              <w:t>50 730,00</w:t>
            </w:r>
          </w:p>
        </w:tc>
        <w:tc>
          <w:tcPr>
            <w:tcW w:w="992" w:type="dxa"/>
          </w:tcPr>
          <w:p w14:paraId="2D066898" w14:textId="77777777" w:rsidR="00A77B3E" w:rsidRPr="00800D1B" w:rsidRDefault="00623E14" w:rsidP="005719E0">
            <w:pPr>
              <w:spacing w:before="100" w:after="100"/>
              <w:ind w:left="-72"/>
              <w:jc w:val="right"/>
              <w:rPr>
                <w:color w:val="000000"/>
                <w:sz w:val="12"/>
                <w:lang w:val="sv-SE"/>
              </w:rPr>
            </w:pPr>
            <w:r w:rsidRPr="00800D1B">
              <w:rPr>
                <w:color w:val="000000"/>
                <w:sz w:val="12"/>
                <w:lang w:val="sv-SE"/>
              </w:rPr>
              <w:t>15 001 002,00</w:t>
            </w:r>
          </w:p>
        </w:tc>
        <w:tc>
          <w:tcPr>
            <w:tcW w:w="992" w:type="dxa"/>
          </w:tcPr>
          <w:p w14:paraId="2D066899" w14:textId="77777777" w:rsidR="00A77B3E" w:rsidRPr="00800D1B" w:rsidRDefault="00623E14" w:rsidP="005719E0">
            <w:pPr>
              <w:spacing w:before="100" w:after="100"/>
              <w:ind w:left="-72"/>
              <w:jc w:val="right"/>
              <w:rPr>
                <w:color w:val="000000"/>
                <w:sz w:val="12"/>
                <w:lang w:val="sv-SE"/>
              </w:rPr>
            </w:pPr>
            <w:r w:rsidRPr="00800D1B">
              <w:rPr>
                <w:color w:val="000000"/>
                <w:sz w:val="12"/>
                <w:lang w:val="sv-SE"/>
              </w:rPr>
              <w:t>14 460 966,00</w:t>
            </w:r>
          </w:p>
        </w:tc>
        <w:tc>
          <w:tcPr>
            <w:tcW w:w="987" w:type="dxa"/>
          </w:tcPr>
          <w:p w14:paraId="2D06689A" w14:textId="77777777" w:rsidR="00A77B3E" w:rsidRPr="00800D1B" w:rsidRDefault="00623E14" w:rsidP="005719E0">
            <w:pPr>
              <w:spacing w:before="100" w:after="100"/>
              <w:ind w:left="-72"/>
              <w:jc w:val="right"/>
              <w:rPr>
                <w:color w:val="000000"/>
                <w:sz w:val="12"/>
                <w:lang w:val="sv-SE"/>
              </w:rPr>
            </w:pPr>
            <w:r w:rsidRPr="00800D1B">
              <w:rPr>
                <w:color w:val="000000"/>
                <w:sz w:val="12"/>
                <w:lang w:val="sv-SE"/>
              </w:rPr>
              <w:t>540 036,00</w:t>
            </w:r>
          </w:p>
        </w:tc>
        <w:tc>
          <w:tcPr>
            <w:tcW w:w="992" w:type="dxa"/>
          </w:tcPr>
          <w:p w14:paraId="2D06689B" w14:textId="77777777" w:rsidR="00A77B3E" w:rsidRPr="00800D1B" w:rsidRDefault="00623E14" w:rsidP="005719E0">
            <w:pPr>
              <w:spacing w:before="100" w:after="100"/>
              <w:ind w:left="-72"/>
              <w:jc w:val="right"/>
              <w:rPr>
                <w:color w:val="000000"/>
                <w:sz w:val="12"/>
                <w:lang w:val="sv-SE"/>
              </w:rPr>
            </w:pPr>
            <w:r w:rsidRPr="00800D1B">
              <w:rPr>
                <w:color w:val="000000"/>
                <w:sz w:val="12"/>
                <w:lang w:val="sv-SE"/>
              </w:rPr>
              <w:t>25 001 670,00</w:t>
            </w:r>
          </w:p>
        </w:tc>
        <w:tc>
          <w:tcPr>
            <w:tcW w:w="1198" w:type="dxa"/>
          </w:tcPr>
          <w:p w14:paraId="2D06689C" w14:textId="77777777" w:rsidR="00A77B3E" w:rsidRPr="00800D1B" w:rsidRDefault="00623E14" w:rsidP="005719E0">
            <w:pPr>
              <w:spacing w:before="100" w:after="100"/>
              <w:ind w:left="-72"/>
              <w:jc w:val="right"/>
              <w:rPr>
                <w:color w:val="000000"/>
                <w:sz w:val="12"/>
                <w:lang w:val="sv-SE"/>
              </w:rPr>
            </w:pPr>
            <w:r w:rsidRPr="00800D1B">
              <w:rPr>
                <w:color w:val="000000"/>
                <w:sz w:val="12"/>
                <w:lang w:val="sv-SE"/>
              </w:rPr>
              <w:t>40,0000000000%</w:t>
            </w:r>
          </w:p>
        </w:tc>
      </w:tr>
      <w:tr w:rsidR="003422DB" w:rsidRPr="00800D1B" w14:paraId="2D0668AD" w14:textId="77777777" w:rsidTr="00A26CDD">
        <w:tc>
          <w:tcPr>
            <w:tcW w:w="991" w:type="dxa"/>
          </w:tcPr>
          <w:p w14:paraId="2D06689E" w14:textId="77777777" w:rsidR="00A77B3E" w:rsidRPr="00800D1B" w:rsidRDefault="00623E14" w:rsidP="005719E0">
            <w:pPr>
              <w:spacing w:before="100" w:after="100"/>
              <w:ind w:left="-72"/>
              <w:rPr>
                <w:color w:val="000000"/>
                <w:sz w:val="12"/>
                <w:lang w:val="sv-SE"/>
              </w:rPr>
            </w:pPr>
            <w:r w:rsidRPr="00800D1B">
              <w:rPr>
                <w:color w:val="000000"/>
                <w:sz w:val="12"/>
                <w:lang w:val="sv-SE"/>
              </w:rPr>
              <w:t>1</w:t>
            </w:r>
          </w:p>
        </w:tc>
        <w:tc>
          <w:tcPr>
            <w:tcW w:w="976" w:type="dxa"/>
          </w:tcPr>
          <w:p w14:paraId="2D06689F" w14:textId="77777777" w:rsidR="00A77B3E" w:rsidRPr="00800D1B" w:rsidRDefault="00623E14" w:rsidP="005719E0">
            <w:pPr>
              <w:spacing w:before="100" w:after="100"/>
              <w:ind w:left="-72"/>
              <w:rPr>
                <w:color w:val="000000"/>
                <w:sz w:val="12"/>
                <w:lang w:val="sv-SE"/>
              </w:rPr>
            </w:pPr>
            <w:r w:rsidRPr="00800D1B">
              <w:rPr>
                <w:color w:val="000000"/>
                <w:sz w:val="12"/>
                <w:lang w:val="sv-SE"/>
              </w:rPr>
              <w:t>3</w:t>
            </w:r>
          </w:p>
        </w:tc>
        <w:tc>
          <w:tcPr>
            <w:tcW w:w="1111" w:type="dxa"/>
          </w:tcPr>
          <w:p w14:paraId="2D0668A0" w14:textId="77777777" w:rsidR="00A77B3E" w:rsidRPr="00800D1B" w:rsidRDefault="00623E14" w:rsidP="005719E0">
            <w:pPr>
              <w:spacing w:before="100" w:after="100"/>
              <w:ind w:left="-72"/>
              <w:rPr>
                <w:color w:val="000000"/>
                <w:sz w:val="12"/>
                <w:lang w:val="sv-SE"/>
              </w:rPr>
            </w:pPr>
            <w:r w:rsidRPr="00800D1B">
              <w:rPr>
                <w:color w:val="000000"/>
                <w:sz w:val="12"/>
                <w:lang w:val="sv-SE"/>
              </w:rPr>
              <w:t>Totalt</w:t>
            </w:r>
          </w:p>
        </w:tc>
        <w:tc>
          <w:tcPr>
            <w:tcW w:w="953" w:type="dxa"/>
          </w:tcPr>
          <w:p w14:paraId="2D0668A1" w14:textId="77777777" w:rsidR="00A77B3E" w:rsidRPr="00800D1B" w:rsidRDefault="00623E14" w:rsidP="005719E0">
            <w:pPr>
              <w:spacing w:before="100" w:after="100"/>
              <w:ind w:left="-72"/>
              <w:rPr>
                <w:color w:val="000000"/>
                <w:sz w:val="12"/>
                <w:lang w:val="sv-SE"/>
              </w:rPr>
            </w:pPr>
            <w:r w:rsidRPr="00800D1B">
              <w:rPr>
                <w:color w:val="000000"/>
                <w:sz w:val="12"/>
                <w:lang w:val="sv-SE"/>
              </w:rPr>
              <w:t>Eruf</w:t>
            </w:r>
          </w:p>
        </w:tc>
        <w:tc>
          <w:tcPr>
            <w:tcW w:w="996" w:type="dxa"/>
          </w:tcPr>
          <w:p w14:paraId="2D0668A2" w14:textId="77777777" w:rsidR="00A77B3E" w:rsidRPr="00800D1B" w:rsidRDefault="00623E14" w:rsidP="00B55BCE">
            <w:pPr>
              <w:spacing w:before="60" w:after="60"/>
              <w:ind w:left="-72"/>
              <w:rPr>
                <w:color w:val="000000"/>
                <w:sz w:val="12"/>
                <w:lang w:val="sv-SE"/>
              </w:rPr>
            </w:pPr>
            <w:r w:rsidRPr="00800D1B">
              <w:rPr>
                <w:color w:val="000000"/>
                <w:sz w:val="12"/>
                <w:lang w:val="sv-SE"/>
              </w:rPr>
              <w:t>Mer utvecklade regioner</w:t>
            </w:r>
          </w:p>
        </w:tc>
        <w:tc>
          <w:tcPr>
            <w:tcW w:w="1048" w:type="dxa"/>
          </w:tcPr>
          <w:p w14:paraId="2D0668A3" w14:textId="77777777" w:rsidR="00A77B3E" w:rsidRPr="00800D1B" w:rsidRDefault="00623E14" w:rsidP="005719E0">
            <w:pPr>
              <w:spacing w:before="100" w:after="100"/>
              <w:ind w:left="-72"/>
              <w:jc w:val="right"/>
              <w:rPr>
                <w:color w:val="000000"/>
                <w:sz w:val="12"/>
                <w:lang w:val="sv-SE"/>
              </w:rPr>
            </w:pPr>
            <w:r w:rsidRPr="00800D1B">
              <w:rPr>
                <w:color w:val="000000"/>
                <w:sz w:val="12"/>
                <w:lang w:val="sv-SE"/>
              </w:rPr>
              <w:t>51 120 115,00</w:t>
            </w:r>
          </w:p>
        </w:tc>
        <w:tc>
          <w:tcPr>
            <w:tcW w:w="992" w:type="dxa"/>
          </w:tcPr>
          <w:p w14:paraId="2D0668A4" w14:textId="77777777" w:rsidR="00A77B3E" w:rsidRPr="00800D1B" w:rsidRDefault="00623E14" w:rsidP="005719E0">
            <w:pPr>
              <w:spacing w:before="100" w:after="100"/>
              <w:ind w:left="-72"/>
              <w:jc w:val="right"/>
              <w:rPr>
                <w:color w:val="000000"/>
                <w:sz w:val="12"/>
                <w:lang w:val="sv-SE"/>
              </w:rPr>
            </w:pPr>
            <w:r w:rsidRPr="00800D1B">
              <w:rPr>
                <w:color w:val="000000"/>
                <w:sz w:val="12"/>
                <w:lang w:val="sv-SE"/>
              </w:rPr>
              <w:t>41 981 986,00</w:t>
            </w:r>
          </w:p>
        </w:tc>
        <w:tc>
          <w:tcPr>
            <w:tcW w:w="982" w:type="dxa"/>
          </w:tcPr>
          <w:p w14:paraId="2D0668A5" w14:textId="77777777" w:rsidR="00A77B3E" w:rsidRPr="00800D1B" w:rsidRDefault="00623E14" w:rsidP="005719E0">
            <w:pPr>
              <w:spacing w:before="100" w:after="100"/>
              <w:ind w:left="-72"/>
              <w:jc w:val="right"/>
              <w:rPr>
                <w:color w:val="000000"/>
                <w:sz w:val="12"/>
                <w:lang w:val="sv-SE"/>
              </w:rPr>
            </w:pPr>
            <w:r w:rsidRPr="00800D1B">
              <w:rPr>
                <w:color w:val="000000"/>
                <w:sz w:val="12"/>
                <w:lang w:val="sv-SE"/>
              </w:rPr>
              <w:t>1 469 369,00</w:t>
            </w:r>
          </w:p>
        </w:tc>
        <w:tc>
          <w:tcPr>
            <w:tcW w:w="987" w:type="dxa"/>
          </w:tcPr>
          <w:p w14:paraId="2D0668A6" w14:textId="77777777" w:rsidR="00A77B3E" w:rsidRPr="00800D1B" w:rsidRDefault="00623E14" w:rsidP="005719E0">
            <w:pPr>
              <w:spacing w:before="100" w:after="100"/>
              <w:ind w:left="-72"/>
              <w:jc w:val="right"/>
              <w:rPr>
                <w:color w:val="000000"/>
                <w:sz w:val="12"/>
                <w:lang w:val="sv-SE"/>
              </w:rPr>
            </w:pPr>
            <w:r w:rsidRPr="00800D1B">
              <w:rPr>
                <w:color w:val="000000"/>
                <w:sz w:val="12"/>
                <w:lang w:val="sv-SE"/>
              </w:rPr>
              <w:t>7 409 430,00</w:t>
            </w:r>
          </w:p>
        </w:tc>
        <w:tc>
          <w:tcPr>
            <w:tcW w:w="975" w:type="dxa"/>
          </w:tcPr>
          <w:p w14:paraId="2D0668A7" w14:textId="77777777" w:rsidR="00A77B3E" w:rsidRPr="00800D1B" w:rsidRDefault="00623E14" w:rsidP="005719E0">
            <w:pPr>
              <w:spacing w:before="100" w:after="100"/>
              <w:ind w:left="-72"/>
              <w:jc w:val="right"/>
              <w:rPr>
                <w:color w:val="000000"/>
                <w:sz w:val="12"/>
                <w:lang w:val="sv-SE"/>
              </w:rPr>
            </w:pPr>
            <w:r w:rsidRPr="00800D1B">
              <w:rPr>
                <w:color w:val="000000"/>
                <w:sz w:val="12"/>
                <w:lang w:val="sv-SE"/>
              </w:rPr>
              <w:t>259 330,00</w:t>
            </w:r>
          </w:p>
        </w:tc>
        <w:tc>
          <w:tcPr>
            <w:tcW w:w="992" w:type="dxa"/>
          </w:tcPr>
          <w:p w14:paraId="2D0668A8" w14:textId="77777777" w:rsidR="00A77B3E" w:rsidRPr="00800D1B" w:rsidRDefault="00623E14" w:rsidP="005719E0">
            <w:pPr>
              <w:spacing w:before="100" w:after="100"/>
              <w:ind w:left="-72"/>
              <w:jc w:val="right"/>
              <w:rPr>
                <w:color w:val="000000"/>
                <w:sz w:val="12"/>
                <w:lang w:val="sv-SE"/>
              </w:rPr>
            </w:pPr>
            <w:r w:rsidRPr="00800D1B">
              <w:rPr>
                <w:color w:val="000000"/>
                <w:sz w:val="12"/>
                <w:lang w:val="sv-SE"/>
              </w:rPr>
              <w:t>76 680 173,00</w:t>
            </w:r>
          </w:p>
        </w:tc>
        <w:tc>
          <w:tcPr>
            <w:tcW w:w="992" w:type="dxa"/>
          </w:tcPr>
          <w:p w14:paraId="2D0668A9" w14:textId="77777777" w:rsidR="00A77B3E" w:rsidRPr="00800D1B" w:rsidRDefault="00623E14" w:rsidP="005719E0">
            <w:pPr>
              <w:spacing w:before="100" w:after="100"/>
              <w:ind w:left="-72"/>
              <w:jc w:val="right"/>
              <w:rPr>
                <w:color w:val="000000"/>
                <w:sz w:val="12"/>
                <w:lang w:val="sv-SE"/>
              </w:rPr>
            </w:pPr>
            <w:r w:rsidRPr="00800D1B">
              <w:rPr>
                <w:color w:val="000000"/>
                <w:sz w:val="12"/>
                <w:lang w:val="sv-SE"/>
              </w:rPr>
              <w:t>67 478 552,00</w:t>
            </w:r>
          </w:p>
        </w:tc>
        <w:tc>
          <w:tcPr>
            <w:tcW w:w="987" w:type="dxa"/>
          </w:tcPr>
          <w:p w14:paraId="2D0668AA" w14:textId="77777777" w:rsidR="00A77B3E" w:rsidRPr="00800D1B" w:rsidRDefault="00623E14" w:rsidP="005719E0">
            <w:pPr>
              <w:spacing w:before="100" w:after="100"/>
              <w:ind w:left="-72"/>
              <w:jc w:val="right"/>
              <w:rPr>
                <w:color w:val="000000"/>
                <w:sz w:val="12"/>
                <w:lang w:val="sv-SE"/>
              </w:rPr>
            </w:pPr>
            <w:r w:rsidRPr="00800D1B">
              <w:rPr>
                <w:color w:val="000000"/>
                <w:sz w:val="12"/>
                <w:lang w:val="sv-SE"/>
              </w:rPr>
              <w:t>9 201 621,00</w:t>
            </w:r>
          </w:p>
        </w:tc>
        <w:tc>
          <w:tcPr>
            <w:tcW w:w="992" w:type="dxa"/>
          </w:tcPr>
          <w:p w14:paraId="2D0668AB" w14:textId="77777777" w:rsidR="00A77B3E" w:rsidRPr="00800D1B" w:rsidRDefault="00623E14" w:rsidP="005719E0">
            <w:pPr>
              <w:spacing w:before="100" w:after="100"/>
              <w:ind w:left="-72"/>
              <w:jc w:val="right"/>
              <w:rPr>
                <w:color w:val="000000"/>
                <w:sz w:val="12"/>
                <w:lang w:val="sv-SE"/>
              </w:rPr>
            </w:pPr>
            <w:r w:rsidRPr="00800D1B">
              <w:rPr>
                <w:color w:val="000000"/>
                <w:sz w:val="12"/>
                <w:lang w:val="sv-SE"/>
              </w:rPr>
              <w:t>127 800 288,00</w:t>
            </w:r>
          </w:p>
        </w:tc>
        <w:tc>
          <w:tcPr>
            <w:tcW w:w="1198" w:type="dxa"/>
          </w:tcPr>
          <w:p w14:paraId="2D0668AC" w14:textId="77777777" w:rsidR="00A77B3E" w:rsidRPr="00800D1B" w:rsidRDefault="00623E14" w:rsidP="005719E0">
            <w:pPr>
              <w:spacing w:before="100" w:after="100"/>
              <w:ind w:left="-72"/>
              <w:jc w:val="right"/>
              <w:rPr>
                <w:color w:val="000000"/>
                <w:sz w:val="12"/>
                <w:lang w:val="sv-SE"/>
              </w:rPr>
            </w:pPr>
            <w:r w:rsidRPr="00800D1B">
              <w:rPr>
                <w:color w:val="000000"/>
                <w:sz w:val="12"/>
                <w:lang w:val="sv-SE"/>
              </w:rPr>
              <w:t>39,9999998435%</w:t>
            </w:r>
          </w:p>
        </w:tc>
      </w:tr>
      <w:tr w:rsidR="003422DB" w:rsidRPr="00800D1B" w14:paraId="2D0668BD" w14:textId="77777777" w:rsidTr="00A26CDD">
        <w:tc>
          <w:tcPr>
            <w:tcW w:w="991" w:type="dxa"/>
          </w:tcPr>
          <w:p w14:paraId="2D0668AE" w14:textId="77777777" w:rsidR="00A77B3E" w:rsidRPr="00800D1B" w:rsidRDefault="00623E14" w:rsidP="005719E0">
            <w:pPr>
              <w:spacing w:before="100" w:after="100"/>
              <w:ind w:left="-72"/>
              <w:rPr>
                <w:color w:val="000000"/>
                <w:sz w:val="12"/>
                <w:lang w:val="sv-SE"/>
              </w:rPr>
            </w:pPr>
            <w:r w:rsidRPr="00800D1B">
              <w:rPr>
                <w:color w:val="000000"/>
                <w:sz w:val="12"/>
                <w:lang w:val="sv-SE"/>
              </w:rPr>
              <w:t>1</w:t>
            </w:r>
          </w:p>
        </w:tc>
        <w:tc>
          <w:tcPr>
            <w:tcW w:w="976" w:type="dxa"/>
          </w:tcPr>
          <w:p w14:paraId="2D0668AF" w14:textId="77777777" w:rsidR="00A77B3E" w:rsidRPr="00800D1B" w:rsidRDefault="00623E14" w:rsidP="005719E0">
            <w:pPr>
              <w:spacing w:before="100" w:after="100"/>
              <w:ind w:left="-72"/>
              <w:rPr>
                <w:color w:val="000000"/>
                <w:sz w:val="12"/>
                <w:lang w:val="sv-SE"/>
              </w:rPr>
            </w:pPr>
            <w:r w:rsidRPr="00800D1B">
              <w:rPr>
                <w:color w:val="000000"/>
                <w:sz w:val="12"/>
                <w:lang w:val="sv-SE"/>
              </w:rPr>
              <w:t>3</w:t>
            </w:r>
          </w:p>
        </w:tc>
        <w:tc>
          <w:tcPr>
            <w:tcW w:w="1111" w:type="dxa"/>
          </w:tcPr>
          <w:p w14:paraId="2D0668B0" w14:textId="77777777" w:rsidR="00A77B3E" w:rsidRPr="00800D1B" w:rsidRDefault="00623E14" w:rsidP="005719E0">
            <w:pPr>
              <w:spacing w:before="100" w:after="100"/>
              <w:ind w:left="-72"/>
              <w:rPr>
                <w:color w:val="000000"/>
                <w:sz w:val="12"/>
                <w:lang w:val="sv-SE"/>
              </w:rPr>
            </w:pPr>
            <w:r w:rsidRPr="00800D1B">
              <w:rPr>
                <w:color w:val="000000"/>
                <w:sz w:val="12"/>
                <w:lang w:val="sv-SE"/>
              </w:rPr>
              <w:t>Totalt</w:t>
            </w:r>
          </w:p>
        </w:tc>
        <w:tc>
          <w:tcPr>
            <w:tcW w:w="953" w:type="dxa"/>
          </w:tcPr>
          <w:p w14:paraId="2D0668B1" w14:textId="77777777" w:rsidR="00A77B3E" w:rsidRPr="00800D1B" w:rsidRDefault="00623E14" w:rsidP="005719E0">
            <w:pPr>
              <w:spacing w:before="100" w:after="100"/>
              <w:ind w:left="-72"/>
              <w:rPr>
                <w:color w:val="000000"/>
                <w:sz w:val="12"/>
                <w:lang w:val="sv-SE"/>
              </w:rPr>
            </w:pPr>
            <w:r w:rsidRPr="00800D1B">
              <w:rPr>
                <w:color w:val="000000"/>
                <w:sz w:val="12"/>
                <w:lang w:val="sv-SE"/>
              </w:rPr>
              <w:t>Eruf</w:t>
            </w:r>
          </w:p>
        </w:tc>
        <w:tc>
          <w:tcPr>
            <w:tcW w:w="996" w:type="dxa"/>
          </w:tcPr>
          <w:p w14:paraId="2D0668B2" w14:textId="77777777" w:rsidR="00A77B3E" w:rsidRPr="00800D1B" w:rsidRDefault="00623E14" w:rsidP="00B55BCE">
            <w:pPr>
              <w:spacing w:before="60" w:after="60"/>
              <w:ind w:left="-72"/>
              <w:rPr>
                <w:color w:val="000000"/>
                <w:sz w:val="12"/>
                <w:lang w:val="sv-SE"/>
              </w:rPr>
            </w:pPr>
            <w:r w:rsidRPr="00800D1B">
              <w:rPr>
                <w:color w:val="000000"/>
                <w:sz w:val="12"/>
                <w:lang w:val="sv-SE"/>
              </w:rPr>
              <w:t>De yttersta randområdena eller de nordliga glesbefolkade områdena</w:t>
            </w:r>
          </w:p>
        </w:tc>
        <w:tc>
          <w:tcPr>
            <w:tcW w:w="1048" w:type="dxa"/>
          </w:tcPr>
          <w:p w14:paraId="2D0668B3" w14:textId="77777777" w:rsidR="00A77B3E" w:rsidRPr="00800D1B" w:rsidRDefault="00623E14" w:rsidP="005719E0">
            <w:pPr>
              <w:spacing w:before="100" w:after="100"/>
              <w:ind w:left="-72"/>
              <w:jc w:val="right"/>
              <w:rPr>
                <w:color w:val="000000"/>
                <w:sz w:val="12"/>
                <w:lang w:val="sv-SE"/>
              </w:rPr>
            </w:pPr>
            <w:r w:rsidRPr="00800D1B">
              <w:rPr>
                <w:color w:val="000000"/>
                <w:sz w:val="12"/>
                <w:lang w:val="sv-SE"/>
              </w:rPr>
              <w:t>30 165 372,00</w:t>
            </w:r>
          </w:p>
        </w:tc>
        <w:tc>
          <w:tcPr>
            <w:tcW w:w="992" w:type="dxa"/>
          </w:tcPr>
          <w:p w14:paraId="2D0668B4" w14:textId="77777777" w:rsidR="00A77B3E" w:rsidRPr="00800D1B" w:rsidRDefault="00623E14" w:rsidP="005719E0">
            <w:pPr>
              <w:spacing w:before="100" w:after="100"/>
              <w:ind w:left="-72"/>
              <w:jc w:val="right"/>
              <w:rPr>
                <w:color w:val="000000"/>
                <w:sz w:val="12"/>
                <w:lang w:val="sv-SE"/>
              </w:rPr>
            </w:pPr>
            <w:r w:rsidRPr="00800D1B">
              <w:rPr>
                <w:color w:val="000000"/>
                <w:sz w:val="12"/>
                <w:lang w:val="sv-SE"/>
              </w:rPr>
              <w:t>24 773 248,00</w:t>
            </w:r>
          </w:p>
        </w:tc>
        <w:tc>
          <w:tcPr>
            <w:tcW w:w="982" w:type="dxa"/>
          </w:tcPr>
          <w:p w14:paraId="2D0668B5" w14:textId="77777777" w:rsidR="00A77B3E" w:rsidRPr="00800D1B" w:rsidRDefault="00623E14" w:rsidP="005719E0">
            <w:pPr>
              <w:spacing w:before="100" w:after="100"/>
              <w:ind w:left="-72"/>
              <w:jc w:val="right"/>
              <w:rPr>
                <w:color w:val="000000"/>
                <w:sz w:val="12"/>
                <w:lang w:val="sv-SE"/>
              </w:rPr>
            </w:pPr>
            <w:r w:rsidRPr="00800D1B">
              <w:rPr>
                <w:color w:val="000000"/>
                <w:sz w:val="12"/>
                <w:lang w:val="sv-SE"/>
              </w:rPr>
              <w:t>867 064,00</w:t>
            </w:r>
          </w:p>
        </w:tc>
        <w:tc>
          <w:tcPr>
            <w:tcW w:w="987" w:type="dxa"/>
          </w:tcPr>
          <w:p w14:paraId="2D0668B6" w14:textId="77777777" w:rsidR="00A77B3E" w:rsidRPr="00800D1B" w:rsidRDefault="00623E14" w:rsidP="005719E0">
            <w:pPr>
              <w:spacing w:before="100" w:after="100"/>
              <w:ind w:left="-72"/>
              <w:jc w:val="right"/>
              <w:rPr>
                <w:color w:val="000000"/>
                <w:sz w:val="12"/>
                <w:lang w:val="sv-SE"/>
              </w:rPr>
            </w:pPr>
            <w:r w:rsidRPr="00800D1B">
              <w:rPr>
                <w:color w:val="000000"/>
                <w:sz w:val="12"/>
                <w:lang w:val="sv-SE"/>
              </w:rPr>
              <w:t>4 372 039,00</w:t>
            </w:r>
          </w:p>
        </w:tc>
        <w:tc>
          <w:tcPr>
            <w:tcW w:w="975" w:type="dxa"/>
          </w:tcPr>
          <w:p w14:paraId="2D0668B7" w14:textId="77777777" w:rsidR="00A77B3E" w:rsidRPr="00800D1B" w:rsidRDefault="00623E14" w:rsidP="005719E0">
            <w:pPr>
              <w:spacing w:before="100" w:after="100"/>
              <w:ind w:left="-72"/>
              <w:jc w:val="right"/>
              <w:rPr>
                <w:color w:val="000000"/>
                <w:sz w:val="12"/>
                <w:lang w:val="sv-SE"/>
              </w:rPr>
            </w:pPr>
            <w:r w:rsidRPr="00800D1B">
              <w:rPr>
                <w:color w:val="000000"/>
                <w:sz w:val="12"/>
                <w:lang w:val="sv-SE"/>
              </w:rPr>
              <w:t>153 021,00</w:t>
            </w:r>
          </w:p>
        </w:tc>
        <w:tc>
          <w:tcPr>
            <w:tcW w:w="992" w:type="dxa"/>
          </w:tcPr>
          <w:p w14:paraId="2D0668B8" w14:textId="77777777" w:rsidR="00A77B3E" w:rsidRPr="00800D1B" w:rsidRDefault="00623E14" w:rsidP="005719E0">
            <w:pPr>
              <w:spacing w:before="100" w:after="100"/>
              <w:ind w:left="-72"/>
              <w:jc w:val="right"/>
              <w:rPr>
                <w:color w:val="000000"/>
                <w:sz w:val="12"/>
                <w:lang w:val="sv-SE"/>
              </w:rPr>
            </w:pPr>
            <w:r w:rsidRPr="00800D1B">
              <w:rPr>
                <w:color w:val="000000"/>
                <w:sz w:val="12"/>
                <w:lang w:val="sv-SE"/>
              </w:rPr>
              <w:t>45 248 058,00</w:t>
            </w:r>
          </w:p>
        </w:tc>
        <w:tc>
          <w:tcPr>
            <w:tcW w:w="992" w:type="dxa"/>
          </w:tcPr>
          <w:p w14:paraId="2D0668B9" w14:textId="77777777" w:rsidR="00A77B3E" w:rsidRPr="00800D1B" w:rsidRDefault="00623E14" w:rsidP="005719E0">
            <w:pPr>
              <w:spacing w:before="100" w:after="100"/>
              <w:ind w:left="-72"/>
              <w:jc w:val="right"/>
              <w:rPr>
                <w:color w:val="000000"/>
                <w:sz w:val="12"/>
                <w:lang w:val="sv-SE"/>
              </w:rPr>
            </w:pPr>
            <w:r w:rsidRPr="00800D1B">
              <w:rPr>
                <w:color w:val="000000"/>
                <w:sz w:val="12"/>
                <w:lang w:val="sv-SE"/>
              </w:rPr>
              <w:t>43 619 128,00</w:t>
            </w:r>
          </w:p>
        </w:tc>
        <w:tc>
          <w:tcPr>
            <w:tcW w:w="987" w:type="dxa"/>
          </w:tcPr>
          <w:p w14:paraId="2D0668BA" w14:textId="77777777" w:rsidR="00A77B3E" w:rsidRPr="00800D1B" w:rsidRDefault="00623E14" w:rsidP="005719E0">
            <w:pPr>
              <w:spacing w:before="100" w:after="100"/>
              <w:ind w:left="-72"/>
              <w:jc w:val="right"/>
              <w:rPr>
                <w:color w:val="000000"/>
                <w:sz w:val="12"/>
                <w:lang w:val="sv-SE"/>
              </w:rPr>
            </w:pPr>
            <w:r w:rsidRPr="00800D1B">
              <w:rPr>
                <w:color w:val="000000"/>
                <w:sz w:val="12"/>
                <w:lang w:val="sv-SE"/>
              </w:rPr>
              <w:t>1 628 930,00</w:t>
            </w:r>
          </w:p>
        </w:tc>
        <w:tc>
          <w:tcPr>
            <w:tcW w:w="992" w:type="dxa"/>
          </w:tcPr>
          <w:p w14:paraId="2D0668BB" w14:textId="77777777" w:rsidR="00A77B3E" w:rsidRPr="00800D1B" w:rsidRDefault="00623E14" w:rsidP="005719E0">
            <w:pPr>
              <w:spacing w:before="100" w:after="100"/>
              <w:ind w:left="-72"/>
              <w:jc w:val="right"/>
              <w:rPr>
                <w:color w:val="000000"/>
                <w:sz w:val="12"/>
                <w:lang w:val="sv-SE"/>
              </w:rPr>
            </w:pPr>
            <w:r w:rsidRPr="00800D1B">
              <w:rPr>
                <w:color w:val="000000"/>
                <w:sz w:val="12"/>
                <w:lang w:val="sv-SE"/>
              </w:rPr>
              <w:t>75 413 430,00</w:t>
            </w:r>
          </w:p>
        </w:tc>
        <w:tc>
          <w:tcPr>
            <w:tcW w:w="1198" w:type="dxa"/>
          </w:tcPr>
          <w:p w14:paraId="2D0668BC" w14:textId="77777777" w:rsidR="00A77B3E" w:rsidRPr="00800D1B" w:rsidRDefault="00623E14" w:rsidP="005719E0">
            <w:pPr>
              <w:spacing w:before="100" w:after="100"/>
              <w:ind w:left="-72"/>
              <w:jc w:val="right"/>
              <w:rPr>
                <w:color w:val="000000"/>
                <w:sz w:val="12"/>
                <w:lang w:val="sv-SE"/>
              </w:rPr>
            </w:pPr>
            <w:r w:rsidRPr="00800D1B">
              <w:rPr>
                <w:color w:val="000000"/>
                <w:sz w:val="12"/>
                <w:lang w:val="sv-SE"/>
              </w:rPr>
              <w:t>40,0000000000%</w:t>
            </w:r>
          </w:p>
        </w:tc>
      </w:tr>
      <w:tr w:rsidR="003422DB" w:rsidRPr="00800D1B" w14:paraId="2D0668CD" w14:textId="77777777" w:rsidTr="00A26CDD">
        <w:tc>
          <w:tcPr>
            <w:tcW w:w="991" w:type="dxa"/>
          </w:tcPr>
          <w:p w14:paraId="2D0668BE" w14:textId="77777777" w:rsidR="00A77B3E" w:rsidRPr="00800D1B" w:rsidRDefault="00623E14" w:rsidP="005719E0">
            <w:pPr>
              <w:spacing w:before="100" w:after="100"/>
              <w:ind w:left="-72"/>
              <w:rPr>
                <w:color w:val="000000"/>
                <w:sz w:val="12"/>
                <w:lang w:val="sv-SE"/>
              </w:rPr>
            </w:pPr>
            <w:r w:rsidRPr="00800D1B">
              <w:rPr>
                <w:color w:val="000000"/>
                <w:sz w:val="12"/>
                <w:lang w:val="sv-SE"/>
              </w:rPr>
              <w:t>2</w:t>
            </w:r>
          </w:p>
        </w:tc>
        <w:tc>
          <w:tcPr>
            <w:tcW w:w="976" w:type="dxa"/>
          </w:tcPr>
          <w:p w14:paraId="2D0668BF" w14:textId="77777777" w:rsidR="00A77B3E" w:rsidRPr="00800D1B" w:rsidRDefault="00623E14" w:rsidP="005719E0">
            <w:pPr>
              <w:spacing w:before="100" w:after="100"/>
              <w:ind w:left="-72"/>
              <w:rPr>
                <w:color w:val="000000"/>
                <w:sz w:val="12"/>
                <w:lang w:val="sv-SE"/>
              </w:rPr>
            </w:pPr>
            <w:r w:rsidRPr="00800D1B">
              <w:rPr>
                <w:color w:val="000000"/>
                <w:sz w:val="12"/>
                <w:lang w:val="sv-SE"/>
              </w:rPr>
              <w:t>4</w:t>
            </w:r>
          </w:p>
        </w:tc>
        <w:tc>
          <w:tcPr>
            <w:tcW w:w="1111" w:type="dxa"/>
          </w:tcPr>
          <w:p w14:paraId="2D0668C0" w14:textId="77777777" w:rsidR="00A77B3E" w:rsidRPr="00800D1B" w:rsidRDefault="00623E14" w:rsidP="005719E0">
            <w:pPr>
              <w:spacing w:before="100" w:after="100"/>
              <w:ind w:left="-72"/>
              <w:rPr>
                <w:color w:val="000000"/>
                <w:sz w:val="12"/>
                <w:lang w:val="sv-SE"/>
              </w:rPr>
            </w:pPr>
            <w:r w:rsidRPr="00800D1B">
              <w:rPr>
                <w:color w:val="000000"/>
                <w:sz w:val="12"/>
                <w:lang w:val="sv-SE"/>
              </w:rPr>
              <w:t>Totalt</w:t>
            </w:r>
          </w:p>
        </w:tc>
        <w:tc>
          <w:tcPr>
            <w:tcW w:w="953" w:type="dxa"/>
          </w:tcPr>
          <w:p w14:paraId="2D0668C1" w14:textId="77777777" w:rsidR="00A77B3E" w:rsidRPr="00800D1B" w:rsidRDefault="00623E14" w:rsidP="005719E0">
            <w:pPr>
              <w:spacing w:before="100" w:after="100"/>
              <w:ind w:left="-72"/>
              <w:rPr>
                <w:color w:val="000000"/>
                <w:sz w:val="12"/>
                <w:lang w:val="sv-SE"/>
              </w:rPr>
            </w:pPr>
            <w:r w:rsidRPr="00800D1B">
              <w:rPr>
                <w:color w:val="000000"/>
                <w:sz w:val="12"/>
                <w:lang w:val="sv-SE"/>
              </w:rPr>
              <w:t>Eruf</w:t>
            </w:r>
          </w:p>
        </w:tc>
        <w:tc>
          <w:tcPr>
            <w:tcW w:w="996" w:type="dxa"/>
          </w:tcPr>
          <w:p w14:paraId="2D0668C2" w14:textId="77777777" w:rsidR="00A77B3E" w:rsidRPr="00800D1B" w:rsidRDefault="00623E14" w:rsidP="00B55BCE">
            <w:pPr>
              <w:spacing w:before="60" w:after="60"/>
              <w:ind w:left="-72"/>
              <w:rPr>
                <w:color w:val="000000"/>
                <w:sz w:val="12"/>
                <w:lang w:val="sv-SE"/>
              </w:rPr>
            </w:pPr>
            <w:r w:rsidRPr="00800D1B">
              <w:rPr>
                <w:color w:val="000000"/>
                <w:sz w:val="12"/>
                <w:lang w:val="sv-SE"/>
              </w:rPr>
              <w:t>Mer utvecklade regioner</w:t>
            </w:r>
          </w:p>
        </w:tc>
        <w:tc>
          <w:tcPr>
            <w:tcW w:w="1048" w:type="dxa"/>
          </w:tcPr>
          <w:p w14:paraId="2D0668C3" w14:textId="77777777" w:rsidR="00A77B3E" w:rsidRPr="00800D1B" w:rsidRDefault="00623E14" w:rsidP="005719E0">
            <w:pPr>
              <w:spacing w:before="100" w:after="100"/>
              <w:ind w:left="-72"/>
              <w:jc w:val="right"/>
              <w:rPr>
                <w:color w:val="000000"/>
                <w:sz w:val="12"/>
                <w:lang w:val="sv-SE"/>
              </w:rPr>
            </w:pPr>
            <w:r w:rsidRPr="00800D1B">
              <w:rPr>
                <w:color w:val="000000"/>
                <w:sz w:val="12"/>
                <w:lang w:val="sv-SE"/>
              </w:rPr>
              <w:t>34 220 941,00</w:t>
            </w:r>
          </w:p>
        </w:tc>
        <w:tc>
          <w:tcPr>
            <w:tcW w:w="992" w:type="dxa"/>
          </w:tcPr>
          <w:p w14:paraId="2D0668C4" w14:textId="77777777" w:rsidR="00A77B3E" w:rsidRPr="00800D1B" w:rsidRDefault="00623E14" w:rsidP="005719E0">
            <w:pPr>
              <w:spacing w:before="100" w:after="100"/>
              <w:ind w:left="-72"/>
              <w:jc w:val="right"/>
              <w:rPr>
                <w:color w:val="000000"/>
                <w:sz w:val="12"/>
                <w:lang w:val="sv-SE"/>
              </w:rPr>
            </w:pPr>
            <w:r w:rsidRPr="00800D1B">
              <w:rPr>
                <w:color w:val="000000"/>
                <w:sz w:val="12"/>
                <w:lang w:val="sv-SE"/>
              </w:rPr>
              <w:t>28 103 675,00</w:t>
            </w:r>
          </w:p>
        </w:tc>
        <w:tc>
          <w:tcPr>
            <w:tcW w:w="982" w:type="dxa"/>
          </w:tcPr>
          <w:p w14:paraId="2D0668C5" w14:textId="77777777" w:rsidR="00A77B3E" w:rsidRPr="00800D1B" w:rsidRDefault="00623E14" w:rsidP="005719E0">
            <w:pPr>
              <w:spacing w:before="100" w:after="100"/>
              <w:ind w:left="-72"/>
              <w:jc w:val="right"/>
              <w:rPr>
                <w:color w:val="000000"/>
                <w:sz w:val="12"/>
                <w:lang w:val="sv-SE"/>
              </w:rPr>
            </w:pPr>
            <w:r w:rsidRPr="00800D1B">
              <w:rPr>
                <w:color w:val="000000"/>
                <w:sz w:val="12"/>
                <w:lang w:val="sv-SE"/>
              </w:rPr>
              <w:t>983 628,00</w:t>
            </w:r>
          </w:p>
        </w:tc>
        <w:tc>
          <w:tcPr>
            <w:tcW w:w="987" w:type="dxa"/>
          </w:tcPr>
          <w:p w14:paraId="2D0668C6" w14:textId="77777777" w:rsidR="00A77B3E" w:rsidRPr="00800D1B" w:rsidRDefault="00623E14" w:rsidP="005719E0">
            <w:pPr>
              <w:spacing w:before="100" w:after="100"/>
              <w:ind w:left="-72"/>
              <w:jc w:val="right"/>
              <w:rPr>
                <w:color w:val="000000"/>
                <w:sz w:val="12"/>
                <w:lang w:val="sv-SE"/>
              </w:rPr>
            </w:pPr>
            <w:r w:rsidRPr="00800D1B">
              <w:rPr>
                <w:color w:val="000000"/>
                <w:sz w:val="12"/>
                <w:lang w:val="sv-SE"/>
              </w:rPr>
              <w:t>4 960 037,00</w:t>
            </w:r>
          </w:p>
        </w:tc>
        <w:tc>
          <w:tcPr>
            <w:tcW w:w="975" w:type="dxa"/>
          </w:tcPr>
          <w:p w14:paraId="2D0668C7" w14:textId="77777777" w:rsidR="00A77B3E" w:rsidRPr="00800D1B" w:rsidRDefault="00623E14" w:rsidP="005719E0">
            <w:pPr>
              <w:spacing w:before="100" w:after="100"/>
              <w:ind w:left="-72"/>
              <w:jc w:val="right"/>
              <w:rPr>
                <w:color w:val="000000"/>
                <w:sz w:val="12"/>
                <w:lang w:val="sv-SE"/>
              </w:rPr>
            </w:pPr>
            <w:r w:rsidRPr="00800D1B">
              <w:rPr>
                <w:color w:val="000000"/>
                <w:sz w:val="12"/>
                <w:lang w:val="sv-SE"/>
              </w:rPr>
              <w:t>173 601,00</w:t>
            </w:r>
          </w:p>
        </w:tc>
        <w:tc>
          <w:tcPr>
            <w:tcW w:w="992" w:type="dxa"/>
          </w:tcPr>
          <w:p w14:paraId="2D0668C8" w14:textId="77777777" w:rsidR="00A77B3E" w:rsidRPr="00800D1B" w:rsidRDefault="00623E14" w:rsidP="005719E0">
            <w:pPr>
              <w:spacing w:before="100" w:after="100"/>
              <w:ind w:left="-72"/>
              <w:jc w:val="right"/>
              <w:rPr>
                <w:color w:val="000000"/>
                <w:sz w:val="12"/>
                <w:lang w:val="sv-SE"/>
              </w:rPr>
            </w:pPr>
            <w:r w:rsidRPr="00800D1B">
              <w:rPr>
                <w:color w:val="000000"/>
                <w:sz w:val="12"/>
                <w:lang w:val="sv-SE"/>
              </w:rPr>
              <w:t>51 331 412,00</w:t>
            </w:r>
          </w:p>
        </w:tc>
        <w:tc>
          <w:tcPr>
            <w:tcW w:w="992" w:type="dxa"/>
          </w:tcPr>
          <w:p w14:paraId="2D0668C9" w14:textId="77777777" w:rsidR="00A77B3E" w:rsidRPr="00800D1B" w:rsidRDefault="00623E14" w:rsidP="005719E0">
            <w:pPr>
              <w:spacing w:before="100" w:after="100"/>
              <w:ind w:left="-72"/>
              <w:jc w:val="right"/>
              <w:rPr>
                <w:color w:val="000000"/>
                <w:sz w:val="12"/>
                <w:lang w:val="sv-SE"/>
              </w:rPr>
            </w:pPr>
            <w:r w:rsidRPr="00800D1B">
              <w:rPr>
                <w:color w:val="000000"/>
                <w:sz w:val="12"/>
                <w:lang w:val="sv-SE"/>
              </w:rPr>
              <w:t>46 198 271,00</w:t>
            </w:r>
          </w:p>
        </w:tc>
        <w:tc>
          <w:tcPr>
            <w:tcW w:w="987" w:type="dxa"/>
          </w:tcPr>
          <w:p w14:paraId="2D0668CA" w14:textId="77777777" w:rsidR="00A77B3E" w:rsidRPr="00800D1B" w:rsidRDefault="00623E14" w:rsidP="005719E0">
            <w:pPr>
              <w:spacing w:before="100" w:after="100"/>
              <w:ind w:left="-72"/>
              <w:jc w:val="right"/>
              <w:rPr>
                <w:color w:val="000000"/>
                <w:sz w:val="12"/>
                <w:lang w:val="sv-SE"/>
              </w:rPr>
            </w:pPr>
            <w:r w:rsidRPr="00800D1B">
              <w:rPr>
                <w:color w:val="000000"/>
                <w:sz w:val="12"/>
                <w:lang w:val="sv-SE"/>
              </w:rPr>
              <w:t>5 133 141,00</w:t>
            </w:r>
          </w:p>
        </w:tc>
        <w:tc>
          <w:tcPr>
            <w:tcW w:w="992" w:type="dxa"/>
          </w:tcPr>
          <w:p w14:paraId="2D0668CB" w14:textId="77777777" w:rsidR="00A77B3E" w:rsidRPr="00800D1B" w:rsidRDefault="00623E14" w:rsidP="005719E0">
            <w:pPr>
              <w:spacing w:before="100" w:after="100"/>
              <w:ind w:left="-72"/>
              <w:jc w:val="right"/>
              <w:rPr>
                <w:color w:val="000000"/>
                <w:sz w:val="12"/>
                <w:lang w:val="sv-SE"/>
              </w:rPr>
            </w:pPr>
            <w:r w:rsidRPr="00800D1B">
              <w:rPr>
                <w:color w:val="000000"/>
                <w:sz w:val="12"/>
                <w:lang w:val="sv-SE"/>
              </w:rPr>
              <w:t>85 552 353,00</w:t>
            </w:r>
          </w:p>
        </w:tc>
        <w:tc>
          <w:tcPr>
            <w:tcW w:w="1198" w:type="dxa"/>
          </w:tcPr>
          <w:p w14:paraId="2D0668CC" w14:textId="77777777" w:rsidR="00A77B3E" w:rsidRPr="00800D1B" w:rsidRDefault="00623E14" w:rsidP="005719E0">
            <w:pPr>
              <w:spacing w:before="100" w:after="100"/>
              <w:ind w:left="-72"/>
              <w:jc w:val="right"/>
              <w:rPr>
                <w:color w:val="000000"/>
                <w:sz w:val="12"/>
                <w:lang w:val="sv-SE"/>
              </w:rPr>
            </w:pPr>
            <w:r w:rsidRPr="00800D1B">
              <w:rPr>
                <w:color w:val="000000"/>
                <w:sz w:val="12"/>
                <w:lang w:val="sv-SE"/>
              </w:rPr>
              <w:t>39,9999997662%</w:t>
            </w:r>
          </w:p>
        </w:tc>
      </w:tr>
      <w:tr w:rsidR="003422DB" w:rsidRPr="00800D1B" w14:paraId="2D0668DD" w14:textId="77777777" w:rsidTr="00A26CDD">
        <w:tc>
          <w:tcPr>
            <w:tcW w:w="991" w:type="dxa"/>
          </w:tcPr>
          <w:p w14:paraId="2D0668CE" w14:textId="77777777" w:rsidR="00A77B3E" w:rsidRPr="00800D1B" w:rsidRDefault="00623E14" w:rsidP="005719E0">
            <w:pPr>
              <w:spacing w:before="100" w:after="100"/>
              <w:ind w:left="-72"/>
              <w:rPr>
                <w:color w:val="000000"/>
                <w:sz w:val="12"/>
                <w:lang w:val="sv-SE"/>
              </w:rPr>
            </w:pPr>
            <w:r w:rsidRPr="00800D1B">
              <w:rPr>
                <w:color w:val="000000"/>
                <w:sz w:val="12"/>
                <w:lang w:val="sv-SE"/>
              </w:rPr>
              <w:t>3</w:t>
            </w:r>
          </w:p>
        </w:tc>
        <w:tc>
          <w:tcPr>
            <w:tcW w:w="976" w:type="dxa"/>
          </w:tcPr>
          <w:p w14:paraId="2D0668CF" w14:textId="77777777" w:rsidR="00A77B3E" w:rsidRPr="00800D1B" w:rsidRDefault="00623E14" w:rsidP="005719E0">
            <w:pPr>
              <w:spacing w:before="100" w:after="100"/>
              <w:ind w:left="-72"/>
              <w:rPr>
                <w:color w:val="000000"/>
                <w:sz w:val="12"/>
                <w:lang w:val="sv-SE"/>
              </w:rPr>
            </w:pPr>
            <w:r w:rsidRPr="00800D1B">
              <w:rPr>
                <w:color w:val="000000"/>
                <w:sz w:val="12"/>
                <w:lang w:val="sv-SE"/>
              </w:rPr>
              <w:t>5</w:t>
            </w:r>
          </w:p>
        </w:tc>
        <w:tc>
          <w:tcPr>
            <w:tcW w:w="1111" w:type="dxa"/>
          </w:tcPr>
          <w:p w14:paraId="2D0668D0" w14:textId="77777777" w:rsidR="00A77B3E" w:rsidRPr="00800D1B" w:rsidRDefault="00623E14" w:rsidP="005719E0">
            <w:pPr>
              <w:spacing w:before="100" w:after="100"/>
              <w:ind w:left="-72"/>
              <w:rPr>
                <w:color w:val="000000"/>
                <w:sz w:val="12"/>
                <w:lang w:val="sv-SE"/>
              </w:rPr>
            </w:pPr>
            <w:r w:rsidRPr="00800D1B">
              <w:rPr>
                <w:color w:val="000000"/>
                <w:sz w:val="12"/>
                <w:lang w:val="sv-SE"/>
              </w:rPr>
              <w:t>Totalt</w:t>
            </w:r>
          </w:p>
        </w:tc>
        <w:tc>
          <w:tcPr>
            <w:tcW w:w="953" w:type="dxa"/>
          </w:tcPr>
          <w:p w14:paraId="2D0668D1" w14:textId="77777777" w:rsidR="00A77B3E" w:rsidRPr="00800D1B" w:rsidRDefault="00623E14" w:rsidP="005719E0">
            <w:pPr>
              <w:spacing w:before="100" w:after="100"/>
              <w:ind w:left="-72"/>
              <w:rPr>
                <w:color w:val="000000"/>
                <w:sz w:val="12"/>
                <w:lang w:val="sv-SE"/>
              </w:rPr>
            </w:pPr>
            <w:r w:rsidRPr="00800D1B">
              <w:rPr>
                <w:color w:val="000000"/>
                <w:sz w:val="12"/>
                <w:lang w:val="sv-SE"/>
              </w:rPr>
              <w:t>Eruf</w:t>
            </w:r>
          </w:p>
        </w:tc>
        <w:tc>
          <w:tcPr>
            <w:tcW w:w="996" w:type="dxa"/>
          </w:tcPr>
          <w:p w14:paraId="2D0668D2" w14:textId="77777777" w:rsidR="00A77B3E" w:rsidRPr="00800D1B" w:rsidRDefault="00623E14" w:rsidP="00B55BCE">
            <w:pPr>
              <w:spacing w:before="60" w:after="60"/>
              <w:ind w:left="-72"/>
              <w:rPr>
                <w:color w:val="000000"/>
                <w:sz w:val="12"/>
                <w:lang w:val="sv-SE"/>
              </w:rPr>
            </w:pPr>
            <w:r w:rsidRPr="00800D1B">
              <w:rPr>
                <w:color w:val="000000"/>
                <w:sz w:val="12"/>
                <w:lang w:val="sv-SE"/>
              </w:rPr>
              <w:t>De yttersta randområdena eller de nordliga glesbefolkade områdena</w:t>
            </w:r>
          </w:p>
        </w:tc>
        <w:tc>
          <w:tcPr>
            <w:tcW w:w="1048" w:type="dxa"/>
          </w:tcPr>
          <w:p w14:paraId="2D0668D3" w14:textId="77777777" w:rsidR="00A77B3E" w:rsidRPr="00800D1B" w:rsidRDefault="00623E14" w:rsidP="005719E0">
            <w:pPr>
              <w:spacing w:before="100" w:after="100"/>
              <w:ind w:left="-72"/>
              <w:jc w:val="right"/>
              <w:rPr>
                <w:color w:val="000000"/>
                <w:sz w:val="12"/>
                <w:lang w:val="sv-SE"/>
              </w:rPr>
            </w:pPr>
            <w:r w:rsidRPr="00800D1B">
              <w:rPr>
                <w:color w:val="000000"/>
                <w:sz w:val="12"/>
                <w:lang w:val="sv-SE"/>
              </w:rPr>
              <w:t>36 512 462,00</w:t>
            </w:r>
          </w:p>
        </w:tc>
        <w:tc>
          <w:tcPr>
            <w:tcW w:w="992" w:type="dxa"/>
          </w:tcPr>
          <w:p w14:paraId="2D0668D4" w14:textId="77777777" w:rsidR="00A77B3E" w:rsidRPr="00800D1B" w:rsidRDefault="00623E14" w:rsidP="005719E0">
            <w:pPr>
              <w:spacing w:before="100" w:after="100"/>
              <w:ind w:left="-72"/>
              <w:jc w:val="right"/>
              <w:rPr>
                <w:color w:val="000000"/>
                <w:sz w:val="12"/>
                <w:lang w:val="sv-SE"/>
              </w:rPr>
            </w:pPr>
            <w:r w:rsidRPr="00800D1B">
              <w:rPr>
                <w:color w:val="000000"/>
                <w:sz w:val="12"/>
                <w:lang w:val="sv-SE"/>
              </w:rPr>
              <w:t>29 985 783,00</w:t>
            </w:r>
          </w:p>
        </w:tc>
        <w:tc>
          <w:tcPr>
            <w:tcW w:w="982" w:type="dxa"/>
          </w:tcPr>
          <w:p w14:paraId="2D0668D5" w14:textId="77777777" w:rsidR="00A77B3E" w:rsidRPr="00800D1B" w:rsidRDefault="00623E14" w:rsidP="005719E0">
            <w:pPr>
              <w:spacing w:before="100" w:after="100"/>
              <w:ind w:left="-72"/>
              <w:jc w:val="right"/>
              <w:rPr>
                <w:color w:val="000000"/>
                <w:sz w:val="12"/>
                <w:lang w:val="sv-SE"/>
              </w:rPr>
            </w:pPr>
            <w:r w:rsidRPr="00800D1B">
              <w:rPr>
                <w:color w:val="000000"/>
                <w:sz w:val="12"/>
                <w:lang w:val="sv-SE"/>
              </w:rPr>
              <w:t>1 049 502,00</w:t>
            </w:r>
          </w:p>
        </w:tc>
        <w:tc>
          <w:tcPr>
            <w:tcW w:w="987" w:type="dxa"/>
          </w:tcPr>
          <w:p w14:paraId="2D0668D6" w14:textId="77777777" w:rsidR="00A77B3E" w:rsidRPr="00800D1B" w:rsidRDefault="00623E14" w:rsidP="005719E0">
            <w:pPr>
              <w:spacing w:before="100" w:after="100"/>
              <w:ind w:left="-72"/>
              <w:jc w:val="right"/>
              <w:rPr>
                <w:color w:val="000000"/>
                <w:sz w:val="12"/>
                <w:lang w:val="sv-SE"/>
              </w:rPr>
            </w:pPr>
            <w:r w:rsidRPr="00800D1B">
              <w:rPr>
                <w:color w:val="000000"/>
                <w:sz w:val="12"/>
                <w:lang w:val="sv-SE"/>
              </w:rPr>
              <w:t>5 291 959,00</w:t>
            </w:r>
          </w:p>
        </w:tc>
        <w:tc>
          <w:tcPr>
            <w:tcW w:w="975" w:type="dxa"/>
          </w:tcPr>
          <w:p w14:paraId="2D0668D7" w14:textId="77777777" w:rsidR="00A77B3E" w:rsidRPr="00800D1B" w:rsidRDefault="00623E14" w:rsidP="005719E0">
            <w:pPr>
              <w:spacing w:before="100" w:after="100"/>
              <w:ind w:left="-72"/>
              <w:jc w:val="right"/>
              <w:rPr>
                <w:color w:val="000000"/>
                <w:sz w:val="12"/>
                <w:lang w:val="sv-SE"/>
              </w:rPr>
            </w:pPr>
            <w:r w:rsidRPr="00800D1B">
              <w:rPr>
                <w:color w:val="000000"/>
                <w:sz w:val="12"/>
                <w:lang w:val="sv-SE"/>
              </w:rPr>
              <w:t>185 218,00</w:t>
            </w:r>
          </w:p>
        </w:tc>
        <w:tc>
          <w:tcPr>
            <w:tcW w:w="992" w:type="dxa"/>
          </w:tcPr>
          <w:p w14:paraId="2D0668D8" w14:textId="77777777" w:rsidR="00A77B3E" w:rsidRPr="00800D1B" w:rsidRDefault="00623E14" w:rsidP="005719E0">
            <w:pPr>
              <w:spacing w:before="100" w:after="100"/>
              <w:ind w:left="-72"/>
              <w:jc w:val="right"/>
              <w:rPr>
                <w:color w:val="000000"/>
                <w:sz w:val="12"/>
                <w:lang w:val="sv-SE"/>
              </w:rPr>
            </w:pPr>
            <w:r w:rsidRPr="00800D1B">
              <w:rPr>
                <w:color w:val="000000"/>
                <w:sz w:val="12"/>
                <w:lang w:val="sv-SE"/>
              </w:rPr>
              <w:t>54 768 693,00</w:t>
            </w:r>
          </w:p>
        </w:tc>
        <w:tc>
          <w:tcPr>
            <w:tcW w:w="992" w:type="dxa"/>
          </w:tcPr>
          <w:p w14:paraId="2D0668D9" w14:textId="77777777" w:rsidR="00A77B3E" w:rsidRPr="00800D1B" w:rsidRDefault="00623E14" w:rsidP="005719E0">
            <w:pPr>
              <w:spacing w:before="100" w:after="100"/>
              <w:ind w:left="-72"/>
              <w:jc w:val="right"/>
              <w:rPr>
                <w:color w:val="000000"/>
                <w:sz w:val="12"/>
                <w:lang w:val="sv-SE"/>
              </w:rPr>
            </w:pPr>
            <w:r w:rsidRPr="00800D1B">
              <w:rPr>
                <w:color w:val="000000"/>
                <w:sz w:val="12"/>
                <w:lang w:val="sv-SE"/>
              </w:rPr>
              <w:t>52 030 259,00</w:t>
            </w:r>
          </w:p>
        </w:tc>
        <w:tc>
          <w:tcPr>
            <w:tcW w:w="987" w:type="dxa"/>
          </w:tcPr>
          <w:p w14:paraId="2D0668DA" w14:textId="77777777" w:rsidR="00A77B3E" w:rsidRPr="00800D1B" w:rsidRDefault="00623E14" w:rsidP="005719E0">
            <w:pPr>
              <w:spacing w:before="100" w:after="100"/>
              <w:ind w:left="-72"/>
              <w:jc w:val="right"/>
              <w:rPr>
                <w:color w:val="000000"/>
                <w:sz w:val="12"/>
                <w:lang w:val="sv-SE"/>
              </w:rPr>
            </w:pPr>
            <w:r w:rsidRPr="00800D1B">
              <w:rPr>
                <w:color w:val="000000"/>
                <w:sz w:val="12"/>
                <w:lang w:val="sv-SE"/>
              </w:rPr>
              <w:t>2 738 434,00</w:t>
            </w:r>
          </w:p>
        </w:tc>
        <w:tc>
          <w:tcPr>
            <w:tcW w:w="992" w:type="dxa"/>
          </w:tcPr>
          <w:p w14:paraId="2D0668DB" w14:textId="77777777" w:rsidR="00A77B3E" w:rsidRPr="00800D1B" w:rsidRDefault="00623E14" w:rsidP="005719E0">
            <w:pPr>
              <w:spacing w:before="100" w:after="100"/>
              <w:ind w:left="-72"/>
              <w:jc w:val="right"/>
              <w:rPr>
                <w:color w:val="000000"/>
                <w:sz w:val="12"/>
                <w:lang w:val="sv-SE"/>
              </w:rPr>
            </w:pPr>
            <w:r w:rsidRPr="00800D1B">
              <w:rPr>
                <w:color w:val="000000"/>
                <w:sz w:val="12"/>
                <w:lang w:val="sv-SE"/>
              </w:rPr>
              <w:t>91 281 155,00</w:t>
            </w:r>
          </w:p>
        </w:tc>
        <w:tc>
          <w:tcPr>
            <w:tcW w:w="1198" w:type="dxa"/>
          </w:tcPr>
          <w:p w14:paraId="2D0668DC" w14:textId="77777777" w:rsidR="00A77B3E" w:rsidRPr="00800D1B" w:rsidRDefault="00623E14" w:rsidP="005719E0">
            <w:pPr>
              <w:spacing w:before="100" w:after="100"/>
              <w:ind w:left="-72"/>
              <w:jc w:val="right"/>
              <w:rPr>
                <w:color w:val="000000"/>
                <w:sz w:val="12"/>
                <w:lang w:val="sv-SE"/>
              </w:rPr>
            </w:pPr>
            <w:r w:rsidRPr="00800D1B">
              <w:rPr>
                <w:color w:val="000000"/>
                <w:sz w:val="12"/>
                <w:lang w:val="sv-SE"/>
              </w:rPr>
              <w:t>40,0000000000%</w:t>
            </w:r>
          </w:p>
        </w:tc>
      </w:tr>
      <w:tr w:rsidR="003422DB" w:rsidRPr="00800D1B" w14:paraId="2D0668ED" w14:textId="77777777" w:rsidTr="00A26CDD">
        <w:tc>
          <w:tcPr>
            <w:tcW w:w="991" w:type="dxa"/>
          </w:tcPr>
          <w:p w14:paraId="2D0668DE" w14:textId="77777777" w:rsidR="00A77B3E" w:rsidRPr="00800D1B" w:rsidRDefault="00623E14" w:rsidP="005719E0">
            <w:pPr>
              <w:spacing w:before="100" w:after="100"/>
              <w:ind w:left="-72"/>
              <w:rPr>
                <w:color w:val="000000"/>
                <w:sz w:val="12"/>
                <w:lang w:val="sv-SE"/>
              </w:rPr>
            </w:pPr>
            <w:r w:rsidRPr="00800D1B">
              <w:rPr>
                <w:color w:val="000000"/>
                <w:sz w:val="12"/>
                <w:lang w:val="sv-SE"/>
              </w:rPr>
              <w:t>Totalt</w:t>
            </w:r>
          </w:p>
        </w:tc>
        <w:tc>
          <w:tcPr>
            <w:tcW w:w="976" w:type="dxa"/>
          </w:tcPr>
          <w:p w14:paraId="2D0668DF" w14:textId="77777777" w:rsidR="00A77B3E" w:rsidRPr="00800D1B" w:rsidRDefault="00A77B3E" w:rsidP="005719E0">
            <w:pPr>
              <w:spacing w:before="100" w:after="100"/>
              <w:ind w:left="-72"/>
              <w:rPr>
                <w:color w:val="000000"/>
                <w:sz w:val="12"/>
                <w:lang w:val="sv-SE"/>
              </w:rPr>
            </w:pPr>
          </w:p>
        </w:tc>
        <w:tc>
          <w:tcPr>
            <w:tcW w:w="1111" w:type="dxa"/>
          </w:tcPr>
          <w:p w14:paraId="2D0668E0" w14:textId="77777777" w:rsidR="00A77B3E" w:rsidRPr="00800D1B" w:rsidRDefault="00A77B3E" w:rsidP="005719E0">
            <w:pPr>
              <w:spacing w:before="100" w:after="100"/>
              <w:ind w:left="-72"/>
              <w:rPr>
                <w:color w:val="000000"/>
                <w:sz w:val="12"/>
                <w:lang w:val="sv-SE"/>
              </w:rPr>
            </w:pPr>
          </w:p>
        </w:tc>
        <w:tc>
          <w:tcPr>
            <w:tcW w:w="953" w:type="dxa"/>
          </w:tcPr>
          <w:p w14:paraId="2D0668E1" w14:textId="77777777" w:rsidR="00A77B3E" w:rsidRPr="00800D1B" w:rsidRDefault="00623E14" w:rsidP="005719E0">
            <w:pPr>
              <w:spacing w:before="100" w:after="100"/>
              <w:ind w:left="-72"/>
              <w:rPr>
                <w:color w:val="000000"/>
                <w:sz w:val="12"/>
                <w:lang w:val="sv-SE"/>
              </w:rPr>
            </w:pPr>
            <w:r w:rsidRPr="00800D1B">
              <w:rPr>
                <w:color w:val="000000"/>
                <w:sz w:val="12"/>
                <w:lang w:val="sv-SE"/>
              </w:rPr>
              <w:t>Eruf</w:t>
            </w:r>
          </w:p>
        </w:tc>
        <w:tc>
          <w:tcPr>
            <w:tcW w:w="996" w:type="dxa"/>
          </w:tcPr>
          <w:p w14:paraId="2D0668E2" w14:textId="77777777" w:rsidR="00A77B3E" w:rsidRPr="00800D1B" w:rsidRDefault="00623E14" w:rsidP="00B55BCE">
            <w:pPr>
              <w:spacing w:before="60" w:after="60"/>
              <w:ind w:left="-72"/>
              <w:rPr>
                <w:color w:val="000000"/>
                <w:sz w:val="12"/>
                <w:lang w:val="sv-SE"/>
              </w:rPr>
            </w:pPr>
            <w:r w:rsidRPr="00800D1B">
              <w:rPr>
                <w:color w:val="000000"/>
                <w:sz w:val="12"/>
                <w:lang w:val="sv-SE"/>
              </w:rPr>
              <w:t>Mer utvecklade regioner</w:t>
            </w:r>
          </w:p>
        </w:tc>
        <w:tc>
          <w:tcPr>
            <w:tcW w:w="1048" w:type="dxa"/>
          </w:tcPr>
          <w:p w14:paraId="2D0668E3" w14:textId="77777777" w:rsidR="00A77B3E" w:rsidRPr="00800D1B" w:rsidRDefault="00623E14" w:rsidP="005719E0">
            <w:pPr>
              <w:spacing w:before="100" w:after="100"/>
              <w:ind w:left="-72"/>
              <w:jc w:val="right"/>
              <w:rPr>
                <w:color w:val="000000"/>
                <w:sz w:val="12"/>
                <w:lang w:val="sv-SE"/>
              </w:rPr>
            </w:pPr>
            <w:r w:rsidRPr="00800D1B">
              <w:rPr>
                <w:color w:val="000000"/>
                <w:sz w:val="12"/>
                <w:lang w:val="sv-SE"/>
              </w:rPr>
              <w:t>114 108 512,00</w:t>
            </w:r>
          </w:p>
        </w:tc>
        <w:tc>
          <w:tcPr>
            <w:tcW w:w="992" w:type="dxa"/>
          </w:tcPr>
          <w:p w14:paraId="2D0668E4" w14:textId="77777777" w:rsidR="00A77B3E" w:rsidRPr="00800D1B" w:rsidRDefault="00623E14" w:rsidP="005719E0">
            <w:pPr>
              <w:spacing w:before="100" w:after="100"/>
              <w:ind w:left="-72"/>
              <w:jc w:val="right"/>
              <w:rPr>
                <w:color w:val="000000"/>
                <w:sz w:val="12"/>
                <w:lang w:val="sv-SE"/>
              </w:rPr>
            </w:pPr>
            <w:r w:rsidRPr="00800D1B">
              <w:rPr>
                <w:color w:val="000000"/>
                <w:sz w:val="12"/>
                <w:lang w:val="sv-SE"/>
              </w:rPr>
              <w:t>93 710 705,00</w:t>
            </w:r>
          </w:p>
        </w:tc>
        <w:tc>
          <w:tcPr>
            <w:tcW w:w="982" w:type="dxa"/>
          </w:tcPr>
          <w:p w14:paraId="2D0668E5" w14:textId="77777777" w:rsidR="00A77B3E" w:rsidRPr="00800D1B" w:rsidRDefault="00623E14" w:rsidP="005719E0">
            <w:pPr>
              <w:spacing w:before="100" w:after="100"/>
              <w:ind w:left="-72"/>
              <w:jc w:val="right"/>
              <w:rPr>
                <w:color w:val="000000"/>
                <w:sz w:val="12"/>
                <w:lang w:val="sv-SE"/>
              </w:rPr>
            </w:pPr>
            <w:r w:rsidRPr="00800D1B">
              <w:rPr>
                <w:color w:val="000000"/>
                <w:sz w:val="12"/>
                <w:lang w:val="sv-SE"/>
              </w:rPr>
              <w:t>3 279 873,00</w:t>
            </w:r>
          </w:p>
        </w:tc>
        <w:tc>
          <w:tcPr>
            <w:tcW w:w="987" w:type="dxa"/>
          </w:tcPr>
          <w:p w14:paraId="2D0668E6" w14:textId="77777777" w:rsidR="00A77B3E" w:rsidRPr="00800D1B" w:rsidRDefault="00623E14" w:rsidP="005719E0">
            <w:pPr>
              <w:spacing w:before="100" w:after="100"/>
              <w:ind w:left="-72"/>
              <w:jc w:val="right"/>
              <w:rPr>
                <w:color w:val="000000"/>
                <w:sz w:val="12"/>
                <w:lang w:val="sv-SE"/>
              </w:rPr>
            </w:pPr>
            <w:r w:rsidRPr="00800D1B">
              <w:rPr>
                <w:color w:val="000000"/>
                <w:sz w:val="12"/>
                <w:lang w:val="sv-SE"/>
              </w:rPr>
              <w:t>16 539 067,00</w:t>
            </w:r>
          </w:p>
        </w:tc>
        <w:tc>
          <w:tcPr>
            <w:tcW w:w="975" w:type="dxa"/>
          </w:tcPr>
          <w:p w14:paraId="2D0668E7" w14:textId="77777777" w:rsidR="00A77B3E" w:rsidRPr="00800D1B" w:rsidRDefault="00623E14" w:rsidP="005719E0">
            <w:pPr>
              <w:spacing w:before="100" w:after="100"/>
              <w:ind w:left="-72"/>
              <w:jc w:val="right"/>
              <w:rPr>
                <w:color w:val="000000"/>
                <w:sz w:val="12"/>
                <w:lang w:val="sv-SE"/>
              </w:rPr>
            </w:pPr>
            <w:r w:rsidRPr="00800D1B">
              <w:rPr>
                <w:color w:val="000000"/>
                <w:sz w:val="12"/>
                <w:lang w:val="sv-SE"/>
              </w:rPr>
              <w:t>578 867,00</w:t>
            </w:r>
          </w:p>
        </w:tc>
        <w:tc>
          <w:tcPr>
            <w:tcW w:w="992" w:type="dxa"/>
          </w:tcPr>
          <w:p w14:paraId="2D0668E8" w14:textId="77777777" w:rsidR="00A77B3E" w:rsidRPr="00800D1B" w:rsidRDefault="00623E14" w:rsidP="005719E0">
            <w:pPr>
              <w:spacing w:before="100" w:after="100"/>
              <w:ind w:left="-72"/>
              <w:jc w:val="right"/>
              <w:rPr>
                <w:color w:val="000000"/>
                <w:sz w:val="12"/>
                <w:lang w:val="sv-SE"/>
              </w:rPr>
            </w:pPr>
            <w:r w:rsidRPr="00800D1B">
              <w:rPr>
                <w:color w:val="000000"/>
                <w:sz w:val="12"/>
                <w:lang w:val="sv-SE"/>
              </w:rPr>
              <w:t>171 162 769,00</w:t>
            </w:r>
          </w:p>
        </w:tc>
        <w:tc>
          <w:tcPr>
            <w:tcW w:w="992" w:type="dxa"/>
          </w:tcPr>
          <w:p w14:paraId="2D0668E9" w14:textId="77777777" w:rsidR="00A77B3E" w:rsidRPr="00800D1B" w:rsidRDefault="00623E14" w:rsidP="005719E0">
            <w:pPr>
              <w:spacing w:before="100" w:after="100"/>
              <w:ind w:left="-72"/>
              <w:jc w:val="right"/>
              <w:rPr>
                <w:color w:val="000000"/>
                <w:sz w:val="12"/>
                <w:lang w:val="sv-SE"/>
              </w:rPr>
            </w:pPr>
            <w:r w:rsidRPr="00800D1B">
              <w:rPr>
                <w:color w:val="000000"/>
                <w:sz w:val="12"/>
                <w:lang w:val="sv-SE"/>
              </w:rPr>
              <w:t>151 649 865,00</w:t>
            </w:r>
          </w:p>
        </w:tc>
        <w:tc>
          <w:tcPr>
            <w:tcW w:w="987" w:type="dxa"/>
          </w:tcPr>
          <w:p w14:paraId="2D0668EA" w14:textId="77777777" w:rsidR="00A77B3E" w:rsidRPr="00800D1B" w:rsidRDefault="00623E14" w:rsidP="005719E0">
            <w:pPr>
              <w:spacing w:before="100" w:after="100"/>
              <w:ind w:left="-72"/>
              <w:jc w:val="right"/>
              <w:rPr>
                <w:color w:val="000000"/>
                <w:sz w:val="12"/>
                <w:lang w:val="sv-SE"/>
              </w:rPr>
            </w:pPr>
            <w:r w:rsidRPr="00800D1B">
              <w:rPr>
                <w:color w:val="000000"/>
                <w:sz w:val="12"/>
                <w:lang w:val="sv-SE"/>
              </w:rPr>
              <w:t>19 512 904,00</w:t>
            </w:r>
          </w:p>
        </w:tc>
        <w:tc>
          <w:tcPr>
            <w:tcW w:w="992" w:type="dxa"/>
          </w:tcPr>
          <w:p w14:paraId="2D0668EB" w14:textId="77777777" w:rsidR="00A77B3E" w:rsidRPr="00800D1B" w:rsidRDefault="00623E14" w:rsidP="005719E0">
            <w:pPr>
              <w:spacing w:before="100" w:after="100"/>
              <w:ind w:left="-72"/>
              <w:jc w:val="right"/>
              <w:rPr>
                <w:color w:val="000000"/>
                <w:sz w:val="12"/>
                <w:lang w:val="sv-SE"/>
              </w:rPr>
            </w:pPr>
            <w:r w:rsidRPr="00800D1B">
              <w:rPr>
                <w:color w:val="000000"/>
                <w:sz w:val="12"/>
                <w:lang w:val="sv-SE"/>
              </w:rPr>
              <w:t>285 271 281,00</w:t>
            </w:r>
          </w:p>
        </w:tc>
        <w:tc>
          <w:tcPr>
            <w:tcW w:w="1198" w:type="dxa"/>
          </w:tcPr>
          <w:p w14:paraId="2D0668EC" w14:textId="77777777" w:rsidR="00A77B3E" w:rsidRPr="00800D1B" w:rsidRDefault="00623E14" w:rsidP="005719E0">
            <w:pPr>
              <w:spacing w:before="100" w:after="100"/>
              <w:ind w:left="-72"/>
              <w:jc w:val="right"/>
              <w:rPr>
                <w:color w:val="000000"/>
                <w:sz w:val="12"/>
                <w:lang w:val="sv-SE"/>
              </w:rPr>
            </w:pPr>
            <w:r w:rsidRPr="00800D1B">
              <w:rPr>
                <w:color w:val="000000"/>
                <w:sz w:val="12"/>
                <w:lang w:val="sv-SE"/>
              </w:rPr>
              <w:t>39,9999998598%</w:t>
            </w:r>
          </w:p>
        </w:tc>
      </w:tr>
      <w:tr w:rsidR="003422DB" w:rsidRPr="00800D1B" w14:paraId="2D0668FD" w14:textId="77777777" w:rsidTr="00A26CDD">
        <w:tc>
          <w:tcPr>
            <w:tcW w:w="991" w:type="dxa"/>
          </w:tcPr>
          <w:p w14:paraId="2D0668EE" w14:textId="77777777" w:rsidR="00A77B3E" w:rsidRPr="00800D1B" w:rsidRDefault="00623E14" w:rsidP="005719E0">
            <w:pPr>
              <w:spacing w:before="100" w:after="100"/>
              <w:ind w:left="-72"/>
              <w:rPr>
                <w:color w:val="000000"/>
                <w:sz w:val="12"/>
                <w:lang w:val="sv-SE"/>
              </w:rPr>
            </w:pPr>
            <w:r w:rsidRPr="00800D1B">
              <w:rPr>
                <w:color w:val="000000"/>
                <w:sz w:val="12"/>
                <w:lang w:val="sv-SE"/>
              </w:rPr>
              <w:t>Totalt</w:t>
            </w:r>
          </w:p>
        </w:tc>
        <w:tc>
          <w:tcPr>
            <w:tcW w:w="976" w:type="dxa"/>
          </w:tcPr>
          <w:p w14:paraId="2D0668EF" w14:textId="77777777" w:rsidR="00A77B3E" w:rsidRPr="00800D1B" w:rsidRDefault="00A77B3E" w:rsidP="005719E0">
            <w:pPr>
              <w:spacing w:before="100" w:after="100"/>
              <w:ind w:left="-72"/>
              <w:rPr>
                <w:color w:val="000000"/>
                <w:sz w:val="12"/>
                <w:lang w:val="sv-SE"/>
              </w:rPr>
            </w:pPr>
          </w:p>
        </w:tc>
        <w:tc>
          <w:tcPr>
            <w:tcW w:w="1111" w:type="dxa"/>
          </w:tcPr>
          <w:p w14:paraId="2D0668F0" w14:textId="77777777" w:rsidR="00A77B3E" w:rsidRPr="00800D1B" w:rsidRDefault="00A77B3E" w:rsidP="00B55BCE">
            <w:pPr>
              <w:ind w:left="-72"/>
              <w:rPr>
                <w:color w:val="000000"/>
                <w:sz w:val="12"/>
                <w:lang w:val="sv-SE"/>
              </w:rPr>
            </w:pPr>
          </w:p>
        </w:tc>
        <w:tc>
          <w:tcPr>
            <w:tcW w:w="953" w:type="dxa"/>
          </w:tcPr>
          <w:p w14:paraId="2D0668F1" w14:textId="77777777" w:rsidR="00A77B3E" w:rsidRPr="00800D1B" w:rsidRDefault="00623E14" w:rsidP="005719E0">
            <w:pPr>
              <w:spacing w:before="100" w:after="100"/>
              <w:ind w:left="-72"/>
              <w:rPr>
                <w:color w:val="000000"/>
                <w:sz w:val="12"/>
                <w:lang w:val="sv-SE"/>
              </w:rPr>
            </w:pPr>
            <w:r w:rsidRPr="00800D1B">
              <w:rPr>
                <w:color w:val="000000"/>
                <w:sz w:val="12"/>
                <w:lang w:val="sv-SE"/>
              </w:rPr>
              <w:t>Eruf</w:t>
            </w:r>
          </w:p>
        </w:tc>
        <w:tc>
          <w:tcPr>
            <w:tcW w:w="996" w:type="dxa"/>
          </w:tcPr>
          <w:p w14:paraId="2D0668F2" w14:textId="77777777" w:rsidR="00A77B3E" w:rsidRPr="00800D1B" w:rsidRDefault="00623E14" w:rsidP="00B55BCE">
            <w:pPr>
              <w:spacing w:before="60" w:after="60"/>
              <w:ind w:left="-72"/>
              <w:rPr>
                <w:color w:val="000000"/>
                <w:sz w:val="12"/>
                <w:lang w:val="sv-SE"/>
              </w:rPr>
            </w:pPr>
            <w:r w:rsidRPr="00800D1B">
              <w:rPr>
                <w:color w:val="000000"/>
                <w:sz w:val="12"/>
                <w:lang w:val="sv-SE"/>
              </w:rPr>
              <w:t>De yttersta randområdena eller de nordliga glesbefolkade områdena</w:t>
            </w:r>
          </w:p>
        </w:tc>
        <w:tc>
          <w:tcPr>
            <w:tcW w:w="1048" w:type="dxa"/>
          </w:tcPr>
          <w:p w14:paraId="2D0668F3" w14:textId="77777777" w:rsidR="00A77B3E" w:rsidRPr="00800D1B" w:rsidRDefault="00623E14" w:rsidP="005719E0">
            <w:pPr>
              <w:spacing w:before="100" w:after="100"/>
              <w:ind w:left="-72"/>
              <w:jc w:val="right"/>
              <w:rPr>
                <w:color w:val="000000"/>
                <w:sz w:val="12"/>
                <w:lang w:val="sv-SE"/>
              </w:rPr>
            </w:pPr>
            <w:r w:rsidRPr="00800D1B">
              <w:rPr>
                <w:color w:val="000000"/>
                <w:sz w:val="12"/>
                <w:lang w:val="sv-SE"/>
              </w:rPr>
              <w:t>82 211 176,00</w:t>
            </w:r>
          </w:p>
        </w:tc>
        <w:tc>
          <w:tcPr>
            <w:tcW w:w="992" w:type="dxa"/>
          </w:tcPr>
          <w:p w14:paraId="2D0668F4" w14:textId="77777777" w:rsidR="00A77B3E" w:rsidRPr="00800D1B" w:rsidRDefault="00623E14" w:rsidP="005719E0">
            <w:pPr>
              <w:spacing w:before="100" w:after="100"/>
              <w:ind w:left="-72"/>
              <w:jc w:val="right"/>
              <w:rPr>
                <w:color w:val="000000"/>
                <w:sz w:val="12"/>
                <w:lang w:val="sv-SE"/>
              </w:rPr>
            </w:pPr>
            <w:r w:rsidRPr="00800D1B">
              <w:rPr>
                <w:color w:val="000000"/>
                <w:sz w:val="12"/>
                <w:lang w:val="sv-SE"/>
              </w:rPr>
              <w:t>67 515 756,00</w:t>
            </w:r>
          </w:p>
        </w:tc>
        <w:tc>
          <w:tcPr>
            <w:tcW w:w="982" w:type="dxa"/>
          </w:tcPr>
          <w:p w14:paraId="2D0668F5" w14:textId="77777777" w:rsidR="00A77B3E" w:rsidRPr="00800D1B" w:rsidRDefault="00623E14" w:rsidP="005719E0">
            <w:pPr>
              <w:spacing w:before="100" w:after="100"/>
              <w:ind w:left="-72"/>
              <w:jc w:val="right"/>
              <w:rPr>
                <w:color w:val="000000"/>
                <w:sz w:val="12"/>
                <w:lang w:val="sv-SE"/>
              </w:rPr>
            </w:pPr>
            <w:r w:rsidRPr="00800D1B">
              <w:rPr>
                <w:color w:val="000000"/>
                <w:sz w:val="12"/>
                <w:lang w:val="sv-SE"/>
              </w:rPr>
              <w:t>2 363 051,00</w:t>
            </w:r>
          </w:p>
        </w:tc>
        <w:tc>
          <w:tcPr>
            <w:tcW w:w="987" w:type="dxa"/>
          </w:tcPr>
          <w:p w14:paraId="2D0668F6" w14:textId="77777777" w:rsidR="00A77B3E" w:rsidRPr="00800D1B" w:rsidRDefault="00623E14" w:rsidP="005719E0">
            <w:pPr>
              <w:spacing w:before="100" w:after="100"/>
              <w:ind w:left="-72"/>
              <w:jc w:val="right"/>
              <w:rPr>
                <w:color w:val="000000"/>
                <w:sz w:val="12"/>
                <w:lang w:val="sv-SE"/>
              </w:rPr>
            </w:pPr>
            <w:r w:rsidRPr="00800D1B">
              <w:rPr>
                <w:color w:val="000000"/>
                <w:sz w:val="12"/>
                <w:lang w:val="sv-SE"/>
              </w:rPr>
              <w:t>11 915 334,00</w:t>
            </w:r>
          </w:p>
        </w:tc>
        <w:tc>
          <w:tcPr>
            <w:tcW w:w="975" w:type="dxa"/>
          </w:tcPr>
          <w:p w14:paraId="2D0668F7" w14:textId="77777777" w:rsidR="00A77B3E" w:rsidRPr="00800D1B" w:rsidRDefault="00623E14" w:rsidP="005719E0">
            <w:pPr>
              <w:spacing w:before="100" w:after="100"/>
              <w:ind w:left="-72"/>
              <w:jc w:val="right"/>
              <w:rPr>
                <w:color w:val="000000"/>
                <w:sz w:val="12"/>
                <w:lang w:val="sv-SE"/>
              </w:rPr>
            </w:pPr>
            <w:r w:rsidRPr="00800D1B">
              <w:rPr>
                <w:color w:val="000000"/>
                <w:sz w:val="12"/>
                <w:lang w:val="sv-SE"/>
              </w:rPr>
              <w:t>417 035,00</w:t>
            </w:r>
          </w:p>
        </w:tc>
        <w:tc>
          <w:tcPr>
            <w:tcW w:w="992" w:type="dxa"/>
          </w:tcPr>
          <w:p w14:paraId="2D0668F8" w14:textId="77777777" w:rsidR="00A77B3E" w:rsidRPr="00800D1B" w:rsidRDefault="00623E14" w:rsidP="005719E0">
            <w:pPr>
              <w:spacing w:before="100" w:after="100"/>
              <w:ind w:left="-72"/>
              <w:jc w:val="right"/>
              <w:rPr>
                <w:color w:val="000000"/>
                <w:sz w:val="12"/>
                <w:lang w:val="sv-SE"/>
              </w:rPr>
            </w:pPr>
            <w:r w:rsidRPr="00800D1B">
              <w:rPr>
                <w:color w:val="000000"/>
                <w:sz w:val="12"/>
                <w:lang w:val="sv-SE"/>
              </w:rPr>
              <w:t>123 316 765,00</w:t>
            </w:r>
          </w:p>
        </w:tc>
        <w:tc>
          <w:tcPr>
            <w:tcW w:w="992" w:type="dxa"/>
          </w:tcPr>
          <w:p w14:paraId="2D0668F9" w14:textId="77777777" w:rsidR="00A77B3E" w:rsidRPr="00800D1B" w:rsidRDefault="00623E14" w:rsidP="005719E0">
            <w:pPr>
              <w:spacing w:before="100" w:after="100"/>
              <w:ind w:left="-72"/>
              <w:jc w:val="right"/>
              <w:rPr>
                <w:color w:val="000000"/>
                <w:sz w:val="12"/>
                <w:lang w:val="sv-SE"/>
              </w:rPr>
            </w:pPr>
            <w:r w:rsidRPr="00800D1B">
              <w:rPr>
                <w:color w:val="000000"/>
                <w:sz w:val="12"/>
                <w:lang w:val="sv-SE"/>
              </w:rPr>
              <w:t>118 110 601,00</w:t>
            </w:r>
          </w:p>
        </w:tc>
        <w:tc>
          <w:tcPr>
            <w:tcW w:w="987" w:type="dxa"/>
          </w:tcPr>
          <w:p w14:paraId="2D0668FA" w14:textId="77777777" w:rsidR="00A77B3E" w:rsidRPr="00800D1B" w:rsidRDefault="00623E14" w:rsidP="005719E0">
            <w:pPr>
              <w:spacing w:before="100" w:after="100"/>
              <w:ind w:left="-72"/>
              <w:jc w:val="right"/>
              <w:rPr>
                <w:color w:val="000000"/>
                <w:sz w:val="12"/>
                <w:lang w:val="sv-SE"/>
              </w:rPr>
            </w:pPr>
            <w:r w:rsidRPr="00800D1B">
              <w:rPr>
                <w:color w:val="000000"/>
                <w:sz w:val="12"/>
                <w:lang w:val="sv-SE"/>
              </w:rPr>
              <w:t>5 206 164,00</w:t>
            </w:r>
          </w:p>
        </w:tc>
        <w:tc>
          <w:tcPr>
            <w:tcW w:w="992" w:type="dxa"/>
          </w:tcPr>
          <w:p w14:paraId="2D0668FB" w14:textId="77777777" w:rsidR="00A77B3E" w:rsidRPr="00800D1B" w:rsidRDefault="00623E14" w:rsidP="005719E0">
            <w:pPr>
              <w:spacing w:before="100" w:after="100"/>
              <w:ind w:left="-72"/>
              <w:jc w:val="right"/>
              <w:rPr>
                <w:color w:val="000000"/>
                <w:sz w:val="12"/>
                <w:lang w:val="sv-SE"/>
              </w:rPr>
            </w:pPr>
            <w:r w:rsidRPr="00800D1B">
              <w:rPr>
                <w:color w:val="000000"/>
                <w:sz w:val="12"/>
                <w:lang w:val="sv-SE"/>
              </w:rPr>
              <w:t>205 527 941,00</w:t>
            </w:r>
          </w:p>
        </w:tc>
        <w:tc>
          <w:tcPr>
            <w:tcW w:w="1198" w:type="dxa"/>
          </w:tcPr>
          <w:p w14:paraId="2D0668FC" w14:textId="77777777" w:rsidR="00A77B3E" w:rsidRPr="00800D1B" w:rsidRDefault="00623E14" w:rsidP="005719E0">
            <w:pPr>
              <w:spacing w:before="100" w:after="100"/>
              <w:ind w:left="-72"/>
              <w:jc w:val="right"/>
              <w:rPr>
                <w:color w:val="000000"/>
                <w:sz w:val="12"/>
                <w:lang w:val="sv-SE"/>
              </w:rPr>
            </w:pPr>
            <w:r w:rsidRPr="00800D1B">
              <w:rPr>
                <w:color w:val="000000"/>
                <w:sz w:val="12"/>
                <w:lang w:val="sv-SE"/>
              </w:rPr>
              <w:t>39,9999998054%</w:t>
            </w:r>
          </w:p>
        </w:tc>
      </w:tr>
      <w:tr w:rsidR="003422DB" w:rsidRPr="00800D1B" w14:paraId="2D06690D" w14:textId="77777777" w:rsidTr="00A26CDD">
        <w:tc>
          <w:tcPr>
            <w:tcW w:w="991" w:type="dxa"/>
          </w:tcPr>
          <w:p w14:paraId="2D0668FE" w14:textId="77777777" w:rsidR="00A77B3E" w:rsidRPr="00800D1B" w:rsidRDefault="00623E14" w:rsidP="005719E0">
            <w:pPr>
              <w:spacing w:before="100" w:after="100"/>
              <w:ind w:left="-72"/>
              <w:rPr>
                <w:color w:val="000000"/>
                <w:sz w:val="12"/>
                <w:lang w:val="sv-SE"/>
              </w:rPr>
            </w:pPr>
            <w:r w:rsidRPr="00800D1B">
              <w:rPr>
                <w:color w:val="000000"/>
                <w:sz w:val="12"/>
                <w:lang w:val="sv-SE"/>
              </w:rPr>
              <w:t>Totalsumma</w:t>
            </w:r>
          </w:p>
        </w:tc>
        <w:tc>
          <w:tcPr>
            <w:tcW w:w="976" w:type="dxa"/>
          </w:tcPr>
          <w:p w14:paraId="2D0668FF" w14:textId="77777777" w:rsidR="00A77B3E" w:rsidRPr="00800D1B" w:rsidRDefault="00A77B3E" w:rsidP="005719E0">
            <w:pPr>
              <w:spacing w:before="100" w:after="100"/>
              <w:ind w:left="-72"/>
              <w:rPr>
                <w:color w:val="000000"/>
                <w:sz w:val="12"/>
                <w:lang w:val="sv-SE"/>
              </w:rPr>
            </w:pPr>
          </w:p>
        </w:tc>
        <w:tc>
          <w:tcPr>
            <w:tcW w:w="1111" w:type="dxa"/>
          </w:tcPr>
          <w:p w14:paraId="2D066900" w14:textId="77777777" w:rsidR="00A77B3E" w:rsidRPr="00800D1B" w:rsidRDefault="00A77B3E" w:rsidP="005719E0">
            <w:pPr>
              <w:spacing w:before="100" w:after="100"/>
              <w:ind w:left="-72"/>
              <w:rPr>
                <w:color w:val="000000"/>
                <w:sz w:val="12"/>
                <w:lang w:val="sv-SE"/>
              </w:rPr>
            </w:pPr>
          </w:p>
        </w:tc>
        <w:tc>
          <w:tcPr>
            <w:tcW w:w="953" w:type="dxa"/>
          </w:tcPr>
          <w:p w14:paraId="2D066901" w14:textId="77777777" w:rsidR="00A77B3E" w:rsidRPr="00800D1B" w:rsidRDefault="00A77B3E" w:rsidP="005719E0">
            <w:pPr>
              <w:spacing w:before="100" w:after="100"/>
              <w:ind w:left="-72"/>
              <w:rPr>
                <w:color w:val="000000"/>
                <w:sz w:val="12"/>
                <w:lang w:val="sv-SE"/>
              </w:rPr>
            </w:pPr>
          </w:p>
        </w:tc>
        <w:tc>
          <w:tcPr>
            <w:tcW w:w="996" w:type="dxa"/>
          </w:tcPr>
          <w:p w14:paraId="2D066902" w14:textId="77777777" w:rsidR="00A77B3E" w:rsidRPr="00800D1B" w:rsidRDefault="00A77B3E" w:rsidP="005719E0">
            <w:pPr>
              <w:spacing w:before="100" w:after="100"/>
              <w:ind w:left="-72"/>
              <w:rPr>
                <w:color w:val="000000"/>
                <w:sz w:val="12"/>
                <w:lang w:val="sv-SE"/>
              </w:rPr>
            </w:pPr>
          </w:p>
        </w:tc>
        <w:tc>
          <w:tcPr>
            <w:tcW w:w="1048" w:type="dxa"/>
          </w:tcPr>
          <w:p w14:paraId="2D066903" w14:textId="77777777" w:rsidR="00A77B3E" w:rsidRPr="00800D1B" w:rsidRDefault="00623E14" w:rsidP="005719E0">
            <w:pPr>
              <w:spacing w:before="100" w:after="100"/>
              <w:ind w:left="-72"/>
              <w:jc w:val="right"/>
              <w:rPr>
                <w:color w:val="000000"/>
                <w:sz w:val="12"/>
                <w:lang w:val="sv-SE"/>
              </w:rPr>
            </w:pPr>
            <w:r w:rsidRPr="00800D1B">
              <w:rPr>
                <w:color w:val="000000"/>
                <w:sz w:val="12"/>
                <w:lang w:val="sv-SE"/>
              </w:rPr>
              <w:t>196 319 688,00</w:t>
            </w:r>
          </w:p>
        </w:tc>
        <w:tc>
          <w:tcPr>
            <w:tcW w:w="992" w:type="dxa"/>
          </w:tcPr>
          <w:p w14:paraId="2D066904" w14:textId="77777777" w:rsidR="00A77B3E" w:rsidRPr="00800D1B" w:rsidRDefault="00623E14" w:rsidP="005719E0">
            <w:pPr>
              <w:spacing w:before="100" w:after="100"/>
              <w:ind w:left="-72"/>
              <w:jc w:val="right"/>
              <w:rPr>
                <w:color w:val="000000"/>
                <w:sz w:val="12"/>
                <w:lang w:val="sv-SE"/>
              </w:rPr>
            </w:pPr>
            <w:r w:rsidRPr="00800D1B">
              <w:rPr>
                <w:color w:val="000000"/>
                <w:sz w:val="12"/>
                <w:lang w:val="sv-SE"/>
              </w:rPr>
              <w:t>161 226 461,00</w:t>
            </w:r>
          </w:p>
        </w:tc>
        <w:tc>
          <w:tcPr>
            <w:tcW w:w="982" w:type="dxa"/>
          </w:tcPr>
          <w:p w14:paraId="2D066905" w14:textId="77777777" w:rsidR="00A77B3E" w:rsidRPr="00800D1B" w:rsidRDefault="00623E14" w:rsidP="005719E0">
            <w:pPr>
              <w:spacing w:before="100" w:after="100"/>
              <w:ind w:left="-72"/>
              <w:jc w:val="right"/>
              <w:rPr>
                <w:color w:val="000000"/>
                <w:sz w:val="12"/>
                <w:lang w:val="sv-SE"/>
              </w:rPr>
            </w:pPr>
            <w:r w:rsidRPr="00800D1B">
              <w:rPr>
                <w:color w:val="000000"/>
                <w:sz w:val="12"/>
                <w:lang w:val="sv-SE"/>
              </w:rPr>
              <w:t>5 642 924,00</w:t>
            </w:r>
          </w:p>
        </w:tc>
        <w:tc>
          <w:tcPr>
            <w:tcW w:w="987" w:type="dxa"/>
          </w:tcPr>
          <w:p w14:paraId="2D066906" w14:textId="77777777" w:rsidR="00A77B3E" w:rsidRPr="00800D1B" w:rsidRDefault="00623E14" w:rsidP="005719E0">
            <w:pPr>
              <w:spacing w:before="100" w:after="100"/>
              <w:ind w:left="-72"/>
              <w:jc w:val="right"/>
              <w:rPr>
                <w:color w:val="000000"/>
                <w:sz w:val="12"/>
                <w:lang w:val="sv-SE"/>
              </w:rPr>
            </w:pPr>
            <w:r w:rsidRPr="00800D1B">
              <w:rPr>
                <w:color w:val="000000"/>
                <w:sz w:val="12"/>
                <w:lang w:val="sv-SE"/>
              </w:rPr>
              <w:t>28 454 401,00</w:t>
            </w:r>
          </w:p>
        </w:tc>
        <w:tc>
          <w:tcPr>
            <w:tcW w:w="975" w:type="dxa"/>
          </w:tcPr>
          <w:p w14:paraId="2D066907" w14:textId="77777777" w:rsidR="00A77B3E" w:rsidRPr="00800D1B" w:rsidRDefault="00623E14" w:rsidP="005719E0">
            <w:pPr>
              <w:spacing w:before="100" w:after="100"/>
              <w:ind w:left="-72"/>
              <w:jc w:val="right"/>
              <w:rPr>
                <w:color w:val="000000"/>
                <w:sz w:val="12"/>
                <w:lang w:val="sv-SE"/>
              </w:rPr>
            </w:pPr>
            <w:r w:rsidRPr="00800D1B">
              <w:rPr>
                <w:color w:val="000000"/>
                <w:sz w:val="12"/>
                <w:lang w:val="sv-SE"/>
              </w:rPr>
              <w:t>995 902,00</w:t>
            </w:r>
          </w:p>
        </w:tc>
        <w:tc>
          <w:tcPr>
            <w:tcW w:w="992" w:type="dxa"/>
          </w:tcPr>
          <w:p w14:paraId="2D066908" w14:textId="77777777" w:rsidR="00A77B3E" w:rsidRPr="00800D1B" w:rsidRDefault="00623E14" w:rsidP="005719E0">
            <w:pPr>
              <w:spacing w:before="100" w:after="100"/>
              <w:ind w:left="-72"/>
              <w:jc w:val="right"/>
              <w:rPr>
                <w:color w:val="000000"/>
                <w:sz w:val="12"/>
                <w:lang w:val="sv-SE"/>
              </w:rPr>
            </w:pPr>
            <w:r w:rsidRPr="00800D1B">
              <w:rPr>
                <w:color w:val="000000"/>
                <w:sz w:val="12"/>
                <w:lang w:val="sv-SE"/>
              </w:rPr>
              <w:t>294 479 534,00</w:t>
            </w:r>
          </w:p>
        </w:tc>
        <w:tc>
          <w:tcPr>
            <w:tcW w:w="992" w:type="dxa"/>
          </w:tcPr>
          <w:p w14:paraId="2D066909" w14:textId="77777777" w:rsidR="00A77B3E" w:rsidRPr="00800D1B" w:rsidRDefault="00623E14" w:rsidP="005719E0">
            <w:pPr>
              <w:spacing w:before="100" w:after="100"/>
              <w:ind w:left="-72"/>
              <w:jc w:val="right"/>
              <w:rPr>
                <w:color w:val="000000"/>
                <w:sz w:val="12"/>
                <w:lang w:val="sv-SE"/>
              </w:rPr>
            </w:pPr>
            <w:r w:rsidRPr="00800D1B">
              <w:rPr>
                <w:color w:val="000000"/>
                <w:sz w:val="12"/>
                <w:lang w:val="sv-SE"/>
              </w:rPr>
              <w:t>269 760 466,00</w:t>
            </w:r>
          </w:p>
        </w:tc>
        <w:tc>
          <w:tcPr>
            <w:tcW w:w="987" w:type="dxa"/>
          </w:tcPr>
          <w:p w14:paraId="2D06690A" w14:textId="77777777" w:rsidR="00A77B3E" w:rsidRPr="00800D1B" w:rsidRDefault="00623E14" w:rsidP="005719E0">
            <w:pPr>
              <w:spacing w:before="100" w:after="100"/>
              <w:ind w:left="-72"/>
              <w:jc w:val="right"/>
              <w:rPr>
                <w:color w:val="000000"/>
                <w:sz w:val="12"/>
                <w:lang w:val="sv-SE"/>
              </w:rPr>
            </w:pPr>
            <w:r w:rsidRPr="00800D1B">
              <w:rPr>
                <w:color w:val="000000"/>
                <w:sz w:val="12"/>
                <w:lang w:val="sv-SE"/>
              </w:rPr>
              <w:t>24 719 068,00</w:t>
            </w:r>
          </w:p>
        </w:tc>
        <w:tc>
          <w:tcPr>
            <w:tcW w:w="992" w:type="dxa"/>
          </w:tcPr>
          <w:p w14:paraId="2D06690B" w14:textId="77777777" w:rsidR="00A77B3E" w:rsidRPr="00800D1B" w:rsidRDefault="00623E14" w:rsidP="005719E0">
            <w:pPr>
              <w:spacing w:before="100" w:after="100"/>
              <w:ind w:left="-72"/>
              <w:jc w:val="right"/>
              <w:rPr>
                <w:color w:val="000000"/>
                <w:sz w:val="12"/>
                <w:lang w:val="sv-SE"/>
              </w:rPr>
            </w:pPr>
            <w:r w:rsidRPr="00800D1B">
              <w:rPr>
                <w:color w:val="000000"/>
                <w:sz w:val="12"/>
                <w:lang w:val="sv-SE"/>
              </w:rPr>
              <w:t>490 799 222,00</w:t>
            </w:r>
          </w:p>
        </w:tc>
        <w:tc>
          <w:tcPr>
            <w:tcW w:w="1198" w:type="dxa"/>
          </w:tcPr>
          <w:p w14:paraId="2D06690C" w14:textId="77777777" w:rsidR="00A77B3E" w:rsidRPr="00800D1B" w:rsidRDefault="00623E14" w:rsidP="005719E0">
            <w:pPr>
              <w:spacing w:before="100" w:after="100"/>
              <w:ind w:left="-72"/>
              <w:jc w:val="right"/>
              <w:rPr>
                <w:color w:val="000000"/>
                <w:sz w:val="12"/>
                <w:lang w:val="sv-SE"/>
              </w:rPr>
            </w:pPr>
            <w:r w:rsidRPr="00800D1B">
              <w:rPr>
                <w:color w:val="000000"/>
                <w:sz w:val="12"/>
                <w:lang w:val="sv-SE"/>
              </w:rPr>
              <w:t>39,9999998370%</w:t>
            </w:r>
          </w:p>
        </w:tc>
      </w:tr>
    </w:tbl>
    <w:p w14:paraId="2D06690F" w14:textId="0A1D9B61" w:rsidR="00A77B3E" w:rsidRPr="00800D1B" w:rsidRDefault="00623E14">
      <w:pPr>
        <w:spacing w:before="100"/>
        <w:rPr>
          <w:color w:val="000000"/>
          <w:sz w:val="12"/>
          <w:lang w:val="sv-SE"/>
        </w:rPr>
      </w:pPr>
      <w:r w:rsidRPr="00800D1B">
        <w:rPr>
          <w:color w:val="000000"/>
          <w:sz w:val="12"/>
          <w:lang w:val="sv-SE"/>
        </w:rPr>
        <w:t>** Ange de totala FRO-medlen, inbegripet det kompletterande stöd som överförts från Eruf och ESF+. Tabellen ska inte omfatta beloppen i enlighet med artikel 7 i FRO-förordningen. När det gäller tekniskt bistånd som finansieras från FRO ska FRO-medlen delas upp i medel rörande artiklarna 3 och 4 i FRO-förordningen. För artikel 4 i FRO-förordningen finns det inget flexibilitetsbelopp.</w:t>
      </w:r>
    </w:p>
    <w:p w14:paraId="2D066910" w14:textId="77777777" w:rsidR="00A77B3E" w:rsidRPr="00800D1B" w:rsidRDefault="00A77B3E">
      <w:pPr>
        <w:spacing w:before="100"/>
        <w:rPr>
          <w:color w:val="000000"/>
          <w:sz w:val="12"/>
          <w:lang w:val="sv-SE"/>
        </w:rPr>
        <w:sectPr w:rsidR="00A77B3E" w:rsidRPr="00800D1B" w:rsidSect="0065165D">
          <w:headerReference w:type="even" r:id="rId31"/>
          <w:headerReference w:type="default" r:id="rId32"/>
          <w:footerReference w:type="even" r:id="rId33"/>
          <w:footerReference w:type="default" r:id="rId34"/>
          <w:headerReference w:type="first" r:id="rId35"/>
          <w:footerReference w:type="first" r:id="rId36"/>
          <w:pgSz w:w="16838" w:h="11906" w:orient="landscape"/>
          <w:pgMar w:top="720" w:right="720" w:bottom="864" w:left="936" w:header="288" w:footer="72" w:gutter="0"/>
          <w:cols w:space="720"/>
          <w:noEndnote/>
          <w:docGrid w:linePitch="360"/>
        </w:sectPr>
      </w:pPr>
    </w:p>
    <w:p w14:paraId="2D066911" w14:textId="59B60CBA" w:rsidR="00A77B3E" w:rsidRPr="00800D1B" w:rsidRDefault="00623E14" w:rsidP="002E61A3">
      <w:pPr>
        <w:pStyle w:val="Rubrik2"/>
        <w:spacing w:before="100"/>
        <w:ind w:left="180" w:hanging="180"/>
        <w:rPr>
          <w:lang w:val="sv-SE"/>
        </w:rPr>
      </w:pPr>
      <w:bookmarkStart w:id="219" w:name="_Toc256000460"/>
      <w:r w:rsidRPr="00800D1B">
        <w:rPr>
          <w:lang w:val="sv-SE"/>
        </w:rPr>
        <w:t xml:space="preserve"> Nödvändiga villkor</w:t>
      </w:r>
      <w:bookmarkEnd w:id="219"/>
    </w:p>
    <w:p w14:paraId="2D066912" w14:textId="77777777" w:rsidR="00A77B3E" w:rsidRPr="00800D1B" w:rsidRDefault="00623E14">
      <w:pPr>
        <w:spacing w:before="100"/>
        <w:rPr>
          <w:color w:val="000000"/>
          <w:sz w:val="0"/>
          <w:lang w:val="sv-SE"/>
        </w:rPr>
      </w:pPr>
      <w:r w:rsidRPr="00800D1B">
        <w:rPr>
          <w:color w:val="000000"/>
          <w:lang w:val="sv-SE"/>
        </w:rPr>
        <w:t>Referens: artikel 22.3 i i förordningen om gemensamma bestämmelser</w:t>
      </w:r>
    </w:p>
    <w:p w14:paraId="2D066913" w14:textId="77777777" w:rsidR="00A77B3E" w:rsidRPr="00800D1B" w:rsidRDefault="00623E14" w:rsidP="00BD52ED">
      <w:pPr>
        <w:pStyle w:val="Rubrik3"/>
        <w:numPr>
          <w:ilvl w:val="0"/>
          <w:numId w:val="0"/>
        </w:numPr>
        <w:spacing w:before="160" w:after="100"/>
        <w:contextualSpacing w:val="0"/>
        <w:rPr>
          <w:lang w:val="sv-SE"/>
        </w:rPr>
      </w:pPr>
      <w:r w:rsidRPr="00800D1B">
        <w:rPr>
          <w:lang w:val="sv-SE"/>
        </w:rPr>
        <w:t>Tabell 12: Nödvändiga villkor</w:t>
      </w:r>
    </w:p>
    <w:tbl>
      <w:tblPr>
        <w:tblStyle w:val="Tabellrutnt"/>
        <w:tblW w:w="15600" w:type="dxa"/>
        <w:tblLayout w:type="fixed"/>
        <w:tblLook w:val="04A0" w:firstRow="1" w:lastRow="0" w:firstColumn="1" w:lastColumn="0" w:noHBand="0" w:noVBand="1"/>
        <w:tblDescription w:val="En tabell med åtta kolumner: Nödvändigt villkor; Fond; Specifikt mål; Uppfyllnad av nödvändigt villkor; Kriterier; Uppfyllnad av kriterier; Hänvisning till relevanta dokument; Motivering. Tabellen visar information om Nödvändiga villkor."/>
      </w:tblPr>
      <w:tblGrid>
        <w:gridCol w:w="1600"/>
        <w:gridCol w:w="800"/>
        <w:gridCol w:w="1600"/>
        <w:gridCol w:w="1000"/>
        <w:gridCol w:w="2800"/>
        <w:gridCol w:w="1000"/>
        <w:gridCol w:w="3400"/>
        <w:gridCol w:w="3400"/>
      </w:tblGrid>
      <w:tr w:rsidR="003422DB" w:rsidRPr="00800D1B" w14:paraId="2D06691D" w14:textId="77777777" w:rsidTr="00947135">
        <w:trPr>
          <w:tblHeader/>
        </w:trPr>
        <w:tc>
          <w:tcPr>
            <w:tcW w:w="1600" w:type="dxa"/>
          </w:tcPr>
          <w:p w14:paraId="2D066915" w14:textId="77777777" w:rsidR="00A77B3E" w:rsidRPr="00800D1B" w:rsidRDefault="00623E14" w:rsidP="00A26CDD">
            <w:pPr>
              <w:spacing w:before="100" w:after="100"/>
              <w:ind w:left="-72"/>
              <w:jc w:val="center"/>
              <w:rPr>
                <w:color w:val="000000"/>
                <w:sz w:val="20"/>
                <w:lang w:val="sv-SE"/>
              </w:rPr>
            </w:pPr>
            <w:r w:rsidRPr="00800D1B">
              <w:rPr>
                <w:color w:val="000000"/>
                <w:sz w:val="20"/>
                <w:lang w:val="sv-SE"/>
              </w:rPr>
              <w:t>Nödvändigt villkor</w:t>
            </w:r>
          </w:p>
        </w:tc>
        <w:tc>
          <w:tcPr>
            <w:tcW w:w="800" w:type="dxa"/>
          </w:tcPr>
          <w:p w14:paraId="2D066916" w14:textId="77777777" w:rsidR="00A77B3E" w:rsidRPr="00800D1B" w:rsidRDefault="00623E14" w:rsidP="00A26CDD">
            <w:pPr>
              <w:spacing w:before="100" w:after="100"/>
              <w:ind w:left="-72"/>
              <w:jc w:val="center"/>
              <w:rPr>
                <w:color w:val="000000"/>
                <w:sz w:val="20"/>
                <w:lang w:val="sv-SE"/>
              </w:rPr>
            </w:pPr>
            <w:r w:rsidRPr="00800D1B">
              <w:rPr>
                <w:color w:val="000000"/>
                <w:sz w:val="20"/>
                <w:lang w:val="sv-SE"/>
              </w:rPr>
              <w:t>Fond</w:t>
            </w:r>
          </w:p>
        </w:tc>
        <w:tc>
          <w:tcPr>
            <w:tcW w:w="1600" w:type="dxa"/>
          </w:tcPr>
          <w:p w14:paraId="2D066917" w14:textId="77777777" w:rsidR="00A77B3E" w:rsidRPr="00800D1B" w:rsidRDefault="00623E14" w:rsidP="00A26CDD">
            <w:pPr>
              <w:spacing w:before="100" w:after="100"/>
              <w:ind w:left="-72"/>
              <w:jc w:val="center"/>
              <w:rPr>
                <w:color w:val="000000"/>
                <w:sz w:val="20"/>
                <w:lang w:val="sv-SE"/>
              </w:rPr>
            </w:pPr>
            <w:r w:rsidRPr="00800D1B">
              <w:rPr>
                <w:color w:val="000000"/>
                <w:sz w:val="20"/>
                <w:lang w:val="sv-SE"/>
              </w:rPr>
              <w:t>Specifikt mål</w:t>
            </w:r>
          </w:p>
        </w:tc>
        <w:tc>
          <w:tcPr>
            <w:tcW w:w="1000" w:type="dxa"/>
          </w:tcPr>
          <w:p w14:paraId="2D066918" w14:textId="77777777" w:rsidR="00A77B3E" w:rsidRPr="00800D1B" w:rsidRDefault="00623E14" w:rsidP="00A26CDD">
            <w:pPr>
              <w:spacing w:before="100" w:after="100"/>
              <w:ind w:left="-72"/>
              <w:jc w:val="center"/>
              <w:rPr>
                <w:color w:val="000000"/>
                <w:sz w:val="20"/>
                <w:lang w:val="sv-SE"/>
              </w:rPr>
            </w:pPr>
            <w:r w:rsidRPr="00800D1B">
              <w:rPr>
                <w:color w:val="000000"/>
                <w:sz w:val="20"/>
                <w:lang w:val="sv-SE"/>
              </w:rPr>
              <w:t>Uppfyllnad av nödvändigt villkor</w:t>
            </w:r>
          </w:p>
        </w:tc>
        <w:tc>
          <w:tcPr>
            <w:tcW w:w="2800" w:type="dxa"/>
          </w:tcPr>
          <w:p w14:paraId="2D066919" w14:textId="77777777" w:rsidR="00A77B3E" w:rsidRPr="00800D1B" w:rsidRDefault="00623E14" w:rsidP="00A26CDD">
            <w:pPr>
              <w:spacing w:before="100" w:after="100"/>
              <w:ind w:left="-72"/>
              <w:jc w:val="center"/>
              <w:rPr>
                <w:color w:val="000000"/>
                <w:sz w:val="20"/>
                <w:lang w:val="sv-SE"/>
              </w:rPr>
            </w:pPr>
            <w:r w:rsidRPr="00800D1B">
              <w:rPr>
                <w:color w:val="000000"/>
                <w:sz w:val="20"/>
                <w:lang w:val="sv-SE"/>
              </w:rPr>
              <w:t>Kriterier</w:t>
            </w:r>
          </w:p>
        </w:tc>
        <w:tc>
          <w:tcPr>
            <w:tcW w:w="1000" w:type="dxa"/>
          </w:tcPr>
          <w:p w14:paraId="2D06691A" w14:textId="77777777" w:rsidR="00A77B3E" w:rsidRPr="00800D1B" w:rsidRDefault="00623E14" w:rsidP="00A26CDD">
            <w:pPr>
              <w:spacing w:before="100" w:after="100"/>
              <w:ind w:left="-72"/>
              <w:jc w:val="center"/>
              <w:rPr>
                <w:color w:val="000000"/>
                <w:sz w:val="20"/>
                <w:lang w:val="sv-SE"/>
              </w:rPr>
            </w:pPr>
            <w:r w:rsidRPr="00800D1B">
              <w:rPr>
                <w:color w:val="000000"/>
                <w:sz w:val="20"/>
                <w:lang w:val="sv-SE"/>
              </w:rPr>
              <w:t>Uppfyllnad av kriterier</w:t>
            </w:r>
          </w:p>
        </w:tc>
        <w:tc>
          <w:tcPr>
            <w:tcW w:w="3400" w:type="dxa"/>
          </w:tcPr>
          <w:p w14:paraId="2D06691B" w14:textId="77777777" w:rsidR="00A77B3E" w:rsidRPr="00800D1B" w:rsidRDefault="00623E14" w:rsidP="00A26CDD">
            <w:pPr>
              <w:spacing w:before="100" w:after="100"/>
              <w:ind w:left="-72"/>
              <w:jc w:val="center"/>
              <w:rPr>
                <w:color w:val="000000"/>
                <w:sz w:val="20"/>
                <w:lang w:val="sv-SE"/>
              </w:rPr>
            </w:pPr>
            <w:r w:rsidRPr="00800D1B">
              <w:rPr>
                <w:color w:val="000000"/>
                <w:sz w:val="20"/>
                <w:lang w:val="sv-SE"/>
              </w:rPr>
              <w:t>Hänvisning till relevanta dokument</w:t>
            </w:r>
          </w:p>
        </w:tc>
        <w:tc>
          <w:tcPr>
            <w:tcW w:w="3400" w:type="dxa"/>
          </w:tcPr>
          <w:p w14:paraId="2D06691C" w14:textId="77777777" w:rsidR="00A77B3E" w:rsidRPr="00800D1B" w:rsidRDefault="00623E14" w:rsidP="00A26CDD">
            <w:pPr>
              <w:spacing w:before="100" w:after="100"/>
              <w:ind w:left="-72"/>
              <w:jc w:val="center"/>
              <w:rPr>
                <w:color w:val="000000"/>
                <w:sz w:val="20"/>
                <w:lang w:val="sv-SE"/>
              </w:rPr>
            </w:pPr>
            <w:r w:rsidRPr="00800D1B">
              <w:rPr>
                <w:color w:val="000000"/>
                <w:sz w:val="20"/>
                <w:lang w:val="sv-SE"/>
              </w:rPr>
              <w:t>Motivering</w:t>
            </w:r>
          </w:p>
        </w:tc>
      </w:tr>
      <w:tr w:rsidR="003422DB" w:rsidRPr="00BD3045" w14:paraId="2D06692F" w14:textId="77777777" w:rsidTr="00A26CDD">
        <w:tc>
          <w:tcPr>
            <w:tcW w:w="1600" w:type="dxa"/>
            <w:vMerge w:val="restart"/>
          </w:tcPr>
          <w:p w14:paraId="2D06691E" w14:textId="47738F8D" w:rsidR="00A77B3E" w:rsidRPr="00800D1B" w:rsidRDefault="00623E14">
            <w:pPr>
              <w:pStyle w:val="Liststycke"/>
              <w:numPr>
                <w:ilvl w:val="0"/>
                <w:numId w:val="70"/>
              </w:numPr>
              <w:tabs>
                <w:tab w:val="left" w:pos="210"/>
              </w:tabs>
              <w:spacing w:before="100" w:after="100"/>
              <w:ind w:left="-72" w:firstLine="0"/>
              <w:rPr>
                <w:color w:val="000000"/>
                <w:sz w:val="20"/>
                <w:lang w:val="sv-SE"/>
              </w:rPr>
            </w:pPr>
            <w:r w:rsidRPr="00800D1B">
              <w:rPr>
                <w:color w:val="000000"/>
                <w:sz w:val="20"/>
                <w:lang w:val="sv-SE"/>
              </w:rPr>
              <w:t>Effektiva mekanismer för övervakning av marknaden för offentlig upphandling</w:t>
            </w:r>
          </w:p>
        </w:tc>
        <w:tc>
          <w:tcPr>
            <w:tcW w:w="800" w:type="dxa"/>
            <w:vMerge w:val="restart"/>
          </w:tcPr>
          <w:p w14:paraId="2D06691F" w14:textId="77777777" w:rsidR="00A77B3E" w:rsidRPr="00800D1B" w:rsidRDefault="00A77B3E" w:rsidP="00A26CDD">
            <w:pPr>
              <w:spacing w:before="100" w:after="100"/>
              <w:ind w:left="-72"/>
              <w:rPr>
                <w:color w:val="000000"/>
                <w:sz w:val="20"/>
                <w:lang w:val="sv-SE"/>
              </w:rPr>
            </w:pPr>
          </w:p>
        </w:tc>
        <w:tc>
          <w:tcPr>
            <w:tcW w:w="1600" w:type="dxa"/>
            <w:vMerge w:val="restart"/>
          </w:tcPr>
          <w:p w14:paraId="2D066920" w14:textId="77777777" w:rsidR="00A77B3E" w:rsidRPr="00800D1B" w:rsidRDefault="00A77B3E" w:rsidP="00A26CDD">
            <w:pPr>
              <w:spacing w:before="100" w:after="100"/>
              <w:ind w:left="-72"/>
              <w:rPr>
                <w:color w:val="000000"/>
                <w:sz w:val="20"/>
                <w:lang w:val="sv-SE"/>
              </w:rPr>
            </w:pPr>
          </w:p>
        </w:tc>
        <w:tc>
          <w:tcPr>
            <w:tcW w:w="1000" w:type="dxa"/>
            <w:vMerge w:val="restart"/>
          </w:tcPr>
          <w:p w14:paraId="2D066921" w14:textId="77777777" w:rsidR="00A77B3E" w:rsidRPr="00800D1B" w:rsidRDefault="00623E14" w:rsidP="00A26CDD">
            <w:pPr>
              <w:spacing w:before="100" w:after="100"/>
              <w:ind w:left="-72"/>
              <w:jc w:val="center"/>
              <w:rPr>
                <w:color w:val="000000"/>
                <w:sz w:val="20"/>
                <w:lang w:val="sv-SE"/>
              </w:rPr>
            </w:pPr>
            <w:r w:rsidRPr="00800D1B">
              <w:rPr>
                <w:color w:val="000000"/>
                <w:sz w:val="20"/>
                <w:lang w:val="sv-SE"/>
              </w:rPr>
              <w:t>Ja</w:t>
            </w:r>
          </w:p>
        </w:tc>
        <w:tc>
          <w:tcPr>
            <w:tcW w:w="2800" w:type="dxa"/>
          </w:tcPr>
          <w:p w14:paraId="3BF80416" w14:textId="77777777" w:rsidR="006D4EC5" w:rsidRPr="00800D1B" w:rsidRDefault="00623E14" w:rsidP="00A26CDD">
            <w:pPr>
              <w:spacing w:before="100" w:after="100"/>
              <w:ind w:left="-72"/>
              <w:rPr>
                <w:color w:val="000000"/>
                <w:sz w:val="20"/>
                <w:lang w:val="sv-SE"/>
              </w:rPr>
            </w:pPr>
            <w:r w:rsidRPr="00800D1B">
              <w:rPr>
                <w:color w:val="000000"/>
                <w:sz w:val="20"/>
                <w:lang w:val="sv-SE"/>
              </w:rPr>
              <w:t>Övervakningsmekanismer har införts och omfattar alla offentliga kontrakt och upphandlingen av dem inom ramen för fonderna i enlighet med unionens upphandlingslagstiftning. Det kravet omfattar följande:</w:t>
            </w:r>
          </w:p>
          <w:p w14:paraId="2D066922" w14:textId="7DADC4EE" w:rsidR="00A77B3E" w:rsidRPr="00800D1B" w:rsidRDefault="00623E14">
            <w:pPr>
              <w:pStyle w:val="Liststycke"/>
              <w:numPr>
                <w:ilvl w:val="0"/>
                <w:numId w:val="77"/>
              </w:numPr>
              <w:tabs>
                <w:tab w:val="left" w:pos="241"/>
              </w:tabs>
              <w:spacing w:after="100"/>
              <w:ind w:left="-72" w:hanging="29"/>
              <w:rPr>
                <w:color w:val="000000"/>
                <w:sz w:val="20"/>
                <w:lang w:val="sv-SE"/>
              </w:rPr>
            </w:pPr>
            <w:r w:rsidRPr="00800D1B">
              <w:rPr>
                <w:color w:val="000000"/>
                <w:sz w:val="20"/>
                <w:lang w:val="sv-SE"/>
              </w:rPr>
              <w:t>Arrangemang för att säkerställa insamling av effektiva och tillförlitliga uppgifter om offentliga upphandlingsförfaranden som överstiger unionens tröskelvärden enligt rapporteringsskyldigheterna i artiklarna 83 och 84 i direktiv 2014/24/EU och artiklarna 99 och 100 i direktiv 2014/25/EU.</w:t>
            </w:r>
          </w:p>
        </w:tc>
        <w:tc>
          <w:tcPr>
            <w:tcW w:w="1000" w:type="dxa"/>
          </w:tcPr>
          <w:p w14:paraId="2D066923" w14:textId="77777777" w:rsidR="00A77B3E" w:rsidRPr="00800D1B" w:rsidRDefault="00623E14" w:rsidP="00A26CDD">
            <w:pPr>
              <w:spacing w:before="100" w:after="100"/>
              <w:ind w:left="-72"/>
              <w:jc w:val="center"/>
              <w:rPr>
                <w:color w:val="000000"/>
                <w:sz w:val="20"/>
                <w:lang w:val="sv-SE"/>
              </w:rPr>
            </w:pPr>
            <w:r w:rsidRPr="00800D1B">
              <w:rPr>
                <w:color w:val="000000"/>
                <w:sz w:val="20"/>
                <w:lang w:val="sv-SE"/>
              </w:rPr>
              <w:t>Ja</w:t>
            </w:r>
          </w:p>
        </w:tc>
        <w:tc>
          <w:tcPr>
            <w:tcW w:w="3400" w:type="dxa"/>
          </w:tcPr>
          <w:p w14:paraId="2D066924" w14:textId="77777777" w:rsidR="00A77B3E" w:rsidRPr="00800D1B" w:rsidRDefault="00623E14" w:rsidP="00B55BCE">
            <w:pPr>
              <w:spacing w:before="100" w:after="300"/>
              <w:ind w:left="-72"/>
              <w:rPr>
                <w:color w:val="000000"/>
                <w:sz w:val="20"/>
                <w:lang w:val="sv-SE"/>
              </w:rPr>
            </w:pPr>
            <w:r w:rsidRPr="00800D1B">
              <w:rPr>
                <w:color w:val="000000"/>
                <w:sz w:val="20"/>
                <w:lang w:val="sv-SE"/>
              </w:rPr>
              <w:t>Lag (2016:1145) om offentlig upphandling</w:t>
            </w:r>
          </w:p>
          <w:p w14:paraId="2D066926" w14:textId="77777777" w:rsidR="00A77B3E" w:rsidRPr="00800D1B" w:rsidRDefault="00623E14" w:rsidP="00B55BCE">
            <w:pPr>
              <w:spacing w:after="300"/>
              <w:ind w:left="-72"/>
              <w:rPr>
                <w:color w:val="000000"/>
                <w:sz w:val="20"/>
                <w:lang w:val="sv-SE"/>
              </w:rPr>
            </w:pPr>
            <w:r w:rsidRPr="00800D1B">
              <w:rPr>
                <w:color w:val="000000"/>
                <w:sz w:val="20"/>
                <w:lang w:val="sv-SE"/>
              </w:rPr>
              <w:t>Upphandlingsförordning (2016:1162)</w:t>
            </w:r>
          </w:p>
          <w:p w14:paraId="2D066928" w14:textId="77777777" w:rsidR="00A77B3E" w:rsidRPr="00800D1B" w:rsidRDefault="00623E14" w:rsidP="00B55BCE">
            <w:pPr>
              <w:spacing w:before="100" w:after="300"/>
              <w:ind w:left="-72"/>
              <w:rPr>
                <w:color w:val="000000"/>
                <w:sz w:val="20"/>
                <w:lang w:val="sv-SE"/>
              </w:rPr>
            </w:pPr>
            <w:r w:rsidRPr="00800D1B">
              <w:rPr>
                <w:color w:val="000000"/>
                <w:sz w:val="20"/>
                <w:lang w:val="sv-SE"/>
              </w:rPr>
              <w:t>Lag (2019:668) om upphandlingsstatistik</w:t>
            </w:r>
          </w:p>
          <w:p w14:paraId="2D06692A" w14:textId="77777777" w:rsidR="00A77B3E" w:rsidRPr="00800D1B" w:rsidRDefault="00623E14" w:rsidP="00B55BCE">
            <w:pPr>
              <w:spacing w:before="100" w:after="300"/>
              <w:ind w:left="-72"/>
              <w:rPr>
                <w:color w:val="000000"/>
                <w:sz w:val="20"/>
                <w:lang w:val="sv-SE"/>
              </w:rPr>
            </w:pPr>
            <w:r w:rsidRPr="00800D1B">
              <w:rPr>
                <w:color w:val="000000"/>
                <w:sz w:val="20"/>
                <w:lang w:val="sv-SE"/>
              </w:rPr>
              <w:t>Förordning (2020:332) om upphandlingsstatistik</w:t>
            </w:r>
          </w:p>
          <w:p w14:paraId="2D06692C" w14:textId="77777777" w:rsidR="00A77B3E" w:rsidRPr="00800D1B" w:rsidRDefault="00623E14" w:rsidP="00B55BCE">
            <w:pPr>
              <w:spacing w:before="100" w:after="200"/>
              <w:ind w:left="-72"/>
              <w:rPr>
                <w:color w:val="000000"/>
                <w:sz w:val="20"/>
                <w:lang w:val="sv-SE"/>
              </w:rPr>
            </w:pPr>
            <w:r w:rsidRPr="00800D1B">
              <w:rPr>
                <w:color w:val="000000"/>
                <w:sz w:val="20"/>
                <w:lang w:val="sv-SE"/>
              </w:rPr>
              <w:t xml:space="preserve">Upphandlingsmyndighetens föreskrift (UFS 2020:1) om insamling av uppgifter för statistikändamål </w:t>
            </w:r>
          </w:p>
          <w:p w14:paraId="2D06692D" w14:textId="3A12BF22" w:rsidR="00A77B3E" w:rsidRPr="00800D1B" w:rsidRDefault="00000000" w:rsidP="00A26CDD">
            <w:pPr>
              <w:spacing w:before="100" w:after="100"/>
              <w:ind w:left="-72"/>
              <w:rPr>
                <w:color w:val="000000"/>
                <w:sz w:val="20"/>
                <w:lang w:val="sv-SE"/>
              </w:rPr>
            </w:pPr>
            <w:hyperlink r:id="rId37" w:history="1">
              <w:r w:rsidR="00623E14" w:rsidRPr="00800D1B">
                <w:rPr>
                  <w:rStyle w:val="Hyperlnk"/>
                  <w:sz w:val="20"/>
                  <w:lang w:val="sv-SE"/>
                </w:rPr>
                <w:t>https://www.konkurrensverket.se/upphandling/registrerade-annonsdatabaser/lagar-och-forordningar-annonsdatabaser/</w:t>
              </w:r>
            </w:hyperlink>
          </w:p>
        </w:tc>
        <w:tc>
          <w:tcPr>
            <w:tcW w:w="3400" w:type="dxa"/>
          </w:tcPr>
          <w:p w14:paraId="2D06692E" w14:textId="77777777" w:rsidR="00A77B3E" w:rsidRPr="00800D1B" w:rsidRDefault="00623E14" w:rsidP="00A26CDD">
            <w:pPr>
              <w:spacing w:before="100" w:after="100"/>
              <w:ind w:left="-72"/>
              <w:rPr>
                <w:color w:val="000000"/>
                <w:sz w:val="20"/>
                <w:lang w:val="sv-SE"/>
              </w:rPr>
            </w:pPr>
            <w:r w:rsidRPr="00800D1B">
              <w:rPr>
                <w:color w:val="000000"/>
                <w:sz w:val="20"/>
                <w:lang w:val="sv-SE"/>
              </w:rPr>
              <w:t>Konkurrensverket är tillsynsmyndighet för den offentliga upphandlingen. Den 1 juli 2020 trädde en ny lag om upphandlingsstatistik i kraft. Lagen skapar förutsättningar för att samla in uppgifter om offentliga upphandlingar och att publicera mer tillgänglig statistik. Den nya lagen innebär att upphandlingar ska annonseras i registrerade annonsdatabaser som är skyldiga att lämna uppgifter till den myndighet som har huvudansvaret för statistiken på upphandlingsområdet. Upphandlingsmyndigheten är statistikmyndighet och ansvarar för statistikdatabasens drift och innehållet i statistikdatabasen. Upphandlingsmyndigheten ska rapportera avvikelser av vikt från rapporteringsskyldigheten till Konkurrensverket. Konkurrensverket är registermyndighet för annonsdatabaser. Konkurrensverket är också ansvarig att utöva tillsyn över registrerade annonsdatabaser. Konkurrensverket har enligt lagen om upphandlingsstatistik möjlighet att meddela de förelägganden som behövs för att lagen eller de föreskrifter och villkor som har meddelats i anslutning till lagen ska efterlevas.</w:t>
            </w:r>
          </w:p>
        </w:tc>
      </w:tr>
      <w:tr w:rsidR="003422DB" w:rsidRPr="00BD3045" w14:paraId="2D066944" w14:textId="77777777" w:rsidTr="00A26CDD">
        <w:tc>
          <w:tcPr>
            <w:tcW w:w="1600" w:type="dxa"/>
            <w:vMerge/>
          </w:tcPr>
          <w:p w14:paraId="2D066930" w14:textId="77777777" w:rsidR="00A77B3E" w:rsidRPr="00800D1B" w:rsidRDefault="00A77B3E" w:rsidP="00A26CDD">
            <w:pPr>
              <w:spacing w:before="100" w:after="100"/>
              <w:ind w:left="-72"/>
              <w:rPr>
                <w:color w:val="000000"/>
                <w:sz w:val="20"/>
                <w:lang w:val="sv-SE"/>
              </w:rPr>
            </w:pPr>
          </w:p>
        </w:tc>
        <w:tc>
          <w:tcPr>
            <w:tcW w:w="800" w:type="dxa"/>
            <w:vMerge/>
          </w:tcPr>
          <w:p w14:paraId="2D066931" w14:textId="77777777" w:rsidR="00A77B3E" w:rsidRPr="00800D1B" w:rsidRDefault="00A77B3E" w:rsidP="00A26CDD">
            <w:pPr>
              <w:spacing w:before="100" w:after="100"/>
              <w:ind w:left="-72"/>
              <w:rPr>
                <w:color w:val="000000"/>
                <w:sz w:val="20"/>
                <w:lang w:val="sv-SE"/>
              </w:rPr>
            </w:pPr>
          </w:p>
        </w:tc>
        <w:tc>
          <w:tcPr>
            <w:tcW w:w="1600" w:type="dxa"/>
            <w:vMerge/>
          </w:tcPr>
          <w:p w14:paraId="2D066932" w14:textId="77777777" w:rsidR="00A77B3E" w:rsidRPr="00800D1B" w:rsidRDefault="00A77B3E" w:rsidP="00A26CDD">
            <w:pPr>
              <w:spacing w:before="100" w:after="100"/>
              <w:ind w:left="-72"/>
              <w:rPr>
                <w:color w:val="000000"/>
                <w:sz w:val="20"/>
                <w:lang w:val="sv-SE"/>
              </w:rPr>
            </w:pPr>
          </w:p>
        </w:tc>
        <w:tc>
          <w:tcPr>
            <w:tcW w:w="1000" w:type="dxa"/>
            <w:vMerge/>
          </w:tcPr>
          <w:p w14:paraId="2D066933" w14:textId="77777777" w:rsidR="00A77B3E" w:rsidRPr="00800D1B" w:rsidRDefault="00A77B3E" w:rsidP="00A26CDD">
            <w:pPr>
              <w:spacing w:before="100" w:after="100"/>
              <w:ind w:left="-72"/>
              <w:rPr>
                <w:color w:val="000000"/>
                <w:sz w:val="20"/>
                <w:lang w:val="sv-SE"/>
              </w:rPr>
            </w:pPr>
          </w:p>
        </w:tc>
        <w:tc>
          <w:tcPr>
            <w:tcW w:w="2800" w:type="dxa"/>
          </w:tcPr>
          <w:p w14:paraId="2D066934" w14:textId="766B3AAD" w:rsidR="00A77B3E" w:rsidRPr="00800D1B" w:rsidRDefault="00623E14">
            <w:pPr>
              <w:pStyle w:val="Liststycke"/>
              <w:numPr>
                <w:ilvl w:val="0"/>
                <w:numId w:val="77"/>
              </w:numPr>
              <w:tabs>
                <w:tab w:val="left" w:pos="241"/>
              </w:tabs>
              <w:spacing w:after="100"/>
              <w:ind w:left="-72" w:hanging="29"/>
              <w:rPr>
                <w:color w:val="000000"/>
                <w:sz w:val="20"/>
                <w:lang w:val="sv-SE"/>
              </w:rPr>
            </w:pPr>
            <w:r w:rsidRPr="00800D1B">
              <w:rPr>
                <w:color w:val="000000"/>
                <w:sz w:val="20"/>
                <w:lang w:val="sv-SE"/>
              </w:rPr>
              <w:t xml:space="preserve">Arrangemang för att säkerställa att uppgifterna omfattar minst följande delar: </w:t>
            </w:r>
          </w:p>
          <w:p w14:paraId="2D066935" w14:textId="1448D699" w:rsidR="00A77B3E" w:rsidRPr="00800D1B" w:rsidRDefault="00623E14">
            <w:pPr>
              <w:pStyle w:val="Liststycke"/>
              <w:numPr>
                <w:ilvl w:val="1"/>
                <w:numId w:val="88"/>
              </w:numPr>
              <w:tabs>
                <w:tab w:val="left" w:pos="316"/>
              </w:tabs>
              <w:spacing w:before="100" w:after="100"/>
              <w:ind w:left="-72" w:firstLine="0"/>
              <w:contextualSpacing w:val="0"/>
              <w:rPr>
                <w:color w:val="000000"/>
                <w:sz w:val="20"/>
                <w:lang w:val="sv-SE"/>
              </w:rPr>
            </w:pPr>
            <w:r w:rsidRPr="00800D1B">
              <w:rPr>
                <w:color w:val="000000"/>
                <w:sz w:val="20"/>
                <w:lang w:val="sv-SE"/>
              </w:rPr>
              <w:t xml:space="preserve">Konkurrensens kvalitet och intensitet: namnen på den vinnande anbudsgivaren, antalet ursprungliga anbudsgivare och kontraktsvärdet. </w:t>
            </w:r>
          </w:p>
          <w:p w14:paraId="2D066936" w14:textId="4FF9157B" w:rsidR="00A77B3E" w:rsidRPr="00800D1B" w:rsidRDefault="00623E14">
            <w:pPr>
              <w:pStyle w:val="Liststycke"/>
              <w:numPr>
                <w:ilvl w:val="1"/>
                <w:numId w:val="88"/>
              </w:numPr>
              <w:tabs>
                <w:tab w:val="left" w:pos="316"/>
              </w:tabs>
              <w:spacing w:before="100" w:after="100"/>
              <w:ind w:left="-72" w:firstLine="0"/>
              <w:contextualSpacing w:val="0"/>
              <w:rPr>
                <w:color w:val="000000"/>
                <w:sz w:val="20"/>
                <w:lang w:val="sv-SE"/>
              </w:rPr>
            </w:pPr>
            <w:r w:rsidRPr="00800D1B">
              <w:rPr>
                <w:color w:val="000000"/>
                <w:sz w:val="20"/>
                <w:lang w:val="sv-SE"/>
              </w:rPr>
              <w:t>Information om det slutliga priset efter slutförandet och om små och medelstora företags deltagande som direkta anbudsgivare, om sådan information tillhandahålls i de nationella systemen.</w:t>
            </w:r>
          </w:p>
        </w:tc>
        <w:tc>
          <w:tcPr>
            <w:tcW w:w="1000" w:type="dxa"/>
          </w:tcPr>
          <w:p w14:paraId="2D066937" w14:textId="77777777" w:rsidR="00A77B3E" w:rsidRPr="00800D1B" w:rsidRDefault="00623E14" w:rsidP="00A26CDD">
            <w:pPr>
              <w:spacing w:before="100" w:after="100"/>
              <w:ind w:left="-72"/>
              <w:jc w:val="center"/>
              <w:rPr>
                <w:color w:val="000000"/>
                <w:sz w:val="20"/>
                <w:lang w:val="sv-SE"/>
              </w:rPr>
            </w:pPr>
            <w:r w:rsidRPr="00800D1B">
              <w:rPr>
                <w:color w:val="000000"/>
                <w:sz w:val="20"/>
                <w:lang w:val="sv-SE"/>
              </w:rPr>
              <w:t>Ja</w:t>
            </w:r>
          </w:p>
        </w:tc>
        <w:tc>
          <w:tcPr>
            <w:tcW w:w="3400" w:type="dxa"/>
          </w:tcPr>
          <w:p w14:paraId="2D066938" w14:textId="77777777" w:rsidR="00A77B3E" w:rsidRPr="00800D1B" w:rsidRDefault="00623E14" w:rsidP="00B55BCE">
            <w:pPr>
              <w:spacing w:before="100" w:after="360"/>
              <w:ind w:left="-72"/>
              <w:rPr>
                <w:color w:val="000000"/>
                <w:sz w:val="20"/>
                <w:lang w:val="sv-SE"/>
              </w:rPr>
            </w:pPr>
            <w:r w:rsidRPr="00800D1B">
              <w:rPr>
                <w:color w:val="000000"/>
                <w:sz w:val="20"/>
                <w:lang w:val="sv-SE"/>
              </w:rPr>
              <w:t>Lag (2019:668) om upphandlingsstatistik</w:t>
            </w:r>
          </w:p>
          <w:p w14:paraId="2D06693A" w14:textId="77777777" w:rsidR="00A77B3E" w:rsidRPr="00800D1B" w:rsidRDefault="00623E14" w:rsidP="00B55BCE">
            <w:pPr>
              <w:spacing w:before="100" w:after="360"/>
              <w:ind w:left="-72"/>
              <w:rPr>
                <w:color w:val="000000"/>
                <w:sz w:val="20"/>
                <w:lang w:val="sv-SE"/>
              </w:rPr>
            </w:pPr>
            <w:r w:rsidRPr="00800D1B">
              <w:rPr>
                <w:color w:val="000000"/>
                <w:sz w:val="20"/>
                <w:lang w:val="sv-SE"/>
              </w:rPr>
              <w:t>Förordning (2020:332) om upphandlingsstatistik</w:t>
            </w:r>
          </w:p>
          <w:p w14:paraId="2D06693C" w14:textId="77777777" w:rsidR="00A77B3E" w:rsidRPr="00800D1B" w:rsidRDefault="00623E14" w:rsidP="00B55BCE">
            <w:pPr>
              <w:spacing w:before="100" w:after="360"/>
              <w:ind w:left="-72"/>
              <w:rPr>
                <w:color w:val="000000"/>
                <w:sz w:val="20"/>
                <w:lang w:val="sv-SE"/>
              </w:rPr>
            </w:pPr>
            <w:r w:rsidRPr="00800D1B">
              <w:rPr>
                <w:color w:val="000000"/>
                <w:sz w:val="20"/>
                <w:lang w:val="sv-SE"/>
              </w:rPr>
              <w:t xml:space="preserve">Upphandlingsmyndighetens föreskrift (UFS 2020:1) om insamling av uppgifter för statistikändamål </w:t>
            </w:r>
          </w:p>
          <w:p w14:paraId="2D06693F" w14:textId="080504BA" w:rsidR="00A77B3E" w:rsidRPr="00800D1B" w:rsidRDefault="00623E14" w:rsidP="00A26CDD">
            <w:pPr>
              <w:spacing w:before="100" w:after="100"/>
              <w:ind w:left="-72"/>
              <w:rPr>
                <w:color w:val="000000"/>
                <w:sz w:val="20"/>
                <w:lang w:val="sv-SE"/>
              </w:rPr>
            </w:pPr>
            <w:r w:rsidRPr="00800D1B">
              <w:rPr>
                <w:color w:val="000000"/>
                <w:sz w:val="20"/>
                <w:lang w:val="sv-SE"/>
              </w:rPr>
              <w:t>Upphandlingsförordningen (2016:1162)</w:t>
            </w:r>
          </w:p>
        </w:tc>
        <w:tc>
          <w:tcPr>
            <w:tcW w:w="3400" w:type="dxa"/>
          </w:tcPr>
          <w:p w14:paraId="2D066940" w14:textId="77777777" w:rsidR="00A77B3E" w:rsidRPr="00800D1B" w:rsidRDefault="00623E14" w:rsidP="00A26CDD">
            <w:pPr>
              <w:spacing w:before="100" w:after="100"/>
              <w:ind w:left="-72"/>
              <w:rPr>
                <w:color w:val="000000"/>
                <w:sz w:val="20"/>
                <w:lang w:val="sv-SE"/>
              </w:rPr>
            </w:pPr>
            <w:r w:rsidRPr="00800D1B">
              <w:rPr>
                <w:color w:val="000000"/>
                <w:sz w:val="20"/>
                <w:lang w:val="sv-SE"/>
              </w:rPr>
              <w:t>Statistikdatabasen ska innehålla uppgifter från och om annonser om upphandling. Uttrycket ”från och om annonser” tar dels sikte på att det är fråga om vissa uppgifter som finns uttryckligen angivna i själva annonserna om upphandling. Uttrycket tar också sikte på s.k. metadata, det vill säga uppgifter som inte direkt anges i själva annonsen men som ändå hör till den. De uppgifter från och om annonser om upphandling som ska lämnas till statistikmyndigheten framgår av bilaga A till UFS 2020:1.</w:t>
            </w:r>
          </w:p>
          <w:p w14:paraId="2D066941" w14:textId="77777777" w:rsidR="00A77B3E" w:rsidRPr="00800D1B" w:rsidRDefault="00623E14" w:rsidP="00A26CDD">
            <w:pPr>
              <w:spacing w:before="100" w:after="100"/>
              <w:ind w:left="-72"/>
              <w:rPr>
                <w:color w:val="000000"/>
                <w:sz w:val="20"/>
                <w:lang w:val="sv-SE"/>
              </w:rPr>
            </w:pPr>
            <w:r w:rsidRPr="00800D1B">
              <w:rPr>
                <w:color w:val="000000"/>
                <w:sz w:val="20"/>
                <w:lang w:val="sv-SE"/>
              </w:rPr>
              <w:t>Statistikdatabasen får även innehålla andra uppgifter om upphandling som behövs för att ta fram statistik.</w:t>
            </w:r>
          </w:p>
          <w:p w14:paraId="2D066942" w14:textId="77777777" w:rsidR="00A77B3E" w:rsidRPr="00800D1B" w:rsidRDefault="00623E14" w:rsidP="00A26CDD">
            <w:pPr>
              <w:spacing w:before="100" w:after="100"/>
              <w:ind w:left="-72"/>
              <w:rPr>
                <w:color w:val="000000"/>
                <w:sz w:val="20"/>
                <w:lang w:val="sv-SE"/>
              </w:rPr>
            </w:pPr>
            <w:r w:rsidRPr="00800D1B">
              <w:rPr>
                <w:color w:val="000000"/>
                <w:sz w:val="20"/>
                <w:lang w:val="sv-SE"/>
              </w:rPr>
              <w:t>En registrerad annonsdatabas ska ha en funktion som gör det möjligt att identifiera enskilda upphandlingar bland de annonser som publiceras i annonsdatabasen.</w:t>
            </w:r>
          </w:p>
          <w:p w14:paraId="2D066943" w14:textId="77777777" w:rsidR="00A77B3E" w:rsidRPr="00800D1B" w:rsidRDefault="00A77B3E" w:rsidP="00A26CDD">
            <w:pPr>
              <w:spacing w:before="100" w:after="100"/>
              <w:ind w:left="-72"/>
              <w:rPr>
                <w:color w:val="000000"/>
                <w:sz w:val="20"/>
                <w:lang w:val="sv-SE"/>
              </w:rPr>
            </w:pPr>
          </w:p>
        </w:tc>
      </w:tr>
      <w:tr w:rsidR="003422DB" w:rsidRPr="00BD3045" w14:paraId="2D066956" w14:textId="77777777" w:rsidTr="00A26CDD">
        <w:tc>
          <w:tcPr>
            <w:tcW w:w="1600" w:type="dxa"/>
            <w:vMerge/>
          </w:tcPr>
          <w:p w14:paraId="2D066945" w14:textId="77777777" w:rsidR="00A77B3E" w:rsidRPr="00800D1B" w:rsidRDefault="00A77B3E" w:rsidP="00A26CDD">
            <w:pPr>
              <w:spacing w:before="100" w:after="100"/>
              <w:ind w:left="-72"/>
              <w:rPr>
                <w:color w:val="000000"/>
                <w:sz w:val="20"/>
                <w:lang w:val="sv-SE"/>
              </w:rPr>
            </w:pPr>
          </w:p>
        </w:tc>
        <w:tc>
          <w:tcPr>
            <w:tcW w:w="800" w:type="dxa"/>
            <w:vMerge/>
          </w:tcPr>
          <w:p w14:paraId="2D066946" w14:textId="77777777" w:rsidR="00A77B3E" w:rsidRPr="00800D1B" w:rsidRDefault="00A77B3E" w:rsidP="00A26CDD">
            <w:pPr>
              <w:spacing w:before="100" w:after="100"/>
              <w:ind w:left="-72"/>
              <w:rPr>
                <w:color w:val="000000"/>
                <w:sz w:val="20"/>
                <w:lang w:val="sv-SE"/>
              </w:rPr>
            </w:pPr>
          </w:p>
        </w:tc>
        <w:tc>
          <w:tcPr>
            <w:tcW w:w="1600" w:type="dxa"/>
            <w:vMerge/>
          </w:tcPr>
          <w:p w14:paraId="2D066947" w14:textId="77777777" w:rsidR="00A77B3E" w:rsidRPr="00800D1B" w:rsidRDefault="00A77B3E" w:rsidP="00A26CDD">
            <w:pPr>
              <w:spacing w:before="100" w:after="100"/>
              <w:ind w:left="-72"/>
              <w:rPr>
                <w:color w:val="000000"/>
                <w:sz w:val="20"/>
                <w:lang w:val="sv-SE"/>
              </w:rPr>
            </w:pPr>
          </w:p>
        </w:tc>
        <w:tc>
          <w:tcPr>
            <w:tcW w:w="1000" w:type="dxa"/>
            <w:vMerge/>
          </w:tcPr>
          <w:p w14:paraId="2D066948" w14:textId="77777777" w:rsidR="00A77B3E" w:rsidRPr="00800D1B" w:rsidRDefault="00A77B3E" w:rsidP="00A26CDD">
            <w:pPr>
              <w:spacing w:before="100" w:after="100"/>
              <w:ind w:left="-72"/>
              <w:rPr>
                <w:color w:val="000000"/>
                <w:sz w:val="20"/>
                <w:lang w:val="sv-SE"/>
              </w:rPr>
            </w:pPr>
          </w:p>
        </w:tc>
        <w:tc>
          <w:tcPr>
            <w:tcW w:w="2800" w:type="dxa"/>
          </w:tcPr>
          <w:p w14:paraId="2D066949" w14:textId="4BC75AE1" w:rsidR="00A77B3E" w:rsidRPr="00800D1B" w:rsidRDefault="00623E14">
            <w:pPr>
              <w:pStyle w:val="Liststycke"/>
              <w:numPr>
                <w:ilvl w:val="0"/>
                <w:numId w:val="77"/>
              </w:numPr>
              <w:tabs>
                <w:tab w:val="left" w:pos="241"/>
              </w:tabs>
              <w:spacing w:after="100"/>
              <w:ind w:left="-72" w:hanging="29"/>
              <w:rPr>
                <w:color w:val="000000"/>
                <w:sz w:val="20"/>
                <w:lang w:val="sv-SE"/>
              </w:rPr>
            </w:pPr>
            <w:r w:rsidRPr="00800D1B">
              <w:rPr>
                <w:color w:val="000000"/>
                <w:sz w:val="20"/>
                <w:lang w:val="sv-SE"/>
              </w:rPr>
              <w:t>Arrangemang för att säkerställa att de behöriga nationella myndigheterna övervakar och analyserar uppgifterna i enlighet med artikel 83.2 i direktiv 2014/24/EU och artikel 99.2 i direktiv 2014/25/EU.</w:t>
            </w:r>
          </w:p>
        </w:tc>
        <w:tc>
          <w:tcPr>
            <w:tcW w:w="1000" w:type="dxa"/>
          </w:tcPr>
          <w:p w14:paraId="2D06694A" w14:textId="77777777" w:rsidR="00A77B3E" w:rsidRPr="00800D1B" w:rsidRDefault="00623E14" w:rsidP="00A26CDD">
            <w:pPr>
              <w:spacing w:before="100" w:after="100"/>
              <w:ind w:left="-72"/>
              <w:jc w:val="center"/>
              <w:rPr>
                <w:color w:val="000000"/>
                <w:sz w:val="20"/>
                <w:lang w:val="sv-SE"/>
              </w:rPr>
            </w:pPr>
            <w:r w:rsidRPr="00800D1B">
              <w:rPr>
                <w:color w:val="000000"/>
                <w:sz w:val="20"/>
                <w:lang w:val="sv-SE"/>
              </w:rPr>
              <w:t>Ja</w:t>
            </w:r>
          </w:p>
        </w:tc>
        <w:tc>
          <w:tcPr>
            <w:tcW w:w="3400" w:type="dxa"/>
          </w:tcPr>
          <w:p w14:paraId="2D06694B" w14:textId="77777777" w:rsidR="00A77B3E" w:rsidRPr="00800D1B" w:rsidRDefault="00623E14" w:rsidP="00B55BCE">
            <w:pPr>
              <w:spacing w:before="100" w:after="360"/>
              <w:ind w:left="-72"/>
              <w:rPr>
                <w:color w:val="000000"/>
                <w:sz w:val="20"/>
                <w:lang w:val="sv-SE"/>
              </w:rPr>
            </w:pPr>
            <w:r w:rsidRPr="00800D1B">
              <w:rPr>
                <w:color w:val="000000"/>
                <w:sz w:val="20"/>
                <w:lang w:val="sv-SE"/>
              </w:rPr>
              <w:t>Förordning (2007:1117) med instruktion för Konkurrensverket</w:t>
            </w:r>
          </w:p>
          <w:p w14:paraId="2D06694D" w14:textId="77777777" w:rsidR="00A77B3E" w:rsidRPr="00800D1B" w:rsidRDefault="00623E14" w:rsidP="00B55BCE">
            <w:pPr>
              <w:spacing w:before="100" w:after="360"/>
              <w:ind w:left="-72"/>
              <w:rPr>
                <w:color w:val="000000"/>
                <w:sz w:val="20"/>
                <w:lang w:val="sv-SE"/>
              </w:rPr>
            </w:pPr>
            <w:r w:rsidRPr="00800D1B">
              <w:rPr>
                <w:color w:val="000000"/>
                <w:sz w:val="20"/>
                <w:lang w:val="sv-SE"/>
              </w:rPr>
              <w:t>Konkurrensverkets tillsynsverksamhet 2020</w:t>
            </w:r>
          </w:p>
          <w:p w14:paraId="2D06694F" w14:textId="77777777" w:rsidR="00A77B3E" w:rsidRPr="00800D1B" w:rsidRDefault="00623E14" w:rsidP="00B55BCE">
            <w:pPr>
              <w:spacing w:before="100" w:after="120"/>
              <w:ind w:left="-72"/>
              <w:rPr>
                <w:color w:val="000000"/>
                <w:sz w:val="20"/>
                <w:lang w:val="sv-SE"/>
              </w:rPr>
            </w:pPr>
            <w:r w:rsidRPr="00800D1B">
              <w:rPr>
                <w:color w:val="000000"/>
                <w:sz w:val="20"/>
                <w:lang w:val="sv-SE"/>
              </w:rPr>
              <w:t>Rapport: Statistik om offentlig upphandling 2020</w:t>
            </w:r>
          </w:p>
          <w:p w14:paraId="2D066950" w14:textId="00DD738B" w:rsidR="00A77B3E" w:rsidRPr="00800D1B" w:rsidRDefault="00000000" w:rsidP="00A26CDD">
            <w:pPr>
              <w:spacing w:before="100" w:after="100"/>
              <w:ind w:left="-72"/>
              <w:rPr>
                <w:color w:val="000000"/>
                <w:sz w:val="20"/>
                <w:lang w:val="sv-SE"/>
              </w:rPr>
            </w:pPr>
            <w:hyperlink r:id="rId38" w:history="1">
              <w:r w:rsidR="00623E14" w:rsidRPr="00800D1B">
                <w:rPr>
                  <w:rStyle w:val="Hyperlnk"/>
                  <w:sz w:val="20"/>
                  <w:lang w:val="sv-SE"/>
                </w:rPr>
                <w:t>https://www.upphandlingsmyndigheten.se/kunskapsbank-for-offentliga-affarer/publikationer/</w:t>
              </w:r>
            </w:hyperlink>
            <w:r w:rsidR="00623E14" w:rsidRPr="00800D1B">
              <w:rPr>
                <w:color w:val="000000"/>
                <w:sz w:val="20"/>
                <w:lang w:val="sv-SE"/>
              </w:rPr>
              <w:t>"</w:t>
            </w:r>
          </w:p>
        </w:tc>
        <w:tc>
          <w:tcPr>
            <w:tcW w:w="3400" w:type="dxa"/>
          </w:tcPr>
          <w:p w14:paraId="2D066951" w14:textId="77777777" w:rsidR="00A77B3E" w:rsidRPr="00800D1B" w:rsidRDefault="00623E14" w:rsidP="00A26CDD">
            <w:pPr>
              <w:spacing w:before="100" w:after="100"/>
              <w:ind w:left="-72"/>
              <w:rPr>
                <w:color w:val="000000"/>
                <w:sz w:val="20"/>
                <w:lang w:val="sv-SE"/>
              </w:rPr>
            </w:pPr>
            <w:r w:rsidRPr="00800D1B">
              <w:rPr>
                <w:color w:val="000000"/>
                <w:sz w:val="20"/>
                <w:lang w:val="sv-SE"/>
              </w:rPr>
              <w:t xml:space="preserve">Konkurrensverket är tillsynsmyndighet för den offentliga upphandlingen och kontrollerar att upphandlande myndigheter följer lagarna om offentlig upphandling. </w:t>
            </w:r>
          </w:p>
          <w:p w14:paraId="2D066952" w14:textId="77777777" w:rsidR="00A77B3E" w:rsidRPr="00800D1B" w:rsidRDefault="00623E14" w:rsidP="00A26CDD">
            <w:pPr>
              <w:spacing w:before="100" w:after="100"/>
              <w:ind w:left="-72"/>
              <w:rPr>
                <w:color w:val="000000"/>
                <w:sz w:val="20"/>
                <w:lang w:val="sv-SE"/>
              </w:rPr>
            </w:pPr>
            <w:r w:rsidRPr="00800D1B">
              <w:rPr>
                <w:color w:val="000000"/>
                <w:sz w:val="20"/>
                <w:lang w:val="sv-SE"/>
              </w:rPr>
              <w:t>I Konkurrensverkets tillsynsrapport för 2020 beskrivs hur konkurrensverkets verksamhet såg ut under 2020. I rapporten redogörs för prioriteringar och såväl utredningar som rapporter och internationellt samarbete.</w:t>
            </w:r>
          </w:p>
          <w:p w14:paraId="2D066953" w14:textId="77777777" w:rsidR="00A77B3E" w:rsidRPr="00800D1B" w:rsidRDefault="00623E14" w:rsidP="00A26CDD">
            <w:pPr>
              <w:spacing w:before="100" w:after="100"/>
              <w:ind w:left="-72"/>
              <w:rPr>
                <w:color w:val="000000"/>
                <w:sz w:val="20"/>
                <w:lang w:val="sv-SE"/>
              </w:rPr>
            </w:pPr>
            <w:r w:rsidRPr="00800D1B">
              <w:rPr>
                <w:color w:val="000000"/>
                <w:sz w:val="20"/>
                <w:lang w:val="sv-SE"/>
              </w:rPr>
              <w:t>Konkurrensverket är registermyndighet för annonsdatabaser. Det innebär bl.a. att Konkurrensverket utövar tillsyn över de registrerade annonsdatabaserna.</w:t>
            </w:r>
          </w:p>
          <w:p w14:paraId="2D066954" w14:textId="77777777" w:rsidR="00A77B3E" w:rsidRPr="00800D1B" w:rsidRDefault="00623E14" w:rsidP="00A26CDD">
            <w:pPr>
              <w:spacing w:before="100" w:after="100"/>
              <w:ind w:left="-72"/>
              <w:rPr>
                <w:color w:val="000000"/>
                <w:sz w:val="20"/>
                <w:lang w:val="sv-SE"/>
              </w:rPr>
            </w:pPr>
            <w:r w:rsidRPr="00800D1B">
              <w:rPr>
                <w:color w:val="000000"/>
                <w:sz w:val="20"/>
                <w:lang w:val="sv-SE"/>
              </w:rPr>
              <w:t>Upphandlings-myndigheten har utsetts till statistikmyndighet och ansvarar för att sammanställa och göra statistiken allmänt tillgänglig, främst ge-nom att skapa en nationell databas för statistik på upphandlings-området.</w:t>
            </w:r>
          </w:p>
          <w:p w14:paraId="2D066955" w14:textId="77777777" w:rsidR="00A77B3E" w:rsidRPr="00800D1B" w:rsidRDefault="00623E14" w:rsidP="00A26CDD">
            <w:pPr>
              <w:spacing w:before="100" w:after="100"/>
              <w:ind w:left="-72"/>
              <w:rPr>
                <w:color w:val="000000"/>
                <w:sz w:val="20"/>
                <w:lang w:val="sv-SE"/>
              </w:rPr>
            </w:pPr>
            <w:r w:rsidRPr="00800D1B">
              <w:rPr>
                <w:color w:val="000000"/>
                <w:sz w:val="20"/>
                <w:lang w:val="sv-SE"/>
              </w:rPr>
              <w:t>Upphandlingsmyndighetens rapport Statistik om offentlig upphandling 2020 innehåller statistik om överprövningar, avbrutna upphandlingar, små och medelstora företags samt idéburna organisationers deltagande i upphandling m.m</w:t>
            </w:r>
          </w:p>
        </w:tc>
      </w:tr>
      <w:tr w:rsidR="003422DB" w:rsidRPr="00BD3045" w14:paraId="2D066963" w14:textId="77777777" w:rsidTr="00A26CDD">
        <w:tc>
          <w:tcPr>
            <w:tcW w:w="1600" w:type="dxa"/>
            <w:vMerge/>
          </w:tcPr>
          <w:p w14:paraId="2D066957" w14:textId="77777777" w:rsidR="00A77B3E" w:rsidRPr="00800D1B" w:rsidRDefault="00A77B3E" w:rsidP="00A26CDD">
            <w:pPr>
              <w:spacing w:before="100" w:after="100"/>
              <w:ind w:left="-72"/>
              <w:rPr>
                <w:color w:val="000000"/>
                <w:sz w:val="20"/>
                <w:lang w:val="sv-SE"/>
              </w:rPr>
            </w:pPr>
          </w:p>
        </w:tc>
        <w:tc>
          <w:tcPr>
            <w:tcW w:w="800" w:type="dxa"/>
            <w:vMerge/>
          </w:tcPr>
          <w:p w14:paraId="2D066958" w14:textId="77777777" w:rsidR="00A77B3E" w:rsidRPr="00800D1B" w:rsidRDefault="00A77B3E" w:rsidP="00A26CDD">
            <w:pPr>
              <w:spacing w:before="100" w:after="100"/>
              <w:ind w:left="-72"/>
              <w:rPr>
                <w:color w:val="000000"/>
                <w:sz w:val="20"/>
                <w:lang w:val="sv-SE"/>
              </w:rPr>
            </w:pPr>
          </w:p>
        </w:tc>
        <w:tc>
          <w:tcPr>
            <w:tcW w:w="1600" w:type="dxa"/>
            <w:vMerge/>
          </w:tcPr>
          <w:p w14:paraId="2D066959" w14:textId="77777777" w:rsidR="00A77B3E" w:rsidRPr="00800D1B" w:rsidRDefault="00A77B3E" w:rsidP="00A26CDD">
            <w:pPr>
              <w:spacing w:before="100" w:after="100"/>
              <w:ind w:left="-72"/>
              <w:rPr>
                <w:color w:val="000000"/>
                <w:sz w:val="20"/>
                <w:lang w:val="sv-SE"/>
              </w:rPr>
            </w:pPr>
          </w:p>
        </w:tc>
        <w:tc>
          <w:tcPr>
            <w:tcW w:w="1000" w:type="dxa"/>
            <w:vMerge/>
          </w:tcPr>
          <w:p w14:paraId="2D06695A" w14:textId="77777777" w:rsidR="00A77B3E" w:rsidRPr="00800D1B" w:rsidRDefault="00A77B3E" w:rsidP="00A26CDD">
            <w:pPr>
              <w:spacing w:before="100" w:after="100"/>
              <w:ind w:left="-72"/>
              <w:rPr>
                <w:color w:val="000000"/>
                <w:sz w:val="20"/>
                <w:lang w:val="sv-SE"/>
              </w:rPr>
            </w:pPr>
          </w:p>
        </w:tc>
        <w:tc>
          <w:tcPr>
            <w:tcW w:w="2800" w:type="dxa"/>
          </w:tcPr>
          <w:p w14:paraId="2D06695B" w14:textId="61C85EDD" w:rsidR="00A77B3E" w:rsidRPr="00800D1B" w:rsidRDefault="00623E14">
            <w:pPr>
              <w:pStyle w:val="Liststycke"/>
              <w:numPr>
                <w:ilvl w:val="0"/>
                <w:numId w:val="77"/>
              </w:numPr>
              <w:tabs>
                <w:tab w:val="left" w:pos="241"/>
              </w:tabs>
              <w:spacing w:after="100"/>
              <w:ind w:left="-72" w:hanging="29"/>
              <w:rPr>
                <w:color w:val="000000"/>
                <w:sz w:val="20"/>
                <w:lang w:val="sv-SE"/>
              </w:rPr>
            </w:pPr>
            <w:r w:rsidRPr="00800D1B">
              <w:rPr>
                <w:color w:val="000000"/>
                <w:sz w:val="20"/>
                <w:lang w:val="sv-SE"/>
              </w:rPr>
              <w:t>Arrangemang för att offentliggöra resultaten av analysen i enlighet med artikel 83.3 i direktiv 2014/24/EU och artikel 99.3 i direktiv 2014/25/EU.</w:t>
            </w:r>
          </w:p>
        </w:tc>
        <w:tc>
          <w:tcPr>
            <w:tcW w:w="1000" w:type="dxa"/>
          </w:tcPr>
          <w:p w14:paraId="2D06695C" w14:textId="77777777" w:rsidR="00A77B3E" w:rsidRPr="00800D1B" w:rsidRDefault="00623E14" w:rsidP="00A26CDD">
            <w:pPr>
              <w:spacing w:before="100" w:after="100"/>
              <w:ind w:left="-72"/>
              <w:jc w:val="center"/>
              <w:rPr>
                <w:color w:val="000000"/>
                <w:sz w:val="20"/>
                <w:lang w:val="sv-SE"/>
              </w:rPr>
            </w:pPr>
            <w:r w:rsidRPr="00800D1B">
              <w:rPr>
                <w:color w:val="000000"/>
                <w:sz w:val="20"/>
                <w:lang w:val="sv-SE"/>
              </w:rPr>
              <w:t>Ja</w:t>
            </w:r>
          </w:p>
        </w:tc>
        <w:tc>
          <w:tcPr>
            <w:tcW w:w="3400" w:type="dxa"/>
          </w:tcPr>
          <w:p w14:paraId="2D06695D" w14:textId="77777777" w:rsidR="00A77B3E" w:rsidRPr="00800D1B" w:rsidRDefault="00623E14" w:rsidP="00B55BCE">
            <w:pPr>
              <w:spacing w:before="100" w:after="300"/>
              <w:ind w:left="-72"/>
              <w:rPr>
                <w:color w:val="000000"/>
                <w:sz w:val="20"/>
                <w:lang w:val="sv-SE"/>
              </w:rPr>
            </w:pPr>
            <w:r w:rsidRPr="00800D1B">
              <w:rPr>
                <w:color w:val="000000"/>
                <w:sz w:val="20"/>
                <w:lang w:val="sv-SE"/>
              </w:rPr>
              <w:t>Förordning (2015:527) med instruktion för Upphandlingsmyndigheten</w:t>
            </w:r>
          </w:p>
          <w:p w14:paraId="2D06695F" w14:textId="77777777" w:rsidR="00A77B3E" w:rsidRPr="00800D1B" w:rsidRDefault="00623E14" w:rsidP="00A26CDD">
            <w:pPr>
              <w:spacing w:before="100" w:after="100"/>
              <w:ind w:left="-72"/>
              <w:rPr>
                <w:color w:val="000000"/>
                <w:sz w:val="20"/>
                <w:lang w:val="sv-SE"/>
              </w:rPr>
            </w:pPr>
            <w:r w:rsidRPr="00800D1B">
              <w:rPr>
                <w:color w:val="000000"/>
                <w:sz w:val="20"/>
                <w:lang w:val="sv-SE"/>
              </w:rPr>
              <w:t>Lag (2019:668) om upphandlingsstatistik</w:t>
            </w:r>
          </w:p>
        </w:tc>
        <w:tc>
          <w:tcPr>
            <w:tcW w:w="3400" w:type="dxa"/>
          </w:tcPr>
          <w:p w14:paraId="2D066960" w14:textId="77777777" w:rsidR="00A77B3E" w:rsidRPr="00800D1B" w:rsidRDefault="00623E14" w:rsidP="00A26CDD">
            <w:pPr>
              <w:spacing w:before="100" w:after="100"/>
              <w:ind w:left="-72"/>
              <w:rPr>
                <w:color w:val="000000"/>
                <w:sz w:val="20"/>
                <w:lang w:val="sv-SE"/>
              </w:rPr>
            </w:pPr>
            <w:r w:rsidRPr="00800D1B">
              <w:rPr>
                <w:color w:val="000000"/>
                <w:sz w:val="20"/>
                <w:lang w:val="sv-SE"/>
              </w:rPr>
              <w:t xml:space="preserve">Konkurrensverket är tillsynsmyndighet för den offentliga upphandlingen och kontrollerar att upphandlande myndigheter följer lagarna om offentlig upphandling. </w:t>
            </w:r>
          </w:p>
          <w:p w14:paraId="2D066961" w14:textId="77777777" w:rsidR="00A77B3E" w:rsidRPr="00800D1B" w:rsidRDefault="00623E14" w:rsidP="00B55BCE">
            <w:pPr>
              <w:spacing w:before="100" w:after="100"/>
              <w:ind w:left="-72" w:right="-78"/>
              <w:rPr>
                <w:color w:val="000000"/>
                <w:sz w:val="20"/>
                <w:lang w:val="sv-SE"/>
              </w:rPr>
            </w:pPr>
            <w:r w:rsidRPr="00800D1B">
              <w:rPr>
                <w:color w:val="000000"/>
                <w:sz w:val="20"/>
                <w:lang w:val="sv-SE"/>
              </w:rPr>
              <w:t>Upphandlings-myndigheten har utsetts till statistikmyndighet och ansvarar för att sammanställa och göra statistiken allmänt tillgänglig, främst ge-nom att skapa en nationell databas för statistik på upphandlings-området.</w:t>
            </w:r>
          </w:p>
          <w:p w14:paraId="2D066962" w14:textId="2763E78B" w:rsidR="00A77B3E" w:rsidRPr="00800D1B" w:rsidRDefault="00623E14" w:rsidP="00B55BCE">
            <w:pPr>
              <w:spacing w:before="100" w:after="100"/>
              <w:ind w:left="-72" w:right="-78"/>
              <w:rPr>
                <w:color w:val="000000"/>
                <w:sz w:val="20"/>
                <w:lang w:val="sv-SE"/>
              </w:rPr>
            </w:pPr>
            <w:r w:rsidRPr="00800D1B">
              <w:rPr>
                <w:color w:val="000000"/>
                <w:sz w:val="20"/>
                <w:lang w:val="sv-SE"/>
              </w:rPr>
              <w:t>Idag redovisas statistiken på en övergripande nivå.</w:t>
            </w:r>
            <w:r w:rsidR="00CF74CB" w:rsidRPr="00800D1B">
              <w:rPr>
                <w:color w:val="000000"/>
                <w:sz w:val="20"/>
                <w:lang w:val="sv-SE"/>
              </w:rPr>
              <w:t xml:space="preserve"> </w:t>
            </w:r>
            <w:r w:rsidRPr="00800D1B">
              <w:rPr>
                <w:color w:val="000000"/>
                <w:sz w:val="20"/>
                <w:lang w:val="sv-SE"/>
              </w:rPr>
              <w:t xml:space="preserve">Dock pågår arbete med att leverantörer, upphandlare, beslutsfattare, media och andra kunna få ut den statistik de behöver på ett enkelt och smidigt sätt direkt från statistikdatabasen. Information som ska gå att få fram är bl.a. hur många upphandlingar som annonseras inom olika branscher och segment, till vilket värde, hur konkurrensen ser ut och vilka som vinner upphandlingarna. </w:t>
            </w:r>
          </w:p>
        </w:tc>
      </w:tr>
      <w:tr w:rsidR="003422DB" w:rsidRPr="00BD3045" w14:paraId="2D06696F" w14:textId="77777777" w:rsidTr="00A26CDD">
        <w:tc>
          <w:tcPr>
            <w:tcW w:w="1600" w:type="dxa"/>
            <w:vMerge/>
          </w:tcPr>
          <w:p w14:paraId="2D066964" w14:textId="77777777" w:rsidR="00A77B3E" w:rsidRPr="00800D1B" w:rsidRDefault="00A77B3E" w:rsidP="00A26CDD">
            <w:pPr>
              <w:spacing w:before="100" w:after="100"/>
              <w:ind w:left="-72"/>
              <w:rPr>
                <w:color w:val="000000"/>
                <w:sz w:val="20"/>
                <w:lang w:val="sv-SE"/>
              </w:rPr>
            </w:pPr>
          </w:p>
        </w:tc>
        <w:tc>
          <w:tcPr>
            <w:tcW w:w="800" w:type="dxa"/>
            <w:vMerge/>
          </w:tcPr>
          <w:p w14:paraId="2D066965" w14:textId="77777777" w:rsidR="00A77B3E" w:rsidRPr="00800D1B" w:rsidRDefault="00A77B3E" w:rsidP="00A26CDD">
            <w:pPr>
              <w:spacing w:before="100" w:after="100"/>
              <w:ind w:left="-72"/>
              <w:rPr>
                <w:color w:val="000000"/>
                <w:sz w:val="20"/>
                <w:lang w:val="sv-SE"/>
              </w:rPr>
            </w:pPr>
          </w:p>
        </w:tc>
        <w:tc>
          <w:tcPr>
            <w:tcW w:w="1600" w:type="dxa"/>
            <w:vMerge/>
          </w:tcPr>
          <w:p w14:paraId="2D066966" w14:textId="77777777" w:rsidR="00A77B3E" w:rsidRPr="00800D1B" w:rsidRDefault="00A77B3E" w:rsidP="00A26CDD">
            <w:pPr>
              <w:spacing w:before="100" w:after="100"/>
              <w:ind w:left="-72"/>
              <w:rPr>
                <w:color w:val="000000"/>
                <w:sz w:val="20"/>
                <w:lang w:val="sv-SE"/>
              </w:rPr>
            </w:pPr>
          </w:p>
        </w:tc>
        <w:tc>
          <w:tcPr>
            <w:tcW w:w="1000" w:type="dxa"/>
            <w:vMerge/>
          </w:tcPr>
          <w:p w14:paraId="2D066967" w14:textId="77777777" w:rsidR="00A77B3E" w:rsidRPr="00800D1B" w:rsidRDefault="00A77B3E" w:rsidP="00A26CDD">
            <w:pPr>
              <w:spacing w:before="100" w:after="100"/>
              <w:ind w:left="-72"/>
              <w:rPr>
                <w:color w:val="000000"/>
                <w:sz w:val="20"/>
                <w:lang w:val="sv-SE"/>
              </w:rPr>
            </w:pPr>
          </w:p>
        </w:tc>
        <w:tc>
          <w:tcPr>
            <w:tcW w:w="2800" w:type="dxa"/>
          </w:tcPr>
          <w:p w14:paraId="2D066968" w14:textId="3DE5035E" w:rsidR="00A77B3E" w:rsidRPr="00800D1B" w:rsidRDefault="00623E14">
            <w:pPr>
              <w:pStyle w:val="Liststycke"/>
              <w:numPr>
                <w:ilvl w:val="0"/>
                <w:numId w:val="77"/>
              </w:numPr>
              <w:tabs>
                <w:tab w:val="left" w:pos="151"/>
              </w:tabs>
              <w:spacing w:after="100"/>
              <w:ind w:left="-72" w:hanging="29"/>
              <w:rPr>
                <w:color w:val="000000"/>
                <w:sz w:val="20"/>
                <w:lang w:val="sv-SE"/>
              </w:rPr>
            </w:pPr>
            <w:r w:rsidRPr="00800D1B">
              <w:rPr>
                <w:color w:val="000000"/>
                <w:sz w:val="20"/>
                <w:lang w:val="sv-SE"/>
              </w:rPr>
              <w:t>Arrangemang för att säkerställa att alla uppgifter som tyder på misstänkt uppgjorda anbudsgivningar överlämnas till de behöriga nationella organen i enlighet med artikel 83.2 i direktiv 2014/24/EU och artikel 99.2 i direktiv 2014/25/EU.</w:t>
            </w:r>
          </w:p>
        </w:tc>
        <w:tc>
          <w:tcPr>
            <w:tcW w:w="1000" w:type="dxa"/>
          </w:tcPr>
          <w:p w14:paraId="2D066969" w14:textId="77777777" w:rsidR="00A77B3E" w:rsidRPr="00800D1B" w:rsidRDefault="00623E14" w:rsidP="00A26CDD">
            <w:pPr>
              <w:spacing w:before="100" w:after="100"/>
              <w:ind w:left="-72"/>
              <w:jc w:val="center"/>
              <w:rPr>
                <w:color w:val="000000"/>
                <w:sz w:val="20"/>
                <w:lang w:val="sv-SE"/>
              </w:rPr>
            </w:pPr>
            <w:r w:rsidRPr="00800D1B">
              <w:rPr>
                <w:color w:val="000000"/>
                <w:sz w:val="20"/>
                <w:lang w:val="sv-SE"/>
              </w:rPr>
              <w:t>Ja</w:t>
            </w:r>
          </w:p>
        </w:tc>
        <w:tc>
          <w:tcPr>
            <w:tcW w:w="3400" w:type="dxa"/>
          </w:tcPr>
          <w:p w14:paraId="2D06696A" w14:textId="77777777" w:rsidR="00A77B3E" w:rsidRPr="00800D1B" w:rsidRDefault="00623E14" w:rsidP="00A26CDD">
            <w:pPr>
              <w:spacing w:before="100" w:after="100"/>
              <w:ind w:left="-72"/>
              <w:rPr>
                <w:color w:val="000000"/>
                <w:sz w:val="20"/>
                <w:lang w:val="sv-SE"/>
              </w:rPr>
            </w:pPr>
            <w:r w:rsidRPr="00800D1B">
              <w:rPr>
                <w:color w:val="000000"/>
                <w:sz w:val="20"/>
                <w:lang w:val="sv-SE"/>
              </w:rPr>
              <w:t>Förordning (2007:1117) med instruktion för Konkurrensverket</w:t>
            </w:r>
          </w:p>
          <w:p w14:paraId="2D06696B" w14:textId="77777777" w:rsidR="00A77B3E" w:rsidRPr="00800D1B" w:rsidRDefault="00623E14" w:rsidP="00A26CDD">
            <w:pPr>
              <w:spacing w:before="100" w:after="100"/>
              <w:ind w:left="-72"/>
              <w:rPr>
                <w:color w:val="000000"/>
                <w:sz w:val="20"/>
                <w:lang w:val="sv-SE"/>
              </w:rPr>
            </w:pPr>
            <w:r w:rsidRPr="00800D1B">
              <w:rPr>
                <w:color w:val="000000"/>
                <w:sz w:val="20"/>
                <w:lang w:val="sv-SE"/>
              </w:rPr>
              <w:t>Konkurrensverkets tillsynsverksamhet 2020</w:t>
            </w:r>
          </w:p>
          <w:p w14:paraId="2D06696C" w14:textId="076211DF" w:rsidR="00A77B3E" w:rsidRPr="00800D1B" w:rsidRDefault="00000000" w:rsidP="00A26CDD">
            <w:pPr>
              <w:spacing w:before="100" w:after="100"/>
              <w:ind w:left="-72"/>
              <w:rPr>
                <w:color w:val="000000"/>
                <w:sz w:val="20"/>
                <w:lang w:val="sv-SE"/>
              </w:rPr>
            </w:pPr>
            <w:hyperlink r:id="rId39" w:history="1">
              <w:r w:rsidR="00623E14" w:rsidRPr="00800D1B">
                <w:rPr>
                  <w:rStyle w:val="Hyperlnk"/>
                  <w:sz w:val="20"/>
                  <w:lang w:val="sv-SE"/>
                </w:rPr>
                <w:t>https://www.konkurrensverket.se/informationsmaterial/rapportlista/konkurrensverkets-tillsynsverksamhet-2020/</w:t>
              </w:r>
            </w:hyperlink>
          </w:p>
        </w:tc>
        <w:tc>
          <w:tcPr>
            <w:tcW w:w="3400" w:type="dxa"/>
          </w:tcPr>
          <w:p w14:paraId="2D06696D" w14:textId="77777777" w:rsidR="00A77B3E" w:rsidRPr="00800D1B" w:rsidRDefault="00623E14" w:rsidP="00A26CDD">
            <w:pPr>
              <w:spacing w:before="100" w:after="100"/>
              <w:ind w:left="-72"/>
              <w:rPr>
                <w:color w:val="000000"/>
                <w:sz w:val="20"/>
                <w:lang w:val="sv-SE"/>
              </w:rPr>
            </w:pPr>
            <w:r w:rsidRPr="00800D1B">
              <w:rPr>
                <w:color w:val="000000"/>
                <w:sz w:val="20"/>
                <w:lang w:val="sv-SE"/>
              </w:rPr>
              <w:t>Konkurrensverket är tillsynsmyndighet över konkurrensreglerna och lägger särskild vikt vid kartellbekämpning, vid att ingripa mot privata och offentliga aktörer som missbrukar en dominerande ställning på marknaden samt mot konkurrensbegränsande offentlig säljverksamhet.</w:t>
            </w:r>
          </w:p>
          <w:p w14:paraId="2D06696E" w14:textId="77777777" w:rsidR="00A77B3E" w:rsidRPr="00800D1B" w:rsidRDefault="00623E14" w:rsidP="00A26CDD">
            <w:pPr>
              <w:spacing w:before="100" w:after="100"/>
              <w:ind w:left="-72"/>
              <w:rPr>
                <w:color w:val="000000"/>
                <w:sz w:val="20"/>
                <w:lang w:val="sv-SE"/>
              </w:rPr>
            </w:pPr>
            <w:r w:rsidRPr="00800D1B">
              <w:rPr>
                <w:color w:val="000000"/>
                <w:sz w:val="20"/>
                <w:lang w:val="sv-SE"/>
              </w:rPr>
              <w:t>I Konkurrensverkets tillsynsrapport för 2020 beskrivs hur konkurrensverkets verksamhet såg ut under 2020. I rapporten redogörs för prioriteringar och såväl utredningar som rapporter och internationellt samarbete.</w:t>
            </w:r>
          </w:p>
        </w:tc>
      </w:tr>
      <w:tr w:rsidR="003422DB" w:rsidRPr="00BD3045" w14:paraId="2D066987" w14:textId="77777777" w:rsidTr="00A26CDD">
        <w:tc>
          <w:tcPr>
            <w:tcW w:w="1600" w:type="dxa"/>
            <w:vMerge w:val="restart"/>
          </w:tcPr>
          <w:p w14:paraId="2D066970" w14:textId="5CE18F03" w:rsidR="00A77B3E" w:rsidRPr="00800D1B" w:rsidRDefault="00623E14">
            <w:pPr>
              <w:pStyle w:val="Liststycke"/>
              <w:numPr>
                <w:ilvl w:val="0"/>
                <w:numId w:val="70"/>
              </w:numPr>
              <w:tabs>
                <w:tab w:val="left" w:pos="210"/>
              </w:tabs>
              <w:spacing w:before="100" w:after="100"/>
              <w:ind w:left="-72" w:firstLine="0"/>
              <w:rPr>
                <w:color w:val="000000"/>
                <w:sz w:val="20"/>
                <w:lang w:val="sv-SE"/>
              </w:rPr>
            </w:pPr>
            <w:r w:rsidRPr="00800D1B">
              <w:rPr>
                <w:color w:val="000000"/>
                <w:sz w:val="20"/>
                <w:lang w:val="sv-SE"/>
              </w:rPr>
              <w:t>Verktyg och kapacitet för en effektiv tillämpning av reglerna om statligt stöd</w:t>
            </w:r>
          </w:p>
        </w:tc>
        <w:tc>
          <w:tcPr>
            <w:tcW w:w="800" w:type="dxa"/>
            <w:vMerge w:val="restart"/>
          </w:tcPr>
          <w:p w14:paraId="2D066971" w14:textId="77777777" w:rsidR="00A77B3E" w:rsidRPr="00800D1B" w:rsidRDefault="00A77B3E" w:rsidP="00A26CDD">
            <w:pPr>
              <w:spacing w:before="100" w:after="100"/>
              <w:ind w:left="-72"/>
              <w:rPr>
                <w:color w:val="000000"/>
                <w:sz w:val="20"/>
                <w:lang w:val="sv-SE"/>
              </w:rPr>
            </w:pPr>
          </w:p>
        </w:tc>
        <w:tc>
          <w:tcPr>
            <w:tcW w:w="1600" w:type="dxa"/>
            <w:vMerge w:val="restart"/>
          </w:tcPr>
          <w:p w14:paraId="2D066972" w14:textId="77777777" w:rsidR="00A77B3E" w:rsidRPr="00800D1B" w:rsidRDefault="00A77B3E" w:rsidP="00A26CDD">
            <w:pPr>
              <w:spacing w:before="100" w:after="100"/>
              <w:ind w:left="-72"/>
              <w:rPr>
                <w:color w:val="000000"/>
                <w:sz w:val="20"/>
                <w:lang w:val="sv-SE"/>
              </w:rPr>
            </w:pPr>
          </w:p>
        </w:tc>
        <w:tc>
          <w:tcPr>
            <w:tcW w:w="1000" w:type="dxa"/>
            <w:vMerge w:val="restart"/>
          </w:tcPr>
          <w:p w14:paraId="2D066973" w14:textId="77777777" w:rsidR="00A77B3E" w:rsidRPr="00800D1B" w:rsidRDefault="00623E14" w:rsidP="00A26CDD">
            <w:pPr>
              <w:spacing w:before="100" w:after="100"/>
              <w:ind w:left="-72"/>
              <w:jc w:val="center"/>
              <w:rPr>
                <w:color w:val="000000"/>
                <w:sz w:val="20"/>
                <w:lang w:val="sv-SE"/>
              </w:rPr>
            </w:pPr>
            <w:r w:rsidRPr="00800D1B">
              <w:rPr>
                <w:color w:val="000000"/>
                <w:sz w:val="20"/>
                <w:lang w:val="sv-SE"/>
              </w:rPr>
              <w:t>Ja</w:t>
            </w:r>
          </w:p>
        </w:tc>
        <w:tc>
          <w:tcPr>
            <w:tcW w:w="2800" w:type="dxa"/>
          </w:tcPr>
          <w:p w14:paraId="2D066974" w14:textId="77777777" w:rsidR="00A77B3E" w:rsidRPr="00800D1B" w:rsidRDefault="00623E14" w:rsidP="00A26CDD">
            <w:pPr>
              <w:spacing w:before="100" w:after="100"/>
              <w:ind w:left="-72"/>
              <w:rPr>
                <w:color w:val="000000"/>
                <w:sz w:val="20"/>
                <w:lang w:val="sv-SE"/>
              </w:rPr>
            </w:pPr>
            <w:r w:rsidRPr="00800D1B">
              <w:rPr>
                <w:color w:val="000000"/>
                <w:sz w:val="20"/>
                <w:lang w:val="sv-SE"/>
              </w:rPr>
              <w:t xml:space="preserve">De förvaltande myndigheterna har verktyg och kapacitet för att kontrollera efterlevnaden av reglerna för statligt stöd: </w:t>
            </w:r>
          </w:p>
          <w:p w14:paraId="2D066975" w14:textId="38E33273" w:rsidR="00A77B3E" w:rsidRPr="00800D1B" w:rsidRDefault="00623E14">
            <w:pPr>
              <w:pStyle w:val="Liststycke"/>
              <w:numPr>
                <w:ilvl w:val="0"/>
                <w:numId w:val="78"/>
              </w:numPr>
              <w:tabs>
                <w:tab w:val="left" w:pos="151"/>
                <w:tab w:val="left" w:pos="871"/>
              </w:tabs>
              <w:spacing w:after="100"/>
              <w:ind w:left="-72" w:hanging="29"/>
              <w:rPr>
                <w:color w:val="000000"/>
                <w:sz w:val="20"/>
                <w:lang w:val="sv-SE"/>
              </w:rPr>
            </w:pPr>
            <w:r w:rsidRPr="00800D1B">
              <w:rPr>
                <w:color w:val="000000"/>
                <w:sz w:val="20"/>
                <w:lang w:val="sv-SE"/>
              </w:rPr>
              <w:t>För företag i svårigheter och företag som omfattas av ett krav på återbetalning.</w:t>
            </w:r>
          </w:p>
        </w:tc>
        <w:tc>
          <w:tcPr>
            <w:tcW w:w="1000" w:type="dxa"/>
          </w:tcPr>
          <w:p w14:paraId="2D066976" w14:textId="77777777" w:rsidR="00A77B3E" w:rsidRPr="00800D1B" w:rsidRDefault="00623E14" w:rsidP="00A26CDD">
            <w:pPr>
              <w:spacing w:before="100" w:after="100"/>
              <w:ind w:left="-72"/>
              <w:jc w:val="center"/>
              <w:rPr>
                <w:color w:val="000000"/>
                <w:sz w:val="20"/>
                <w:lang w:val="sv-SE"/>
              </w:rPr>
            </w:pPr>
            <w:r w:rsidRPr="00800D1B">
              <w:rPr>
                <w:color w:val="000000"/>
                <w:sz w:val="20"/>
                <w:lang w:val="sv-SE"/>
              </w:rPr>
              <w:t>Ja</w:t>
            </w:r>
          </w:p>
        </w:tc>
        <w:tc>
          <w:tcPr>
            <w:tcW w:w="3400" w:type="dxa"/>
          </w:tcPr>
          <w:p w14:paraId="2D066977" w14:textId="77777777" w:rsidR="00A77B3E" w:rsidRPr="00800D1B" w:rsidRDefault="00623E14" w:rsidP="00B55BCE">
            <w:pPr>
              <w:spacing w:before="100" w:after="300"/>
              <w:ind w:left="-72"/>
              <w:rPr>
                <w:color w:val="000000"/>
                <w:sz w:val="20"/>
                <w:lang w:val="sv-SE"/>
              </w:rPr>
            </w:pPr>
            <w:r w:rsidRPr="00800D1B">
              <w:rPr>
                <w:color w:val="000000"/>
                <w:sz w:val="20"/>
                <w:lang w:val="sv-SE"/>
              </w:rPr>
              <w:t>Lag (2013:388) om tillämpning av EUs statsstödsregler</w:t>
            </w:r>
          </w:p>
          <w:p w14:paraId="2D066979" w14:textId="30AA9FB4" w:rsidR="00A77B3E" w:rsidRPr="00800D1B" w:rsidRDefault="00000000" w:rsidP="00A26CDD">
            <w:pPr>
              <w:spacing w:before="100" w:after="100"/>
              <w:ind w:left="-72"/>
              <w:rPr>
                <w:color w:val="000000"/>
                <w:sz w:val="20"/>
                <w:lang w:val="sv-SE"/>
              </w:rPr>
            </w:pPr>
            <w:hyperlink r:id="rId40" w:history="1">
              <w:r w:rsidR="00623E14" w:rsidRPr="00800D1B">
                <w:rPr>
                  <w:rStyle w:val="Hyperlnk"/>
                  <w:sz w:val="20"/>
                  <w:lang w:val="sv-SE"/>
                </w:rPr>
                <w:t>www.riksdagen.se/sv/dokument-lagar/dokument/svensk-forfattningssamling/lag-2013388-om-tillampning-av-europeiska_sfs-2013-388</w:t>
              </w:r>
            </w:hyperlink>
          </w:p>
          <w:p w14:paraId="2D06697A" w14:textId="77777777" w:rsidR="00A77B3E" w:rsidRPr="00800D1B" w:rsidRDefault="00623E14" w:rsidP="00B55BCE">
            <w:pPr>
              <w:spacing w:before="100" w:after="300"/>
              <w:ind w:left="-72"/>
              <w:rPr>
                <w:color w:val="000000"/>
                <w:sz w:val="20"/>
                <w:lang w:val="sv-SE"/>
              </w:rPr>
            </w:pPr>
            <w:r w:rsidRPr="00800D1B">
              <w:rPr>
                <w:color w:val="000000"/>
                <w:sz w:val="20"/>
                <w:lang w:val="sv-SE"/>
              </w:rPr>
              <w:t>Förordning (2016:605) om tillämpning av EUs statsstödsregler</w:t>
            </w:r>
          </w:p>
          <w:p w14:paraId="2D06697C" w14:textId="228A5806" w:rsidR="00A77B3E" w:rsidRPr="00800D1B" w:rsidRDefault="00000000" w:rsidP="00B55BCE">
            <w:pPr>
              <w:spacing w:before="100" w:after="200"/>
              <w:ind w:left="-72"/>
              <w:rPr>
                <w:color w:val="000000"/>
                <w:sz w:val="20"/>
                <w:lang w:val="sv-SE"/>
              </w:rPr>
            </w:pPr>
            <w:hyperlink r:id="rId41" w:history="1">
              <w:r w:rsidR="00623E14" w:rsidRPr="00800D1B">
                <w:rPr>
                  <w:rStyle w:val="Hyperlnk"/>
                  <w:sz w:val="20"/>
                  <w:lang w:val="sv-SE"/>
                </w:rPr>
                <w:t>www.riksdagen.se/sv/dokument-lagar/dokument/svensk-forfattningssamling/forordning-2016605-om-tillampning-av_sfs-2016-605</w:t>
              </w:r>
            </w:hyperlink>
          </w:p>
          <w:p w14:paraId="2D06697E" w14:textId="77777777" w:rsidR="00A77B3E" w:rsidRPr="00800D1B" w:rsidRDefault="00623E14" w:rsidP="00A26CDD">
            <w:pPr>
              <w:spacing w:before="100" w:after="100"/>
              <w:ind w:left="-72"/>
              <w:rPr>
                <w:color w:val="000000"/>
                <w:sz w:val="20"/>
                <w:lang w:val="sv-SE"/>
              </w:rPr>
            </w:pPr>
            <w:r w:rsidRPr="00800D1B">
              <w:rPr>
                <w:color w:val="000000"/>
                <w:sz w:val="20"/>
                <w:lang w:val="sv-SE"/>
              </w:rPr>
              <w:t>Riksrevisionens rapport om statliga stöd med delat myndighetsansvar Skr. 2020/21:102</w:t>
            </w:r>
          </w:p>
          <w:p w14:paraId="2D066980" w14:textId="1A51B138" w:rsidR="00A77B3E" w:rsidRPr="00800D1B" w:rsidRDefault="00000000" w:rsidP="00A26CDD">
            <w:pPr>
              <w:spacing w:before="100" w:after="100"/>
              <w:ind w:left="-72"/>
              <w:rPr>
                <w:color w:val="000000"/>
                <w:sz w:val="20"/>
                <w:lang w:val="sv-SE"/>
              </w:rPr>
            </w:pPr>
            <w:hyperlink r:id="rId42" w:history="1">
              <w:r w:rsidR="00623E14" w:rsidRPr="00800D1B">
                <w:rPr>
                  <w:rStyle w:val="Hyperlnk"/>
                  <w:sz w:val="20"/>
                  <w:lang w:val="sv-SE"/>
                </w:rPr>
                <w:t>www.regeringen.se/rattsliga-dokument/skrivelse/2021/03/skr.-202021102/</w:t>
              </w:r>
            </w:hyperlink>
          </w:p>
        </w:tc>
        <w:tc>
          <w:tcPr>
            <w:tcW w:w="3400" w:type="dxa"/>
          </w:tcPr>
          <w:p w14:paraId="2D066981" w14:textId="77777777" w:rsidR="00A77B3E" w:rsidRPr="00800D1B" w:rsidRDefault="00623E14" w:rsidP="00A26CDD">
            <w:pPr>
              <w:spacing w:before="100" w:after="100"/>
              <w:ind w:left="-72"/>
              <w:rPr>
                <w:color w:val="000000"/>
                <w:sz w:val="20"/>
                <w:lang w:val="sv-SE"/>
              </w:rPr>
            </w:pPr>
            <w:r w:rsidRPr="00800D1B">
              <w:rPr>
                <w:color w:val="000000"/>
                <w:sz w:val="20"/>
                <w:lang w:val="sv-SE"/>
              </w:rPr>
              <w:t xml:space="preserve">I Sverige finns det inte en central myndighet med uppdrag att utöva tillsyn över att EUF-fördragets statsstödsregler efterlevs i Sverige, utan det är den stödgivande myndigheten som ansvarar för kontroller av stödmottagare och eventuella återkrav. </w:t>
            </w:r>
          </w:p>
          <w:p w14:paraId="2D066982" w14:textId="77777777" w:rsidR="00A77B3E" w:rsidRPr="00800D1B" w:rsidRDefault="00623E14" w:rsidP="00A26CDD">
            <w:pPr>
              <w:spacing w:before="100" w:after="100"/>
              <w:ind w:left="-72"/>
              <w:rPr>
                <w:color w:val="000000"/>
                <w:sz w:val="20"/>
                <w:lang w:val="sv-SE"/>
              </w:rPr>
            </w:pPr>
            <w:r w:rsidRPr="00800D1B">
              <w:rPr>
                <w:color w:val="000000"/>
                <w:sz w:val="20"/>
                <w:lang w:val="sv-SE"/>
              </w:rPr>
              <w:t>Kontrollen av företag i svårigheter görs således hos respektive förvaltande myndighet via kreditupplysningstjänsten för en första riskvärdering som kan leda vid behov till ytterligare kontroller. . Myndigheterna har tillgång till kommersiella kreditinformationstjänster och har enligt sina stödordningar rätt att begära in uppgifter för kontroll från stödmottagande företag. Det s.k. Deggendorf-villkoret bevakas fortlöpande. FM kontrollerar regelbundet vilka beslut Kommissionen fattat i ärenden som rör Sverige. Kontrollen görs manuellt via Kommissionens hemsida Recovery of unlawful aid.</w:t>
            </w:r>
          </w:p>
          <w:p w14:paraId="2D066986" w14:textId="48AC06A2" w:rsidR="00A77B3E" w:rsidRPr="00800D1B" w:rsidRDefault="00623E14" w:rsidP="00B55BCE">
            <w:pPr>
              <w:spacing w:before="400" w:after="100"/>
              <w:ind w:left="-72"/>
              <w:rPr>
                <w:color w:val="000000"/>
                <w:sz w:val="20"/>
                <w:lang w:val="sv-SE"/>
              </w:rPr>
            </w:pPr>
            <w:r w:rsidRPr="00800D1B">
              <w:rPr>
                <w:color w:val="000000"/>
                <w:sz w:val="20"/>
                <w:lang w:val="sv-SE"/>
              </w:rPr>
              <w:t xml:space="preserve">I Riksrevisionens rapport om statliga stöd med delat myndighetsansvar är Riksrevisionens övergripande slutsats att det i de allra flesta fall finns goda motiv till att ha ett delat myndighetsansvar för statliga stöd, se Riksrevisionens rapport Skr 2020/21:102. </w:t>
            </w:r>
          </w:p>
        </w:tc>
      </w:tr>
      <w:tr w:rsidR="003422DB" w:rsidRPr="00BD3045" w14:paraId="2D06699C" w14:textId="77777777" w:rsidTr="00A26CDD">
        <w:tc>
          <w:tcPr>
            <w:tcW w:w="1600" w:type="dxa"/>
            <w:vMerge/>
          </w:tcPr>
          <w:p w14:paraId="2D066988" w14:textId="77777777" w:rsidR="00A77B3E" w:rsidRPr="00800D1B" w:rsidRDefault="00A77B3E" w:rsidP="00A26CDD">
            <w:pPr>
              <w:spacing w:before="100" w:after="100"/>
              <w:ind w:left="-72"/>
              <w:rPr>
                <w:color w:val="000000"/>
                <w:sz w:val="20"/>
                <w:lang w:val="sv-SE"/>
              </w:rPr>
            </w:pPr>
          </w:p>
        </w:tc>
        <w:tc>
          <w:tcPr>
            <w:tcW w:w="800" w:type="dxa"/>
            <w:vMerge/>
          </w:tcPr>
          <w:p w14:paraId="2D066989" w14:textId="77777777" w:rsidR="00A77B3E" w:rsidRPr="00800D1B" w:rsidRDefault="00A77B3E" w:rsidP="00A26CDD">
            <w:pPr>
              <w:spacing w:before="100" w:after="100"/>
              <w:ind w:left="-72"/>
              <w:rPr>
                <w:color w:val="000000"/>
                <w:sz w:val="20"/>
                <w:lang w:val="sv-SE"/>
              </w:rPr>
            </w:pPr>
          </w:p>
        </w:tc>
        <w:tc>
          <w:tcPr>
            <w:tcW w:w="1600" w:type="dxa"/>
            <w:vMerge/>
          </w:tcPr>
          <w:p w14:paraId="2D06698A" w14:textId="77777777" w:rsidR="00A77B3E" w:rsidRPr="00800D1B" w:rsidRDefault="00A77B3E" w:rsidP="00A26CDD">
            <w:pPr>
              <w:spacing w:before="100" w:after="100"/>
              <w:ind w:left="-72"/>
              <w:rPr>
                <w:color w:val="000000"/>
                <w:sz w:val="20"/>
                <w:lang w:val="sv-SE"/>
              </w:rPr>
            </w:pPr>
          </w:p>
        </w:tc>
        <w:tc>
          <w:tcPr>
            <w:tcW w:w="1000" w:type="dxa"/>
            <w:vMerge/>
          </w:tcPr>
          <w:p w14:paraId="2D06698B" w14:textId="77777777" w:rsidR="00A77B3E" w:rsidRPr="00800D1B" w:rsidRDefault="00A77B3E" w:rsidP="00A26CDD">
            <w:pPr>
              <w:spacing w:before="100" w:after="100"/>
              <w:ind w:left="-72"/>
              <w:rPr>
                <w:color w:val="000000"/>
                <w:sz w:val="20"/>
                <w:lang w:val="sv-SE"/>
              </w:rPr>
            </w:pPr>
          </w:p>
        </w:tc>
        <w:tc>
          <w:tcPr>
            <w:tcW w:w="2800" w:type="dxa"/>
          </w:tcPr>
          <w:p w14:paraId="2D06698C" w14:textId="76201AAB" w:rsidR="00A77B3E" w:rsidRPr="00800D1B" w:rsidRDefault="00623E14">
            <w:pPr>
              <w:pStyle w:val="Liststycke"/>
              <w:numPr>
                <w:ilvl w:val="0"/>
                <w:numId w:val="78"/>
              </w:numPr>
              <w:tabs>
                <w:tab w:val="left" w:pos="151"/>
                <w:tab w:val="left" w:pos="871"/>
              </w:tabs>
              <w:spacing w:after="100"/>
              <w:ind w:left="-72" w:hanging="29"/>
              <w:rPr>
                <w:color w:val="000000"/>
                <w:sz w:val="20"/>
                <w:lang w:val="sv-SE"/>
              </w:rPr>
            </w:pPr>
            <w:r w:rsidRPr="00800D1B">
              <w:rPr>
                <w:color w:val="000000"/>
                <w:sz w:val="20"/>
                <w:lang w:val="sv-SE"/>
              </w:rPr>
              <w:t>Genom tillgång till expertrådgivning och vägledning i frågor om statligt stöd från experter på statligt stöd vid lokala eller nationella organ.</w:t>
            </w:r>
          </w:p>
        </w:tc>
        <w:tc>
          <w:tcPr>
            <w:tcW w:w="1000" w:type="dxa"/>
          </w:tcPr>
          <w:p w14:paraId="2D06698D" w14:textId="77777777" w:rsidR="00A77B3E" w:rsidRPr="00800D1B" w:rsidRDefault="00623E14" w:rsidP="00A26CDD">
            <w:pPr>
              <w:spacing w:before="100" w:after="100"/>
              <w:ind w:left="-72"/>
              <w:jc w:val="center"/>
              <w:rPr>
                <w:color w:val="000000"/>
                <w:sz w:val="20"/>
                <w:lang w:val="sv-SE"/>
              </w:rPr>
            </w:pPr>
            <w:r w:rsidRPr="00800D1B">
              <w:rPr>
                <w:color w:val="000000"/>
                <w:sz w:val="20"/>
                <w:lang w:val="sv-SE"/>
              </w:rPr>
              <w:t>Ja</w:t>
            </w:r>
          </w:p>
        </w:tc>
        <w:tc>
          <w:tcPr>
            <w:tcW w:w="3400" w:type="dxa"/>
          </w:tcPr>
          <w:p w14:paraId="2D06698E" w14:textId="77777777" w:rsidR="00A77B3E" w:rsidRPr="00800D1B" w:rsidRDefault="00623E14" w:rsidP="00A26CDD">
            <w:pPr>
              <w:spacing w:before="100" w:after="100"/>
              <w:ind w:left="-72"/>
              <w:rPr>
                <w:color w:val="000000"/>
                <w:sz w:val="20"/>
                <w:lang w:val="sv-SE"/>
              </w:rPr>
            </w:pPr>
            <w:r w:rsidRPr="00800D1B">
              <w:rPr>
                <w:color w:val="000000"/>
                <w:sz w:val="20"/>
                <w:lang w:val="sv-SE"/>
              </w:rPr>
              <w:t>Förordning (2009:145) med instruktion för Tillväxtverket</w:t>
            </w:r>
          </w:p>
          <w:p w14:paraId="2D06698F" w14:textId="7EE02852" w:rsidR="00A77B3E" w:rsidRPr="00800D1B" w:rsidRDefault="00000000" w:rsidP="00A26CDD">
            <w:pPr>
              <w:spacing w:before="100" w:after="100"/>
              <w:ind w:left="-72"/>
              <w:rPr>
                <w:color w:val="000000"/>
                <w:sz w:val="20"/>
                <w:lang w:val="sv-SE"/>
              </w:rPr>
            </w:pPr>
            <w:hyperlink r:id="rId43" w:history="1">
              <w:r w:rsidR="00623E14" w:rsidRPr="00800D1B">
                <w:rPr>
                  <w:rStyle w:val="Hyperlnk"/>
                  <w:sz w:val="20"/>
                  <w:lang w:val="sv-SE"/>
                </w:rPr>
                <w:t>www.riksdagen.se/sv/dokument-lagar/dokument/svensk-forfattningssamling/forordning-2009145-med-instruktion-for_sfs-2009-145</w:t>
              </w:r>
            </w:hyperlink>
          </w:p>
          <w:p w14:paraId="2D066991" w14:textId="77777777" w:rsidR="00A77B3E" w:rsidRPr="00800D1B" w:rsidRDefault="00623E14" w:rsidP="00B55BCE">
            <w:pPr>
              <w:spacing w:before="360" w:after="100"/>
              <w:ind w:left="-72"/>
              <w:rPr>
                <w:color w:val="000000"/>
                <w:sz w:val="20"/>
                <w:lang w:val="sv-SE"/>
              </w:rPr>
            </w:pPr>
            <w:r w:rsidRPr="00800D1B">
              <w:rPr>
                <w:color w:val="000000"/>
                <w:sz w:val="20"/>
                <w:lang w:val="sv-SE"/>
              </w:rPr>
              <w:t>Förordning (2015:527) med instruktion för Upphandlingsmyndigheten</w:t>
            </w:r>
          </w:p>
          <w:p w14:paraId="2D066992" w14:textId="4164CD0F" w:rsidR="00A77B3E" w:rsidRPr="00800D1B" w:rsidRDefault="00000000" w:rsidP="00A26CDD">
            <w:pPr>
              <w:spacing w:before="100" w:after="100"/>
              <w:ind w:left="-72"/>
              <w:rPr>
                <w:color w:val="000000"/>
                <w:sz w:val="20"/>
                <w:lang w:val="sv-SE"/>
              </w:rPr>
            </w:pPr>
            <w:hyperlink r:id="rId44" w:history="1">
              <w:r w:rsidR="00623E14" w:rsidRPr="00800D1B">
                <w:rPr>
                  <w:rStyle w:val="Hyperlnk"/>
                  <w:sz w:val="20"/>
                  <w:lang w:val="sv-SE"/>
                </w:rPr>
                <w:t>https://www.riksdagen.se/sv/dokument-lagar/dokument/svensk-forfattningssamling/forordning-2015527-med-instruktion-for_sfs-2015-527</w:t>
              </w:r>
            </w:hyperlink>
          </w:p>
          <w:p w14:paraId="2D066995" w14:textId="16CAA9E5" w:rsidR="00A77B3E" w:rsidRPr="00800D1B" w:rsidRDefault="00623E14" w:rsidP="00B55BCE">
            <w:pPr>
              <w:spacing w:before="360" w:after="100"/>
              <w:ind w:left="-72"/>
              <w:rPr>
                <w:color w:val="000000"/>
                <w:sz w:val="20"/>
                <w:lang w:val="sv-SE"/>
              </w:rPr>
            </w:pPr>
            <w:r w:rsidRPr="00800D1B">
              <w:rPr>
                <w:color w:val="000000"/>
                <w:sz w:val="20"/>
                <w:lang w:val="sv-SE"/>
              </w:rPr>
              <w:t>Lagen (2013:388) om tillämpning av EUs statsstödsregler Lag (2013:388) om tillämpning av Europeiska unionens statsstödsregler</w:t>
            </w:r>
          </w:p>
        </w:tc>
        <w:tc>
          <w:tcPr>
            <w:tcW w:w="3400" w:type="dxa"/>
          </w:tcPr>
          <w:p w14:paraId="2D066996" w14:textId="77777777" w:rsidR="00A77B3E" w:rsidRPr="00800D1B" w:rsidRDefault="00623E14" w:rsidP="00A26CDD">
            <w:pPr>
              <w:spacing w:before="100" w:after="100"/>
              <w:ind w:left="-72"/>
              <w:rPr>
                <w:color w:val="000000"/>
                <w:sz w:val="20"/>
                <w:lang w:val="sv-SE"/>
              </w:rPr>
            </w:pPr>
            <w:r w:rsidRPr="00800D1B">
              <w:rPr>
                <w:color w:val="000000"/>
                <w:sz w:val="20"/>
                <w:lang w:val="sv-SE"/>
              </w:rPr>
              <w:t>I Sverige finns det inte en central myndighet med uppdrag att utöva tillsyn över att EUF-fördragets statsstödsregler efterlevs i Sverige, utan det är den stödgivande myndigheten som ansvarar för kontroller av stödmottagare. Expertrådgivning finns internt hos den aktuella förvaltande myndigheten (FM), samt hos Upphandlingsmyndigheten (UM). UM har i uppdrag att ge vägledning till kommuner och regioner om EU:s statsstödsregler och även FM kan vända sig till dem. UM har en hemsida med frågor och svar och ger telefonsupport i statsstödsfrågor.</w:t>
            </w:r>
          </w:p>
          <w:p w14:paraId="2D066997" w14:textId="77777777" w:rsidR="00A77B3E" w:rsidRPr="00800D1B" w:rsidRDefault="00623E14" w:rsidP="00A26CDD">
            <w:pPr>
              <w:spacing w:before="100" w:after="100"/>
              <w:ind w:left="-72"/>
              <w:rPr>
                <w:color w:val="000000"/>
                <w:sz w:val="20"/>
                <w:lang w:val="sv-SE"/>
              </w:rPr>
            </w:pPr>
            <w:r w:rsidRPr="00800D1B">
              <w:rPr>
                <w:color w:val="000000"/>
                <w:sz w:val="20"/>
                <w:lang w:val="sv-SE"/>
              </w:rPr>
              <w:t>Tillväxtverket (TVV) har ett utpekat uppdrag att informera om statsstöd på central, regional och lokal nivå. För ERUF och FRO där TVV är FM tillhandahåller TVV både expertrådgivning och vägledning.</w:t>
            </w:r>
          </w:p>
          <w:p w14:paraId="2D066998" w14:textId="77777777" w:rsidR="00A77B3E" w:rsidRPr="00800D1B" w:rsidRDefault="00623E14" w:rsidP="00A26CDD">
            <w:pPr>
              <w:spacing w:before="100" w:after="100"/>
              <w:ind w:left="-72"/>
              <w:rPr>
                <w:color w:val="000000"/>
                <w:sz w:val="20"/>
                <w:lang w:val="sv-SE"/>
              </w:rPr>
            </w:pPr>
            <w:r w:rsidRPr="00800D1B">
              <w:rPr>
                <w:color w:val="000000"/>
                <w:sz w:val="20"/>
                <w:lang w:val="sv-SE"/>
              </w:rPr>
              <w:t>Inom Regeringskansliet finns därutöver en samordningsfunktion för statsstödsfrågor vid Näringsdepartementet (N-dep).</w:t>
            </w:r>
          </w:p>
          <w:p w14:paraId="2D066999" w14:textId="77777777" w:rsidR="00A77B3E" w:rsidRPr="00800D1B" w:rsidRDefault="00623E14" w:rsidP="00A26CDD">
            <w:pPr>
              <w:spacing w:before="100" w:after="100"/>
              <w:ind w:left="-72"/>
              <w:rPr>
                <w:color w:val="000000"/>
                <w:sz w:val="20"/>
                <w:lang w:val="sv-SE"/>
              </w:rPr>
            </w:pPr>
            <w:r w:rsidRPr="00800D1B">
              <w:rPr>
                <w:color w:val="000000"/>
                <w:sz w:val="20"/>
                <w:lang w:val="sv-SE"/>
              </w:rPr>
              <w:t xml:space="preserve">Alla myndigheter har en skyldighet att informera N-dep innan de lämnar ett statligt stöd. </w:t>
            </w:r>
          </w:p>
          <w:p w14:paraId="2D06699B" w14:textId="08B3B1B8" w:rsidR="00A77B3E" w:rsidRPr="00800D1B" w:rsidRDefault="00623E14" w:rsidP="00B55BCE">
            <w:pPr>
              <w:spacing w:before="100" w:after="240"/>
              <w:ind w:left="-72"/>
              <w:rPr>
                <w:color w:val="000000"/>
                <w:sz w:val="20"/>
                <w:lang w:val="sv-SE"/>
              </w:rPr>
            </w:pPr>
            <w:r w:rsidRPr="00800D1B">
              <w:rPr>
                <w:color w:val="000000"/>
                <w:sz w:val="20"/>
                <w:lang w:val="sv-SE"/>
              </w:rPr>
              <w:t>Enheten har experter på statligt stöd och kan bistå med information och rådgivning om statsstödsreglernas tillämpning, men kan inte ge råd om beslut i ett enskilt ärende.</w:t>
            </w:r>
          </w:p>
        </w:tc>
      </w:tr>
      <w:tr w:rsidR="003422DB" w:rsidRPr="00BD3045" w14:paraId="2D0669AA" w14:textId="77777777" w:rsidTr="00A26CDD">
        <w:tc>
          <w:tcPr>
            <w:tcW w:w="1600" w:type="dxa"/>
            <w:vMerge w:val="restart"/>
          </w:tcPr>
          <w:p w14:paraId="2D06699D" w14:textId="31F28424" w:rsidR="00A77B3E" w:rsidRPr="00800D1B" w:rsidRDefault="00623E14">
            <w:pPr>
              <w:pStyle w:val="Liststycke"/>
              <w:numPr>
                <w:ilvl w:val="0"/>
                <w:numId w:val="70"/>
              </w:numPr>
              <w:tabs>
                <w:tab w:val="left" w:pos="210"/>
              </w:tabs>
              <w:spacing w:before="100" w:after="100"/>
              <w:ind w:left="-72" w:firstLine="0"/>
              <w:rPr>
                <w:color w:val="000000"/>
                <w:sz w:val="20"/>
                <w:lang w:val="sv-SE"/>
              </w:rPr>
            </w:pPr>
            <w:r w:rsidRPr="00800D1B">
              <w:rPr>
                <w:color w:val="000000"/>
                <w:sz w:val="20"/>
                <w:lang w:val="sv-SE"/>
              </w:rPr>
              <w:t>Effektiv tillämpning och genomförande av stadgan om de grundläggande rättigheterna</w:t>
            </w:r>
          </w:p>
        </w:tc>
        <w:tc>
          <w:tcPr>
            <w:tcW w:w="800" w:type="dxa"/>
            <w:vMerge w:val="restart"/>
          </w:tcPr>
          <w:p w14:paraId="2D06699E" w14:textId="77777777" w:rsidR="00A77B3E" w:rsidRPr="00800D1B" w:rsidRDefault="00A77B3E" w:rsidP="00A26CDD">
            <w:pPr>
              <w:spacing w:before="100" w:after="100"/>
              <w:ind w:left="-72"/>
              <w:rPr>
                <w:color w:val="000000"/>
                <w:sz w:val="20"/>
                <w:lang w:val="sv-SE"/>
              </w:rPr>
            </w:pPr>
          </w:p>
        </w:tc>
        <w:tc>
          <w:tcPr>
            <w:tcW w:w="1600" w:type="dxa"/>
            <w:vMerge w:val="restart"/>
          </w:tcPr>
          <w:p w14:paraId="2D06699F" w14:textId="77777777" w:rsidR="00A77B3E" w:rsidRPr="00800D1B" w:rsidRDefault="00A77B3E" w:rsidP="00A26CDD">
            <w:pPr>
              <w:spacing w:before="100" w:after="100"/>
              <w:ind w:left="-72"/>
              <w:rPr>
                <w:color w:val="000000"/>
                <w:sz w:val="20"/>
                <w:lang w:val="sv-SE"/>
              </w:rPr>
            </w:pPr>
          </w:p>
        </w:tc>
        <w:tc>
          <w:tcPr>
            <w:tcW w:w="1000" w:type="dxa"/>
            <w:vMerge w:val="restart"/>
          </w:tcPr>
          <w:p w14:paraId="2D0669A0" w14:textId="77777777" w:rsidR="00A77B3E" w:rsidRPr="00800D1B" w:rsidRDefault="00623E14" w:rsidP="00A26CDD">
            <w:pPr>
              <w:spacing w:before="100" w:after="100"/>
              <w:ind w:left="-72"/>
              <w:jc w:val="center"/>
              <w:rPr>
                <w:color w:val="000000"/>
                <w:sz w:val="20"/>
                <w:lang w:val="sv-SE"/>
              </w:rPr>
            </w:pPr>
            <w:r w:rsidRPr="00800D1B">
              <w:rPr>
                <w:color w:val="000000"/>
                <w:sz w:val="20"/>
                <w:lang w:val="sv-SE"/>
              </w:rPr>
              <w:t>Ja</w:t>
            </w:r>
          </w:p>
        </w:tc>
        <w:tc>
          <w:tcPr>
            <w:tcW w:w="2800" w:type="dxa"/>
          </w:tcPr>
          <w:p w14:paraId="2D0669A1" w14:textId="77777777" w:rsidR="00A77B3E" w:rsidRPr="00800D1B" w:rsidRDefault="00623E14" w:rsidP="00A26CDD">
            <w:pPr>
              <w:spacing w:before="100" w:after="100"/>
              <w:ind w:left="-72"/>
              <w:rPr>
                <w:color w:val="000000"/>
                <w:sz w:val="20"/>
                <w:lang w:val="sv-SE"/>
              </w:rPr>
            </w:pPr>
            <w:r w:rsidRPr="00800D1B">
              <w:rPr>
                <w:color w:val="000000"/>
                <w:sz w:val="20"/>
                <w:lang w:val="sv-SE"/>
              </w:rPr>
              <w:t xml:space="preserve">Effektiva mekanismer finns för att säkerställa överensstämmelse med Europeiska unionens stadga om de grundläggande rättigheterna (stadgan) och omfattar följande: </w:t>
            </w:r>
          </w:p>
          <w:p w14:paraId="2D0669A2" w14:textId="08675F0E" w:rsidR="00A77B3E" w:rsidRPr="00800D1B" w:rsidRDefault="00623E14">
            <w:pPr>
              <w:pStyle w:val="Liststycke"/>
              <w:numPr>
                <w:ilvl w:val="0"/>
                <w:numId w:val="79"/>
              </w:numPr>
              <w:tabs>
                <w:tab w:val="left" w:pos="151"/>
              </w:tabs>
              <w:spacing w:after="100"/>
              <w:ind w:left="-72" w:hanging="61"/>
              <w:rPr>
                <w:color w:val="000000"/>
                <w:sz w:val="20"/>
                <w:lang w:val="sv-SE"/>
              </w:rPr>
            </w:pPr>
            <w:r w:rsidRPr="00800D1B">
              <w:rPr>
                <w:color w:val="000000"/>
                <w:sz w:val="20"/>
                <w:lang w:val="sv-SE"/>
              </w:rPr>
              <w:t>Arrangemang för att säkerställa att de program som stöds av fonderna och deras genomförande överensstämmer med relevanta bestämmelser i stadgan.</w:t>
            </w:r>
          </w:p>
        </w:tc>
        <w:tc>
          <w:tcPr>
            <w:tcW w:w="1000" w:type="dxa"/>
          </w:tcPr>
          <w:p w14:paraId="2D0669A3" w14:textId="77777777" w:rsidR="00A77B3E" w:rsidRPr="00800D1B" w:rsidRDefault="00623E14" w:rsidP="00A26CDD">
            <w:pPr>
              <w:spacing w:before="100" w:after="100"/>
              <w:ind w:left="-72"/>
              <w:jc w:val="center"/>
              <w:rPr>
                <w:color w:val="000000"/>
                <w:sz w:val="20"/>
                <w:lang w:val="sv-SE"/>
              </w:rPr>
            </w:pPr>
            <w:r w:rsidRPr="00800D1B">
              <w:rPr>
                <w:color w:val="000000"/>
                <w:sz w:val="20"/>
                <w:lang w:val="sv-SE"/>
              </w:rPr>
              <w:t>Ja</w:t>
            </w:r>
          </w:p>
        </w:tc>
        <w:tc>
          <w:tcPr>
            <w:tcW w:w="3400" w:type="dxa"/>
          </w:tcPr>
          <w:p w14:paraId="2D0669A4" w14:textId="77777777" w:rsidR="00A77B3E" w:rsidRPr="00800D1B" w:rsidRDefault="00623E14" w:rsidP="00A26CDD">
            <w:pPr>
              <w:spacing w:before="100" w:after="100"/>
              <w:ind w:left="-72"/>
              <w:rPr>
                <w:color w:val="000000"/>
                <w:sz w:val="20"/>
                <w:lang w:val="sv-SE"/>
              </w:rPr>
            </w:pPr>
            <w:r w:rsidRPr="00800D1B">
              <w:rPr>
                <w:color w:val="000000"/>
                <w:sz w:val="20"/>
                <w:lang w:val="sv-SE"/>
              </w:rPr>
              <w:t>EU-stadgan. Lag (1986:765) med instruktion för Riksdagens ombudsmän. Även regeringsformen och riksdagsordningen innehåller regleringar av JO:s uppgifter.</w:t>
            </w:r>
          </w:p>
          <w:p w14:paraId="2D0669A5" w14:textId="636E920D" w:rsidR="00A77B3E" w:rsidRPr="00800D1B" w:rsidRDefault="00000000" w:rsidP="00A26CDD">
            <w:pPr>
              <w:spacing w:before="100" w:after="100"/>
              <w:ind w:left="-72"/>
              <w:rPr>
                <w:color w:val="000000"/>
                <w:sz w:val="20"/>
                <w:lang w:val="sv-SE"/>
              </w:rPr>
            </w:pPr>
            <w:hyperlink r:id="rId45" w:history="1">
              <w:r w:rsidR="00623E14" w:rsidRPr="00800D1B">
                <w:rPr>
                  <w:rStyle w:val="Hyperlnk"/>
                  <w:sz w:val="20"/>
                  <w:lang w:val="sv-SE"/>
                </w:rPr>
                <w:t>https://www.riksdagen.se/sv/dokument-lagar/dokument/svensk-forfattningssamling/lag-1986765-med-instruktion-for-riksdagens_sfs-1986-765</w:t>
              </w:r>
            </w:hyperlink>
            <w:r w:rsidR="00623E14" w:rsidRPr="00800D1B">
              <w:rPr>
                <w:color w:val="000000"/>
                <w:sz w:val="20"/>
                <w:lang w:val="sv-SE"/>
              </w:rPr>
              <w:t xml:space="preserve"> </w:t>
            </w:r>
          </w:p>
          <w:p w14:paraId="2D0669A6" w14:textId="77777777" w:rsidR="00A77B3E" w:rsidRPr="00800D1B" w:rsidRDefault="00623E14" w:rsidP="00A26CDD">
            <w:pPr>
              <w:spacing w:before="100" w:after="100"/>
              <w:ind w:left="-72"/>
              <w:rPr>
                <w:color w:val="000000"/>
                <w:sz w:val="20"/>
                <w:lang w:val="sv-SE"/>
              </w:rPr>
            </w:pPr>
            <w:r w:rsidRPr="00800D1B">
              <w:rPr>
                <w:color w:val="000000"/>
                <w:sz w:val="20"/>
                <w:lang w:val="sv-SE"/>
              </w:rPr>
              <w:t>Lag (1975:1339) om Justitiekanslerns tillsyn som reglerar tillsynsuppgiften.</w:t>
            </w:r>
          </w:p>
          <w:p w14:paraId="2D0669A7" w14:textId="28AA928D" w:rsidR="00A77B3E" w:rsidRPr="00800D1B" w:rsidRDefault="00000000" w:rsidP="00A26CDD">
            <w:pPr>
              <w:spacing w:before="100" w:after="100"/>
              <w:ind w:left="-72"/>
              <w:rPr>
                <w:color w:val="000000"/>
                <w:sz w:val="20"/>
                <w:lang w:val="sv-SE"/>
              </w:rPr>
            </w:pPr>
            <w:hyperlink r:id="rId46" w:history="1">
              <w:r w:rsidR="00623E14" w:rsidRPr="00800D1B">
                <w:rPr>
                  <w:rStyle w:val="Hyperlnk"/>
                  <w:sz w:val="20"/>
                  <w:lang w:val="sv-SE"/>
                </w:rPr>
                <w:t>https://www.riksdagen.se/sv/dokument-lagar/dokument/svensk-forfattningssamling/lag-19751339-om-justitiekanslerns-tillsyn_sfs-1975-1339</w:t>
              </w:r>
            </w:hyperlink>
            <w:r w:rsidR="00623E14" w:rsidRPr="00800D1B">
              <w:rPr>
                <w:color w:val="000000"/>
                <w:sz w:val="20"/>
                <w:lang w:val="sv-SE"/>
              </w:rPr>
              <w:t>.</w:t>
            </w:r>
          </w:p>
        </w:tc>
        <w:tc>
          <w:tcPr>
            <w:tcW w:w="3400" w:type="dxa"/>
          </w:tcPr>
          <w:p w14:paraId="2D0669A9" w14:textId="69500B4A" w:rsidR="00A77B3E" w:rsidRPr="00800D1B" w:rsidRDefault="00623E14" w:rsidP="00977927">
            <w:pPr>
              <w:spacing w:before="100" w:after="300"/>
              <w:ind w:left="-72"/>
              <w:rPr>
                <w:color w:val="000000"/>
                <w:sz w:val="20"/>
                <w:lang w:val="sv-SE"/>
              </w:rPr>
            </w:pPr>
            <w:r w:rsidRPr="00800D1B">
              <w:rPr>
                <w:color w:val="000000"/>
                <w:sz w:val="20"/>
                <w:lang w:val="sv-SE"/>
              </w:rPr>
              <w:t>Stadgan är rättsligt bindande för Sverige. Myndigheter är skyldiga att respektera rättigheterna, iaktta principerna och främja tillämpningen av rättigheterna när unionsrätten tillämpas. Det innebär att förvaltande myndighet (FM) är bundna av reglerna vid framtagning av programmen. Flera av rättigheterna är direkt adresserade i regeringens riktlinjer för programmen. I genomförandet ingår det i FMs rutiner att göra en kontroll mot relevanta artiklar. För att kontrollerna ska få genomslag tillhandahåller FM en utbildning som riktar sig till samtliga involverade i programmens processer. För att kontrollera efterlevnaden av stadgan kontrolleras utlysningar, urvalskriterier, ansökningar och rapporter mot en checklista. Vid överprövning av beslut av FM kan även domstolar pröva om beslutet är i överensstämmelse med stadgan. Därutöver finns det ett system av ombudsmän som granskar att myndigheter efterlever lagar och andra författningar samt fullgör sina skyldigheter. Enskilda kan anmäla klagomål till ombudsmännen som utreder klagomålen och beslutar om en myndighets åtgärd strider mot lag, annan författning eller annars är felaktig eller olämplig</w:t>
            </w:r>
            <w:r w:rsidR="00977927" w:rsidRPr="00800D1B">
              <w:rPr>
                <w:color w:val="000000"/>
                <w:sz w:val="20"/>
                <w:lang w:val="sv-SE"/>
              </w:rPr>
              <w:t xml:space="preserve"> </w:t>
            </w:r>
          </w:p>
        </w:tc>
      </w:tr>
      <w:tr w:rsidR="003422DB" w:rsidRPr="00BD3045" w14:paraId="2D0669B3" w14:textId="77777777" w:rsidTr="00A26CDD">
        <w:tc>
          <w:tcPr>
            <w:tcW w:w="1600" w:type="dxa"/>
            <w:vMerge/>
          </w:tcPr>
          <w:p w14:paraId="2D0669AB" w14:textId="77777777" w:rsidR="00A77B3E" w:rsidRPr="00800D1B" w:rsidRDefault="00A77B3E" w:rsidP="00A26CDD">
            <w:pPr>
              <w:spacing w:before="100" w:after="100"/>
              <w:ind w:left="-72"/>
              <w:rPr>
                <w:color w:val="000000"/>
                <w:sz w:val="20"/>
                <w:lang w:val="sv-SE"/>
              </w:rPr>
            </w:pPr>
          </w:p>
        </w:tc>
        <w:tc>
          <w:tcPr>
            <w:tcW w:w="800" w:type="dxa"/>
            <w:vMerge/>
          </w:tcPr>
          <w:p w14:paraId="2D0669AC" w14:textId="77777777" w:rsidR="00A77B3E" w:rsidRPr="00800D1B" w:rsidRDefault="00A77B3E" w:rsidP="00A26CDD">
            <w:pPr>
              <w:spacing w:before="100" w:after="100"/>
              <w:ind w:left="-72"/>
              <w:rPr>
                <w:color w:val="000000"/>
                <w:sz w:val="20"/>
                <w:lang w:val="sv-SE"/>
              </w:rPr>
            </w:pPr>
          </w:p>
        </w:tc>
        <w:tc>
          <w:tcPr>
            <w:tcW w:w="1600" w:type="dxa"/>
            <w:vMerge/>
          </w:tcPr>
          <w:p w14:paraId="2D0669AD" w14:textId="77777777" w:rsidR="00A77B3E" w:rsidRPr="00800D1B" w:rsidRDefault="00A77B3E" w:rsidP="00A26CDD">
            <w:pPr>
              <w:spacing w:before="100" w:after="100"/>
              <w:ind w:left="-72"/>
              <w:rPr>
                <w:color w:val="000000"/>
                <w:sz w:val="20"/>
                <w:lang w:val="sv-SE"/>
              </w:rPr>
            </w:pPr>
          </w:p>
        </w:tc>
        <w:tc>
          <w:tcPr>
            <w:tcW w:w="1000" w:type="dxa"/>
            <w:vMerge/>
          </w:tcPr>
          <w:p w14:paraId="2D0669AE" w14:textId="77777777" w:rsidR="00A77B3E" w:rsidRPr="00800D1B" w:rsidRDefault="00A77B3E" w:rsidP="00A26CDD">
            <w:pPr>
              <w:spacing w:before="100" w:after="100"/>
              <w:ind w:left="-72"/>
              <w:rPr>
                <w:color w:val="000000"/>
                <w:sz w:val="20"/>
                <w:lang w:val="sv-SE"/>
              </w:rPr>
            </w:pPr>
          </w:p>
        </w:tc>
        <w:tc>
          <w:tcPr>
            <w:tcW w:w="2800" w:type="dxa"/>
          </w:tcPr>
          <w:p w14:paraId="2D0669AF" w14:textId="60003275" w:rsidR="00A77B3E" w:rsidRPr="00800D1B" w:rsidRDefault="00623E14">
            <w:pPr>
              <w:pStyle w:val="Liststycke"/>
              <w:numPr>
                <w:ilvl w:val="0"/>
                <w:numId w:val="79"/>
              </w:numPr>
              <w:tabs>
                <w:tab w:val="left" w:pos="181"/>
              </w:tabs>
              <w:spacing w:after="100"/>
              <w:ind w:left="-72" w:firstLine="0"/>
              <w:rPr>
                <w:color w:val="000000"/>
                <w:sz w:val="20"/>
                <w:lang w:val="sv-SE"/>
              </w:rPr>
            </w:pPr>
            <w:r w:rsidRPr="00800D1B">
              <w:rPr>
                <w:color w:val="000000"/>
                <w:sz w:val="20"/>
                <w:lang w:val="sv-SE"/>
              </w:rPr>
              <w:t>Rutiner för rapportering till övervakningskommittén om insatser som stöds av fonderna och som inte överensstämmer med stadgan och klagomål avseende stadgan som lämnats in i överensstämmelse med rutinerna enligt artikel 69.7.</w:t>
            </w:r>
          </w:p>
        </w:tc>
        <w:tc>
          <w:tcPr>
            <w:tcW w:w="1000" w:type="dxa"/>
          </w:tcPr>
          <w:p w14:paraId="2D0669B0" w14:textId="77777777" w:rsidR="00A77B3E" w:rsidRPr="00800D1B" w:rsidRDefault="00623E14" w:rsidP="00A26CDD">
            <w:pPr>
              <w:spacing w:before="100" w:after="100"/>
              <w:ind w:left="-72"/>
              <w:jc w:val="center"/>
              <w:rPr>
                <w:color w:val="000000"/>
                <w:sz w:val="20"/>
                <w:lang w:val="sv-SE"/>
              </w:rPr>
            </w:pPr>
            <w:r w:rsidRPr="00800D1B">
              <w:rPr>
                <w:color w:val="000000"/>
                <w:sz w:val="20"/>
                <w:lang w:val="sv-SE"/>
              </w:rPr>
              <w:t>Ja</w:t>
            </w:r>
          </w:p>
        </w:tc>
        <w:tc>
          <w:tcPr>
            <w:tcW w:w="3400" w:type="dxa"/>
          </w:tcPr>
          <w:p w14:paraId="2D0669B1" w14:textId="77E466D1" w:rsidR="00A77B3E" w:rsidRPr="00800D1B" w:rsidRDefault="00A77B3E" w:rsidP="00A26CDD">
            <w:pPr>
              <w:spacing w:before="100" w:after="100"/>
              <w:ind w:left="-72"/>
              <w:rPr>
                <w:color w:val="000000"/>
                <w:sz w:val="20"/>
                <w:lang w:val="sv-SE"/>
              </w:rPr>
            </w:pPr>
          </w:p>
        </w:tc>
        <w:tc>
          <w:tcPr>
            <w:tcW w:w="3400" w:type="dxa"/>
          </w:tcPr>
          <w:p w14:paraId="2D0669B2" w14:textId="77777777" w:rsidR="00A77B3E" w:rsidRPr="00800D1B" w:rsidRDefault="00623E14" w:rsidP="00A26CDD">
            <w:pPr>
              <w:spacing w:before="100" w:after="100"/>
              <w:ind w:left="-72"/>
              <w:rPr>
                <w:color w:val="000000"/>
                <w:sz w:val="20"/>
                <w:lang w:val="sv-SE"/>
              </w:rPr>
            </w:pPr>
            <w:r w:rsidRPr="00800D1B">
              <w:rPr>
                <w:color w:val="000000"/>
                <w:sz w:val="20"/>
                <w:lang w:val="sv-SE"/>
              </w:rPr>
              <w:t>I rutinen för rapportering till övervakningskommittén anges att förvaltande myndighet minst årligen ska rapportera fall där förvaltande myndighet i sina kontroller av insatser och projekt upptäckt brott mot stadgan samt klagomål avseende stadgan som inkommit till Justitieombudsmannen, Justitiekanslern eller annan ombudsman och som förvaltande myndighet ombetts yttra sig över. I rapporteringen ska förvaltande myndighet ange hur många fall av brott mot stadgan som har identifierats, hur många granskningsförfaranden som inletts av ombudsmännen samt status på dessa, vilka rättigheter som påverkats, vilka åtgärder som vidtagits för att korrigera bristerna samt vilka åtgärder som vidtagits för att undvika liknande brister i framtiden.</w:t>
            </w:r>
          </w:p>
        </w:tc>
      </w:tr>
      <w:tr w:rsidR="003422DB" w:rsidRPr="00BD3045" w14:paraId="2D0669CB" w14:textId="77777777" w:rsidTr="00A26CDD">
        <w:tc>
          <w:tcPr>
            <w:tcW w:w="1600" w:type="dxa"/>
            <w:vMerge w:val="restart"/>
          </w:tcPr>
          <w:p w14:paraId="2D0669B4" w14:textId="65F53E55" w:rsidR="00A77B3E" w:rsidRPr="00800D1B" w:rsidRDefault="00623E14">
            <w:pPr>
              <w:pStyle w:val="Liststycke"/>
              <w:numPr>
                <w:ilvl w:val="0"/>
                <w:numId w:val="70"/>
              </w:numPr>
              <w:tabs>
                <w:tab w:val="left" w:pos="210"/>
              </w:tabs>
              <w:spacing w:before="100" w:after="100"/>
              <w:ind w:left="-72" w:firstLine="0"/>
              <w:rPr>
                <w:color w:val="000000"/>
                <w:sz w:val="20"/>
                <w:lang w:val="sv-SE"/>
              </w:rPr>
            </w:pPr>
            <w:r w:rsidRPr="00800D1B">
              <w:rPr>
                <w:color w:val="000000"/>
                <w:sz w:val="20"/>
                <w:lang w:val="sv-SE"/>
              </w:rPr>
              <w:t>Genomförande och tillämpning av FN-konventionen om rättigheter för personer med funktionsnedsättning i enlighet med rådets beslut 2010/48/EG</w:t>
            </w:r>
          </w:p>
        </w:tc>
        <w:tc>
          <w:tcPr>
            <w:tcW w:w="800" w:type="dxa"/>
            <w:vMerge w:val="restart"/>
          </w:tcPr>
          <w:p w14:paraId="2D0669B5" w14:textId="77777777" w:rsidR="00A77B3E" w:rsidRPr="00800D1B" w:rsidRDefault="00A77B3E" w:rsidP="00A26CDD">
            <w:pPr>
              <w:spacing w:before="100" w:after="100"/>
              <w:ind w:left="-72"/>
              <w:rPr>
                <w:color w:val="000000"/>
                <w:sz w:val="20"/>
                <w:lang w:val="sv-SE"/>
              </w:rPr>
            </w:pPr>
          </w:p>
        </w:tc>
        <w:tc>
          <w:tcPr>
            <w:tcW w:w="1600" w:type="dxa"/>
            <w:vMerge w:val="restart"/>
          </w:tcPr>
          <w:p w14:paraId="2D0669B6" w14:textId="77777777" w:rsidR="00A77B3E" w:rsidRPr="00800D1B" w:rsidRDefault="00A77B3E" w:rsidP="00A26CDD">
            <w:pPr>
              <w:spacing w:before="100" w:after="100"/>
              <w:ind w:left="-72"/>
              <w:rPr>
                <w:color w:val="000000"/>
                <w:sz w:val="20"/>
                <w:lang w:val="sv-SE"/>
              </w:rPr>
            </w:pPr>
          </w:p>
        </w:tc>
        <w:tc>
          <w:tcPr>
            <w:tcW w:w="1000" w:type="dxa"/>
            <w:vMerge w:val="restart"/>
          </w:tcPr>
          <w:p w14:paraId="2D0669B7" w14:textId="77777777" w:rsidR="00A77B3E" w:rsidRPr="00800D1B" w:rsidRDefault="00623E14" w:rsidP="00A26CDD">
            <w:pPr>
              <w:spacing w:before="100" w:after="100"/>
              <w:ind w:left="-72"/>
              <w:jc w:val="center"/>
              <w:rPr>
                <w:color w:val="000000"/>
                <w:sz w:val="20"/>
                <w:lang w:val="sv-SE"/>
              </w:rPr>
            </w:pPr>
            <w:r w:rsidRPr="00800D1B">
              <w:rPr>
                <w:color w:val="000000"/>
                <w:sz w:val="20"/>
                <w:lang w:val="sv-SE"/>
              </w:rPr>
              <w:t>Ja</w:t>
            </w:r>
          </w:p>
        </w:tc>
        <w:tc>
          <w:tcPr>
            <w:tcW w:w="2800" w:type="dxa"/>
          </w:tcPr>
          <w:p w14:paraId="2D0669B8" w14:textId="77777777" w:rsidR="00A77B3E" w:rsidRPr="00800D1B" w:rsidRDefault="00623E14" w:rsidP="00A26CDD">
            <w:pPr>
              <w:spacing w:before="100" w:after="100"/>
              <w:ind w:left="-72"/>
              <w:rPr>
                <w:color w:val="000000"/>
                <w:sz w:val="20"/>
                <w:lang w:val="sv-SE"/>
              </w:rPr>
            </w:pPr>
            <w:r w:rsidRPr="00800D1B">
              <w:rPr>
                <w:color w:val="000000"/>
                <w:sz w:val="20"/>
                <w:lang w:val="sv-SE"/>
              </w:rPr>
              <w:t xml:space="preserve">En nationell ram för att säkerställa genomförande av konventionen finns och omfattar följande: </w:t>
            </w:r>
          </w:p>
          <w:p w14:paraId="2D0669B9" w14:textId="707D581C" w:rsidR="00A77B3E" w:rsidRPr="00800D1B" w:rsidRDefault="00623E14">
            <w:pPr>
              <w:pStyle w:val="Liststycke"/>
              <w:numPr>
                <w:ilvl w:val="0"/>
                <w:numId w:val="80"/>
              </w:numPr>
              <w:tabs>
                <w:tab w:val="left" w:pos="151"/>
              </w:tabs>
              <w:spacing w:before="100" w:after="100"/>
              <w:ind w:left="-72" w:hanging="29"/>
              <w:rPr>
                <w:color w:val="000000"/>
                <w:sz w:val="20"/>
                <w:lang w:val="sv-SE"/>
              </w:rPr>
            </w:pPr>
            <w:r w:rsidRPr="00800D1B">
              <w:rPr>
                <w:color w:val="000000"/>
                <w:sz w:val="20"/>
                <w:lang w:val="sv-SE"/>
              </w:rPr>
              <w:t>Syften med mätbara mål, datainsamling och övervakningsmekanismer.</w:t>
            </w:r>
          </w:p>
        </w:tc>
        <w:tc>
          <w:tcPr>
            <w:tcW w:w="1000" w:type="dxa"/>
          </w:tcPr>
          <w:p w14:paraId="2D0669BA" w14:textId="77777777" w:rsidR="00A77B3E" w:rsidRPr="00800D1B" w:rsidRDefault="00623E14" w:rsidP="00A26CDD">
            <w:pPr>
              <w:spacing w:before="100" w:after="100"/>
              <w:ind w:left="-72"/>
              <w:jc w:val="center"/>
              <w:rPr>
                <w:color w:val="000000"/>
                <w:sz w:val="20"/>
                <w:lang w:val="sv-SE"/>
              </w:rPr>
            </w:pPr>
            <w:r w:rsidRPr="00800D1B">
              <w:rPr>
                <w:color w:val="000000"/>
                <w:sz w:val="20"/>
                <w:lang w:val="sv-SE"/>
              </w:rPr>
              <w:t>Ja</w:t>
            </w:r>
          </w:p>
        </w:tc>
        <w:tc>
          <w:tcPr>
            <w:tcW w:w="3400" w:type="dxa"/>
          </w:tcPr>
          <w:p w14:paraId="2D0669BB" w14:textId="1DAA1AE9" w:rsidR="00A77B3E" w:rsidRPr="00800D1B" w:rsidRDefault="00623E14" w:rsidP="00A26CDD">
            <w:pPr>
              <w:spacing w:before="100" w:after="100"/>
              <w:ind w:left="-72"/>
              <w:rPr>
                <w:color w:val="000000"/>
                <w:sz w:val="20"/>
                <w:lang w:val="sv-SE"/>
              </w:rPr>
            </w:pPr>
            <w:r w:rsidRPr="00800D1B">
              <w:rPr>
                <w:color w:val="000000"/>
                <w:sz w:val="20"/>
                <w:lang w:val="sv-SE"/>
              </w:rPr>
              <w:t>Strategi för systematisk uppföljning av funktionshinderspolitiken under 2021 – 2031 (dnr. S2021/06595):</w:t>
            </w:r>
            <w:r w:rsidR="00CF74CB" w:rsidRPr="00800D1B">
              <w:rPr>
                <w:color w:val="000000"/>
                <w:sz w:val="20"/>
                <w:lang w:val="sv-SE"/>
              </w:rPr>
              <w:t xml:space="preserve"> </w:t>
            </w:r>
          </w:p>
          <w:p w14:paraId="2D0669BC" w14:textId="27C3A708" w:rsidR="00A77B3E" w:rsidRPr="00800D1B" w:rsidRDefault="00000000" w:rsidP="00A26CDD">
            <w:pPr>
              <w:spacing w:before="100" w:after="100"/>
              <w:ind w:left="-72"/>
              <w:rPr>
                <w:color w:val="000000"/>
                <w:sz w:val="20"/>
                <w:lang w:val="sv-SE"/>
              </w:rPr>
            </w:pPr>
            <w:hyperlink r:id="rId47" w:history="1">
              <w:r w:rsidR="00623E14" w:rsidRPr="00800D1B">
                <w:rPr>
                  <w:rStyle w:val="Hyperlnk"/>
                  <w:sz w:val="20"/>
                  <w:lang w:val="sv-SE"/>
                </w:rPr>
                <w:t>www.regeringen.se/informationsmaterial/2021/09/informationsmaterial-strategi-for-systematisk-uppfoljning-av-funktionshinderspolitiken-under-20212031/</w:t>
              </w:r>
            </w:hyperlink>
          </w:p>
          <w:p w14:paraId="2D0669BE" w14:textId="77777777" w:rsidR="00A77B3E" w:rsidRPr="00800D1B" w:rsidRDefault="00623E14" w:rsidP="00A26CDD">
            <w:pPr>
              <w:spacing w:before="320" w:after="100"/>
              <w:ind w:left="-72"/>
              <w:rPr>
                <w:color w:val="000000"/>
                <w:sz w:val="20"/>
                <w:lang w:val="sv-SE"/>
              </w:rPr>
            </w:pPr>
            <w:r w:rsidRPr="00800D1B">
              <w:rPr>
                <w:color w:val="000000"/>
                <w:sz w:val="20"/>
                <w:lang w:val="sv-SE"/>
              </w:rPr>
              <w:t>Nationellt mål och inriktning för funktionshinderspolitiken (prop. 2016/17:188)</w:t>
            </w:r>
          </w:p>
          <w:p w14:paraId="2D0669C0" w14:textId="77777777" w:rsidR="00A77B3E" w:rsidRPr="00800D1B" w:rsidRDefault="00623E14" w:rsidP="00B55BCE">
            <w:pPr>
              <w:spacing w:before="360" w:after="100"/>
              <w:ind w:left="-72"/>
              <w:rPr>
                <w:color w:val="000000"/>
                <w:sz w:val="20"/>
                <w:lang w:val="sv-SE"/>
              </w:rPr>
            </w:pPr>
            <w:r w:rsidRPr="00800D1B">
              <w:rPr>
                <w:color w:val="000000"/>
                <w:sz w:val="20"/>
                <w:lang w:val="sv-SE"/>
              </w:rPr>
              <w:t>(Regeringsbeslut 2019-05-09 S2019/02245/FST)</w:t>
            </w:r>
          </w:p>
          <w:p w14:paraId="2D0669C2" w14:textId="77777777" w:rsidR="00A77B3E" w:rsidRPr="00800D1B" w:rsidRDefault="00623E14" w:rsidP="00B55BCE">
            <w:pPr>
              <w:spacing w:before="240" w:after="100"/>
              <w:ind w:left="-72"/>
              <w:rPr>
                <w:color w:val="000000"/>
                <w:sz w:val="20"/>
                <w:lang w:val="sv-SE"/>
              </w:rPr>
            </w:pPr>
            <w:r w:rsidRPr="00800D1B">
              <w:rPr>
                <w:color w:val="000000"/>
                <w:sz w:val="20"/>
                <w:lang w:val="sv-SE"/>
              </w:rPr>
              <w:t>Diskrimineringslagen (2008:567)</w:t>
            </w:r>
          </w:p>
          <w:p w14:paraId="2D0669C3" w14:textId="77777777" w:rsidR="00A77B3E" w:rsidRPr="00800D1B" w:rsidRDefault="00623E14" w:rsidP="00B55BCE">
            <w:pPr>
              <w:spacing w:before="240" w:after="100"/>
              <w:ind w:left="-72"/>
              <w:rPr>
                <w:color w:val="000000"/>
                <w:sz w:val="20"/>
                <w:lang w:val="sv-SE"/>
              </w:rPr>
            </w:pPr>
            <w:r w:rsidRPr="00800D1B">
              <w:rPr>
                <w:color w:val="000000"/>
                <w:sz w:val="20"/>
                <w:lang w:val="sv-SE"/>
              </w:rPr>
              <w:t>Lag (2021:642) om Institutet för mänskliga rättigheter</w:t>
            </w:r>
          </w:p>
          <w:p w14:paraId="2D0669C7" w14:textId="17EBA6E4" w:rsidR="00A77B3E" w:rsidRPr="00800D1B" w:rsidRDefault="00623E14" w:rsidP="00B55BCE">
            <w:pPr>
              <w:spacing w:before="240" w:after="100"/>
              <w:ind w:left="-72"/>
              <w:rPr>
                <w:color w:val="000000"/>
                <w:sz w:val="20"/>
                <w:lang w:val="sv-SE"/>
              </w:rPr>
            </w:pPr>
            <w:r w:rsidRPr="00800D1B">
              <w:rPr>
                <w:color w:val="000000"/>
                <w:sz w:val="20"/>
                <w:lang w:val="sv-SE"/>
              </w:rPr>
              <w:t>Förordning (2014:134) med instruktion för Myndigheten för delaktighet</w:t>
            </w:r>
          </w:p>
        </w:tc>
        <w:tc>
          <w:tcPr>
            <w:tcW w:w="3400" w:type="dxa"/>
          </w:tcPr>
          <w:p w14:paraId="2D0669C8" w14:textId="54445368" w:rsidR="00A77B3E" w:rsidRPr="00800D1B" w:rsidRDefault="00623E14" w:rsidP="00A26CDD">
            <w:pPr>
              <w:spacing w:before="100" w:after="100"/>
              <w:ind w:left="-72"/>
              <w:rPr>
                <w:color w:val="000000"/>
                <w:sz w:val="20"/>
                <w:lang w:val="sv-SE"/>
              </w:rPr>
            </w:pPr>
            <w:r w:rsidRPr="00800D1B">
              <w:rPr>
                <w:color w:val="000000"/>
                <w:sz w:val="20"/>
                <w:lang w:val="sv-SE"/>
              </w:rPr>
              <w:t>Sverige har ett nationellt mål för funktionshinderspolitiken med FN:s konvention om rättigheter för personer med funktionsnedsättning som utgångspunkt. Sverige har år 2008 ratificerat konventionen och dess fakultativa protokoll. En ny strategi för systematisk uppföljning av funktionshinderspolitiken har beslutats i september 2021. Strategin som sträcker sig från 2021–2031 innebär att 28 myndigheter får ett uppföljningsansvar inom sina respektive ansvarsområden. Myndigheterna redovisar årligen till regeringen.</w:t>
            </w:r>
            <w:r w:rsidR="00CF74CB" w:rsidRPr="00800D1B">
              <w:rPr>
                <w:color w:val="000000"/>
                <w:sz w:val="20"/>
                <w:lang w:val="sv-SE"/>
              </w:rPr>
              <w:t xml:space="preserve"> </w:t>
            </w:r>
            <w:r w:rsidRPr="00800D1B">
              <w:rPr>
                <w:color w:val="000000"/>
                <w:sz w:val="20"/>
                <w:lang w:val="sv-SE"/>
              </w:rPr>
              <w:t xml:space="preserve">Diskrimineringslagen (2008:567) förbjuder diskriminering på grund av funktionsnedsättning. Diskrimineringsombudsmannen utövar tillsyn. </w:t>
            </w:r>
          </w:p>
          <w:p w14:paraId="2D0669C9" w14:textId="77777777" w:rsidR="00A77B3E" w:rsidRPr="00800D1B" w:rsidRDefault="00623E14" w:rsidP="00A26CDD">
            <w:pPr>
              <w:spacing w:before="100" w:after="100"/>
              <w:ind w:left="-72"/>
              <w:rPr>
                <w:color w:val="000000"/>
                <w:sz w:val="20"/>
                <w:lang w:val="sv-SE"/>
              </w:rPr>
            </w:pPr>
            <w:r w:rsidRPr="00800D1B">
              <w:rPr>
                <w:color w:val="000000"/>
                <w:sz w:val="20"/>
                <w:lang w:val="sv-SE"/>
              </w:rPr>
              <w:t>Myndigheten för delaktighet (MFD) ansvarar för övergripande uppföljning och analys av funktionshinderpolitiken.</w:t>
            </w:r>
          </w:p>
          <w:p w14:paraId="2D0669CA" w14:textId="77777777" w:rsidR="00A77B3E" w:rsidRPr="00800D1B" w:rsidRDefault="00623E14" w:rsidP="00B55BCE">
            <w:pPr>
              <w:spacing w:before="100" w:after="360"/>
              <w:ind w:left="-72"/>
              <w:rPr>
                <w:color w:val="000000"/>
                <w:sz w:val="20"/>
                <w:lang w:val="sv-SE"/>
              </w:rPr>
            </w:pPr>
            <w:r w:rsidRPr="00800D1B">
              <w:rPr>
                <w:color w:val="000000"/>
                <w:sz w:val="20"/>
                <w:lang w:val="sv-SE"/>
              </w:rPr>
              <w:t>Riksdagen har antagit lagen (2021:642) om Institutet för mänskliga rättigheter. Institutet ska främja säkerställandet av de mänskliga rättigheterna i Sverige och startar sin verksamhet 1.1.2022.</w:t>
            </w:r>
          </w:p>
        </w:tc>
      </w:tr>
      <w:tr w:rsidR="003422DB" w:rsidRPr="00BD3045" w14:paraId="2D0669D5" w14:textId="77777777" w:rsidTr="00A26CDD">
        <w:tc>
          <w:tcPr>
            <w:tcW w:w="1600" w:type="dxa"/>
            <w:vMerge/>
          </w:tcPr>
          <w:p w14:paraId="2D0669CC" w14:textId="77777777" w:rsidR="00A77B3E" w:rsidRPr="00800D1B" w:rsidRDefault="00A77B3E" w:rsidP="00A26CDD">
            <w:pPr>
              <w:spacing w:before="100" w:after="100"/>
              <w:ind w:left="-72"/>
              <w:rPr>
                <w:color w:val="000000"/>
                <w:sz w:val="20"/>
                <w:lang w:val="sv-SE"/>
              </w:rPr>
            </w:pPr>
          </w:p>
        </w:tc>
        <w:tc>
          <w:tcPr>
            <w:tcW w:w="800" w:type="dxa"/>
            <w:vMerge/>
          </w:tcPr>
          <w:p w14:paraId="2D0669CD" w14:textId="77777777" w:rsidR="00A77B3E" w:rsidRPr="00800D1B" w:rsidRDefault="00A77B3E" w:rsidP="00A26CDD">
            <w:pPr>
              <w:spacing w:before="100" w:after="100"/>
              <w:ind w:left="-72"/>
              <w:rPr>
                <w:color w:val="000000"/>
                <w:sz w:val="20"/>
                <w:lang w:val="sv-SE"/>
              </w:rPr>
            </w:pPr>
          </w:p>
        </w:tc>
        <w:tc>
          <w:tcPr>
            <w:tcW w:w="1600" w:type="dxa"/>
            <w:vMerge/>
          </w:tcPr>
          <w:p w14:paraId="2D0669CE" w14:textId="77777777" w:rsidR="00A77B3E" w:rsidRPr="00800D1B" w:rsidRDefault="00A77B3E" w:rsidP="00A26CDD">
            <w:pPr>
              <w:spacing w:before="100" w:after="100"/>
              <w:ind w:left="-72"/>
              <w:rPr>
                <w:color w:val="000000"/>
                <w:sz w:val="20"/>
                <w:lang w:val="sv-SE"/>
              </w:rPr>
            </w:pPr>
          </w:p>
        </w:tc>
        <w:tc>
          <w:tcPr>
            <w:tcW w:w="1000" w:type="dxa"/>
            <w:vMerge/>
          </w:tcPr>
          <w:p w14:paraId="2D0669CF" w14:textId="77777777" w:rsidR="00A77B3E" w:rsidRPr="00800D1B" w:rsidRDefault="00A77B3E" w:rsidP="00A26CDD">
            <w:pPr>
              <w:spacing w:before="100" w:after="100"/>
              <w:ind w:left="-72"/>
              <w:rPr>
                <w:color w:val="000000"/>
                <w:sz w:val="20"/>
                <w:lang w:val="sv-SE"/>
              </w:rPr>
            </w:pPr>
          </w:p>
        </w:tc>
        <w:tc>
          <w:tcPr>
            <w:tcW w:w="2800" w:type="dxa"/>
          </w:tcPr>
          <w:p w14:paraId="2D0669D0" w14:textId="6A579C44" w:rsidR="00A77B3E" w:rsidRPr="00800D1B" w:rsidRDefault="00623E14">
            <w:pPr>
              <w:pStyle w:val="Liststycke"/>
              <w:numPr>
                <w:ilvl w:val="0"/>
                <w:numId w:val="80"/>
              </w:numPr>
              <w:tabs>
                <w:tab w:val="left" w:pos="151"/>
              </w:tabs>
              <w:spacing w:before="100" w:after="100"/>
              <w:ind w:left="-72" w:hanging="29"/>
              <w:rPr>
                <w:color w:val="000000"/>
                <w:sz w:val="20"/>
                <w:lang w:val="sv-SE"/>
              </w:rPr>
            </w:pPr>
            <w:r w:rsidRPr="00800D1B">
              <w:rPr>
                <w:color w:val="000000"/>
                <w:sz w:val="20"/>
                <w:lang w:val="sv-SE"/>
              </w:rPr>
              <w:t>Arrangemang för att säkerställa att politik, lagstiftning och standarder avseende tillgänglighet verkligen kommer till uttryck i förberedelserna och genomförandet av programmen.</w:t>
            </w:r>
          </w:p>
        </w:tc>
        <w:tc>
          <w:tcPr>
            <w:tcW w:w="1000" w:type="dxa"/>
          </w:tcPr>
          <w:p w14:paraId="2D0669D1" w14:textId="77777777" w:rsidR="00A77B3E" w:rsidRPr="00800D1B" w:rsidRDefault="00623E14" w:rsidP="00A26CDD">
            <w:pPr>
              <w:spacing w:before="100" w:after="100"/>
              <w:ind w:left="-72"/>
              <w:jc w:val="center"/>
              <w:rPr>
                <w:color w:val="000000"/>
                <w:sz w:val="20"/>
                <w:lang w:val="sv-SE"/>
              </w:rPr>
            </w:pPr>
            <w:r w:rsidRPr="00800D1B">
              <w:rPr>
                <w:color w:val="000000"/>
                <w:sz w:val="20"/>
                <w:lang w:val="sv-SE"/>
              </w:rPr>
              <w:t>Ja</w:t>
            </w:r>
          </w:p>
        </w:tc>
        <w:tc>
          <w:tcPr>
            <w:tcW w:w="3400" w:type="dxa"/>
          </w:tcPr>
          <w:p w14:paraId="2D0669D2" w14:textId="77777777" w:rsidR="00A77B3E" w:rsidRPr="00800D1B" w:rsidRDefault="00623E14" w:rsidP="00A26CDD">
            <w:pPr>
              <w:spacing w:before="100" w:after="100"/>
              <w:ind w:left="-72"/>
              <w:rPr>
                <w:color w:val="000000"/>
                <w:sz w:val="20"/>
                <w:lang w:val="sv-SE"/>
              </w:rPr>
            </w:pPr>
            <w:r w:rsidRPr="00800D1B">
              <w:rPr>
                <w:color w:val="000000"/>
                <w:sz w:val="20"/>
                <w:lang w:val="sv-SE"/>
              </w:rPr>
              <w:t>Förordning (2014:134) med instruktion för Myndigheten för delaktighet</w:t>
            </w:r>
          </w:p>
          <w:p w14:paraId="2D0669D3" w14:textId="15D86CB6" w:rsidR="00A77B3E" w:rsidRPr="00800D1B" w:rsidRDefault="00000000" w:rsidP="00A26CDD">
            <w:pPr>
              <w:spacing w:before="100" w:after="100"/>
              <w:ind w:left="-72"/>
              <w:rPr>
                <w:color w:val="000000"/>
                <w:sz w:val="20"/>
                <w:lang w:val="sv-SE"/>
              </w:rPr>
            </w:pPr>
            <w:hyperlink r:id="rId48" w:history="1">
              <w:r w:rsidR="00623E14" w:rsidRPr="00800D1B">
                <w:rPr>
                  <w:rStyle w:val="Hyperlnk"/>
                  <w:sz w:val="20"/>
                  <w:lang w:val="sv-SE"/>
                </w:rPr>
                <w:t>https://www.riksdagen.se/sv/dokument-lagar/dokument/svensk-forfattningssamling/forordning-2014134-med-instruktion-for_sfs-2014-134</w:t>
              </w:r>
            </w:hyperlink>
          </w:p>
        </w:tc>
        <w:tc>
          <w:tcPr>
            <w:tcW w:w="3400" w:type="dxa"/>
          </w:tcPr>
          <w:p w14:paraId="2D0669D4" w14:textId="77777777" w:rsidR="00A77B3E" w:rsidRPr="00800D1B" w:rsidRDefault="00623E14" w:rsidP="00A26CDD">
            <w:pPr>
              <w:spacing w:before="100" w:after="100"/>
              <w:ind w:left="-72"/>
              <w:rPr>
                <w:color w:val="000000"/>
                <w:sz w:val="20"/>
                <w:lang w:val="sv-SE"/>
              </w:rPr>
            </w:pPr>
            <w:r w:rsidRPr="00800D1B">
              <w:rPr>
                <w:color w:val="000000"/>
                <w:sz w:val="20"/>
                <w:lang w:val="sv-SE"/>
              </w:rPr>
              <w:t>FN-konventionen om rättigheter för personer med funktionsnedsättning trädde i kraft 2009 i Sverige. Det innebär att Sverige har åtagit sig att förverkliga konventionen och dess bestämmelser i sin helhet. Myndigheten för delaktighet har i uppdrag att verka för full delaktighet i samhällslivet för personer med funktionsnedsättning i alla åldrar och för jämlikhet i levnadsvillkor. Myndigheten följer även upp, utvärderar och analyserar insatser från statliga myndigheter, kommuner, regioner och andra aktörer i förhållande till de nationella funktionshinderspolitiska målen.</w:t>
            </w:r>
          </w:p>
        </w:tc>
      </w:tr>
      <w:tr w:rsidR="003422DB" w:rsidRPr="00BD3045" w14:paraId="2D0669DE" w14:textId="77777777" w:rsidTr="00A26CDD">
        <w:tc>
          <w:tcPr>
            <w:tcW w:w="1600" w:type="dxa"/>
            <w:vMerge/>
          </w:tcPr>
          <w:p w14:paraId="2D0669D6" w14:textId="77777777" w:rsidR="00A77B3E" w:rsidRPr="00800D1B" w:rsidRDefault="00A77B3E" w:rsidP="00A26CDD">
            <w:pPr>
              <w:spacing w:before="100" w:after="100"/>
              <w:ind w:left="-72"/>
              <w:rPr>
                <w:color w:val="000000"/>
                <w:sz w:val="20"/>
                <w:lang w:val="sv-SE"/>
              </w:rPr>
            </w:pPr>
          </w:p>
        </w:tc>
        <w:tc>
          <w:tcPr>
            <w:tcW w:w="800" w:type="dxa"/>
            <w:vMerge/>
          </w:tcPr>
          <w:p w14:paraId="2D0669D7" w14:textId="77777777" w:rsidR="00A77B3E" w:rsidRPr="00800D1B" w:rsidRDefault="00A77B3E" w:rsidP="00A26CDD">
            <w:pPr>
              <w:spacing w:before="100" w:after="100"/>
              <w:ind w:left="-72"/>
              <w:rPr>
                <w:color w:val="000000"/>
                <w:sz w:val="20"/>
                <w:lang w:val="sv-SE"/>
              </w:rPr>
            </w:pPr>
          </w:p>
        </w:tc>
        <w:tc>
          <w:tcPr>
            <w:tcW w:w="1600" w:type="dxa"/>
            <w:vMerge/>
          </w:tcPr>
          <w:p w14:paraId="2D0669D8" w14:textId="77777777" w:rsidR="00A77B3E" w:rsidRPr="00800D1B" w:rsidRDefault="00A77B3E" w:rsidP="00A26CDD">
            <w:pPr>
              <w:spacing w:before="100" w:after="100"/>
              <w:ind w:left="-72"/>
              <w:rPr>
                <w:color w:val="000000"/>
                <w:sz w:val="20"/>
                <w:lang w:val="sv-SE"/>
              </w:rPr>
            </w:pPr>
          </w:p>
        </w:tc>
        <w:tc>
          <w:tcPr>
            <w:tcW w:w="1000" w:type="dxa"/>
            <w:vMerge/>
          </w:tcPr>
          <w:p w14:paraId="2D0669D9" w14:textId="77777777" w:rsidR="00A77B3E" w:rsidRPr="00800D1B" w:rsidRDefault="00A77B3E" w:rsidP="00A26CDD">
            <w:pPr>
              <w:spacing w:before="100" w:after="100"/>
              <w:ind w:left="-72"/>
              <w:rPr>
                <w:color w:val="000000"/>
                <w:sz w:val="20"/>
                <w:lang w:val="sv-SE"/>
              </w:rPr>
            </w:pPr>
          </w:p>
        </w:tc>
        <w:tc>
          <w:tcPr>
            <w:tcW w:w="2800" w:type="dxa"/>
          </w:tcPr>
          <w:p w14:paraId="2D0669DA" w14:textId="34087149" w:rsidR="00A77B3E" w:rsidRPr="00800D1B" w:rsidRDefault="00623E14">
            <w:pPr>
              <w:pStyle w:val="Liststycke"/>
              <w:numPr>
                <w:ilvl w:val="0"/>
                <w:numId w:val="80"/>
              </w:numPr>
              <w:tabs>
                <w:tab w:val="left" w:pos="151"/>
              </w:tabs>
              <w:spacing w:before="100" w:after="100"/>
              <w:ind w:left="-72" w:hanging="29"/>
              <w:rPr>
                <w:color w:val="000000"/>
                <w:sz w:val="20"/>
                <w:lang w:val="sv-SE"/>
              </w:rPr>
            </w:pPr>
            <w:r w:rsidRPr="00800D1B">
              <w:rPr>
                <w:color w:val="000000"/>
                <w:sz w:val="20"/>
                <w:lang w:val="sv-SE"/>
              </w:rPr>
              <w:t>Rutiner för rapportering till övervakningskommittén om insatser som stöds av fonderna och som inte överensstämmer med FN-konventionen om rättigheter för personer med funktionsnedsättning och klagomål avseende konventionen som lämnats in i överensstämmelse med rutinerna enligt artikel 69.7.</w:t>
            </w:r>
          </w:p>
        </w:tc>
        <w:tc>
          <w:tcPr>
            <w:tcW w:w="1000" w:type="dxa"/>
          </w:tcPr>
          <w:p w14:paraId="2D0669DB" w14:textId="77777777" w:rsidR="00A77B3E" w:rsidRPr="00800D1B" w:rsidRDefault="00623E14" w:rsidP="00A26CDD">
            <w:pPr>
              <w:spacing w:before="100" w:after="100"/>
              <w:ind w:left="-72"/>
              <w:jc w:val="center"/>
              <w:rPr>
                <w:color w:val="000000"/>
                <w:sz w:val="20"/>
                <w:lang w:val="sv-SE"/>
              </w:rPr>
            </w:pPr>
            <w:r w:rsidRPr="00800D1B">
              <w:rPr>
                <w:color w:val="000000"/>
                <w:sz w:val="20"/>
                <w:lang w:val="sv-SE"/>
              </w:rPr>
              <w:t>Ja</w:t>
            </w:r>
          </w:p>
        </w:tc>
        <w:tc>
          <w:tcPr>
            <w:tcW w:w="3400" w:type="dxa"/>
          </w:tcPr>
          <w:p w14:paraId="2D0669DC" w14:textId="3ECDFC3C" w:rsidR="00A77B3E" w:rsidRPr="00800D1B" w:rsidRDefault="00A77B3E" w:rsidP="00A26CDD">
            <w:pPr>
              <w:spacing w:before="100" w:after="100"/>
              <w:ind w:left="-72"/>
              <w:rPr>
                <w:color w:val="000000"/>
                <w:sz w:val="20"/>
                <w:lang w:val="sv-SE"/>
              </w:rPr>
            </w:pPr>
          </w:p>
        </w:tc>
        <w:tc>
          <w:tcPr>
            <w:tcW w:w="3400" w:type="dxa"/>
          </w:tcPr>
          <w:p w14:paraId="2D0669DD" w14:textId="77777777" w:rsidR="00A77B3E" w:rsidRPr="00800D1B" w:rsidRDefault="00623E14" w:rsidP="00A26CDD">
            <w:pPr>
              <w:spacing w:before="100" w:after="100"/>
              <w:ind w:left="-72"/>
              <w:rPr>
                <w:color w:val="000000"/>
                <w:sz w:val="20"/>
                <w:lang w:val="sv-SE"/>
              </w:rPr>
            </w:pPr>
            <w:r w:rsidRPr="00800D1B">
              <w:rPr>
                <w:color w:val="000000"/>
                <w:sz w:val="20"/>
                <w:lang w:val="sv-SE"/>
              </w:rPr>
              <w:t xml:space="preserve">Den förvaltande myndigheten kommer under en särskild punkt på dagordningen vid övervakningskommitténs möten minste en gång per år att rapportera eventuella fall av bristande överensstämmelse med FN-konventionen. Brister som i så fall har konstaterats vid kontroller på plats eller annan granskning av beviljade insatser. Förvaltande myndighet rapporterar även klagomål avseende konventionen som tagits upp av Justitieombudsmannen eller Justitiekanslern och där förvaltande myndighet ombetts yttra sig. </w:t>
            </w:r>
          </w:p>
        </w:tc>
      </w:tr>
      <w:tr w:rsidR="003422DB" w:rsidRPr="00BD3045" w14:paraId="2D0669FC" w14:textId="77777777" w:rsidTr="00A26CDD">
        <w:tc>
          <w:tcPr>
            <w:tcW w:w="1600" w:type="dxa"/>
            <w:vMerge w:val="restart"/>
          </w:tcPr>
          <w:p w14:paraId="2D0669DF" w14:textId="553A457C" w:rsidR="00A77B3E" w:rsidRPr="00800D1B" w:rsidRDefault="00623E14">
            <w:pPr>
              <w:pStyle w:val="Liststycke"/>
              <w:numPr>
                <w:ilvl w:val="0"/>
                <w:numId w:val="71"/>
              </w:numPr>
              <w:tabs>
                <w:tab w:val="left" w:pos="300"/>
              </w:tabs>
              <w:spacing w:before="100" w:after="100"/>
              <w:ind w:left="-72" w:firstLine="0"/>
              <w:rPr>
                <w:color w:val="000000"/>
                <w:sz w:val="20"/>
                <w:lang w:val="sv-SE"/>
              </w:rPr>
            </w:pPr>
            <w:r w:rsidRPr="00800D1B">
              <w:rPr>
                <w:color w:val="000000"/>
                <w:sz w:val="20"/>
                <w:lang w:val="sv-SE"/>
              </w:rPr>
              <w:t>God styrning av den nationella eller regionala strategin för smart specialisering</w:t>
            </w:r>
          </w:p>
        </w:tc>
        <w:tc>
          <w:tcPr>
            <w:tcW w:w="800" w:type="dxa"/>
            <w:vMerge w:val="restart"/>
          </w:tcPr>
          <w:p w14:paraId="2D0669E2" w14:textId="6165862D" w:rsidR="00A77B3E" w:rsidRPr="00800D1B" w:rsidRDefault="00623E14" w:rsidP="00A52AEE">
            <w:pPr>
              <w:spacing w:before="120" w:after="100"/>
              <w:ind w:left="-72"/>
              <w:rPr>
                <w:color w:val="000000"/>
                <w:sz w:val="20"/>
                <w:lang w:val="sv-SE"/>
              </w:rPr>
            </w:pPr>
            <w:r w:rsidRPr="00800D1B">
              <w:rPr>
                <w:color w:val="000000"/>
                <w:sz w:val="20"/>
                <w:szCs w:val="20"/>
                <w:lang w:val="sv-SE"/>
              </w:rPr>
              <w:t>Eruf</w:t>
            </w:r>
          </w:p>
        </w:tc>
        <w:tc>
          <w:tcPr>
            <w:tcW w:w="1600" w:type="dxa"/>
            <w:vMerge w:val="restart"/>
          </w:tcPr>
          <w:p w14:paraId="2D0669E5" w14:textId="5FBCC5AD" w:rsidR="00A77B3E" w:rsidRPr="00800D1B" w:rsidRDefault="00623E14" w:rsidP="00A52AEE">
            <w:pPr>
              <w:spacing w:before="120" w:after="100"/>
              <w:ind w:left="-72"/>
              <w:rPr>
                <w:color w:val="000000"/>
                <w:sz w:val="20"/>
                <w:lang w:val="sv-SE"/>
              </w:rPr>
            </w:pPr>
            <w:r w:rsidRPr="00800D1B">
              <w:rPr>
                <w:color w:val="000000"/>
                <w:sz w:val="20"/>
                <w:szCs w:val="20"/>
                <w:lang w:val="sv-SE"/>
              </w:rPr>
              <w:t>RSO1.1. Utveckla och förbättra forsknings- och innovationskapaciteten och användningen av avancerad teknik</w:t>
            </w:r>
            <w:r w:rsidRPr="00800D1B">
              <w:rPr>
                <w:color w:val="000000"/>
                <w:sz w:val="20"/>
                <w:szCs w:val="20"/>
                <w:lang w:val="sv-SE"/>
              </w:rPr>
              <w:br/>
              <w:t>RSO1.4. Utveckla färdigheter för smart specialisering, industriomställning och entreprenörskap</w:t>
            </w:r>
          </w:p>
        </w:tc>
        <w:tc>
          <w:tcPr>
            <w:tcW w:w="1000" w:type="dxa"/>
            <w:vMerge w:val="restart"/>
          </w:tcPr>
          <w:p w14:paraId="2D0669E6" w14:textId="77777777" w:rsidR="00A77B3E" w:rsidRPr="00800D1B" w:rsidRDefault="00623E14" w:rsidP="00A26CDD">
            <w:pPr>
              <w:spacing w:before="100" w:after="100"/>
              <w:ind w:left="-72"/>
              <w:jc w:val="center"/>
              <w:rPr>
                <w:color w:val="000000"/>
                <w:sz w:val="20"/>
                <w:lang w:val="sv-SE"/>
              </w:rPr>
            </w:pPr>
            <w:r w:rsidRPr="00800D1B">
              <w:rPr>
                <w:color w:val="000000"/>
                <w:sz w:val="20"/>
                <w:lang w:val="sv-SE"/>
              </w:rPr>
              <w:t>Ja</w:t>
            </w:r>
          </w:p>
        </w:tc>
        <w:tc>
          <w:tcPr>
            <w:tcW w:w="2800" w:type="dxa"/>
          </w:tcPr>
          <w:p w14:paraId="2D0669E7" w14:textId="77777777" w:rsidR="00A77B3E" w:rsidRPr="00800D1B" w:rsidRDefault="00623E14" w:rsidP="00A26CDD">
            <w:pPr>
              <w:spacing w:before="100" w:after="100"/>
              <w:ind w:left="-72"/>
              <w:rPr>
                <w:color w:val="000000"/>
                <w:sz w:val="20"/>
                <w:lang w:val="sv-SE"/>
              </w:rPr>
            </w:pPr>
            <w:r w:rsidRPr="00800D1B">
              <w:rPr>
                <w:color w:val="000000"/>
                <w:sz w:val="20"/>
                <w:lang w:val="sv-SE"/>
              </w:rPr>
              <w:t xml:space="preserve">Strategier för smart specialisering ska stödjas av följande åtgärder: </w:t>
            </w:r>
          </w:p>
          <w:p w14:paraId="2D0669E8" w14:textId="4254461C" w:rsidR="00A77B3E" w:rsidRPr="00800D1B" w:rsidRDefault="00623E14">
            <w:pPr>
              <w:pStyle w:val="Liststycke"/>
              <w:numPr>
                <w:ilvl w:val="0"/>
                <w:numId w:val="81"/>
              </w:numPr>
              <w:tabs>
                <w:tab w:val="left" w:pos="151"/>
              </w:tabs>
              <w:spacing w:before="100" w:after="100"/>
              <w:ind w:left="-72" w:hanging="29"/>
              <w:rPr>
                <w:color w:val="000000"/>
                <w:sz w:val="20"/>
                <w:lang w:val="sv-SE"/>
              </w:rPr>
            </w:pPr>
            <w:r w:rsidRPr="00800D1B">
              <w:rPr>
                <w:color w:val="000000"/>
                <w:sz w:val="20"/>
                <w:lang w:val="sv-SE"/>
              </w:rPr>
              <w:t>Aktuell analys av utmaningarna för innovationsspridning och digitalisering.</w:t>
            </w:r>
          </w:p>
        </w:tc>
        <w:tc>
          <w:tcPr>
            <w:tcW w:w="1000" w:type="dxa"/>
          </w:tcPr>
          <w:p w14:paraId="2D0669E9" w14:textId="77777777" w:rsidR="00A77B3E" w:rsidRPr="00800D1B" w:rsidRDefault="00623E14" w:rsidP="00A26CDD">
            <w:pPr>
              <w:spacing w:before="100" w:after="100"/>
              <w:ind w:left="-72"/>
              <w:jc w:val="center"/>
              <w:rPr>
                <w:color w:val="000000"/>
                <w:sz w:val="20"/>
                <w:lang w:val="sv-SE"/>
              </w:rPr>
            </w:pPr>
            <w:r w:rsidRPr="00800D1B">
              <w:rPr>
                <w:color w:val="000000"/>
                <w:sz w:val="20"/>
                <w:lang w:val="sv-SE"/>
              </w:rPr>
              <w:t>Ja</w:t>
            </w:r>
          </w:p>
        </w:tc>
        <w:tc>
          <w:tcPr>
            <w:tcW w:w="3400" w:type="dxa"/>
          </w:tcPr>
          <w:p w14:paraId="2D0669EA" w14:textId="77777777" w:rsidR="00A77B3E" w:rsidRPr="00800D1B" w:rsidRDefault="00623E14" w:rsidP="00A26CDD">
            <w:pPr>
              <w:spacing w:before="100" w:after="100"/>
              <w:ind w:left="-72"/>
              <w:rPr>
                <w:color w:val="000000"/>
                <w:sz w:val="20"/>
                <w:lang w:val="sv-SE"/>
              </w:rPr>
            </w:pPr>
            <w:r w:rsidRPr="00800D1B">
              <w:rPr>
                <w:color w:val="000000"/>
                <w:sz w:val="20"/>
                <w:lang w:val="sv-SE"/>
              </w:rPr>
              <w:t xml:space="preserve">Norrbottens Smart specialisering strategi </w:t>
            </w:r>
          </w:p>
          <w:p w14:paraId="2D0669EB" w14:textId="07598A32" w:rsidR="00A77B3E" w:rsidRPr="00800D1B" w:rsidRDefault="00623E14" w:rsidP="00A26CDD">
            <w:pPr>
              <w:spacing w:before="100" w:after="100"/>
              <w:ind w:left="-72"/>
              <w:rPr>
                <w:color w:val="000000"/>
                <w:sz w:val="20"/>
                <w:lang w:val="sv-SE"/>
              </w:rPr>
            </w:pPr>
            <w:r w:rsidRPr="00800D1B">
              <w:rPr>
                <w:color w:val="000000"/>
                <w:sz w:val="20"/>
                <w:lang w:val="sv-SE"/>
              </w:rPr>
              <w:t xml:space="preserve"> </w:t>
            </w:r>
            <w:hyperlink r:id="rId49" w:history="1">
              <w:r w:rsidRPr="00800D1B">
                <w:rPr>
                  <w:rStyle w:val="Hyperlnk"/>
                  <w:sz w:val="20"/>
                  <w:lang w:val="sv-SE"/>
                </w:rPr>
                <w:t>https://utvecklanorrbotten.se/publikationer/</w:t>
              </w:r>
            </w:hyperlink>
          </w:p>
          <w:p w14:paraId="2D0669ED" w14:textId="50862176" w:rsidR="00A77B3E" w:rsidRPr="00800D1B" w:rsidRDefault="00623E14" w:rsidP="00B55BCE">
            <w:pPr>
              <w:spacing w:before="240" w:after="100"/>
              <w:ind w:left="-72"/>
              <w:rPr>
                <w:color w:val="000000"/>
                <w:sz w:val="20"/>
                <w:lang w:val="sv-SE"/>
              </w:rPr>
            </w:pPr>
            <w:r w:rsidRPr="00800D1B">
              <w:rPr>
                <w:color w:val="000000"/>
                <w:sz w:val="20"/>
                <w:lang w:val="sv-SE"/>
              </w:rPr>
              <w:t xml:space="preserve">Rapporter om Norrbotten genom Regional förnyelse: </w:t>
            </w:r>
            <w:hyperlink r:id="rId50" w:history="1">
              <w:r w:rsidRPr="00800D1B">
                <w:rPr>
                  <w:rStyle w:val="Hyperlnk"/>
                  <w:sz w:val="20"/>
                  <w:lang w:val="sv-SE"/>
                </w:rPr>
                <w:t>https://utvecklanorrbotten.se/publikationer/</w:t>
              </w:r>
            </w:hyperlink>
          </w:p>
          <w:p w14:paraId="2D0669EF" w14:textId="77777777" w:rsidR="00A77B3E" w:rsidRPr="00800D1B" w:rsidRDefault="00623E14" w:rsidP="00B55BCE">
            <w:pPr>
              <w:spacing w:before="240" w:after="100"/>
              <w:ind w:left="-72"/>
              <w:rPr>
                <w:color w:val="000000"/>
                <w:sz w:val="20"/>
                <w:lang w:val="sv-SE"/>
              </w:rPr>
            </w:pPr>
            <w:r w:rsidRPr="00800D1B">
              <w:rPr>
                <w:color w:val="000000"/>
                <w:sz w:val="20"/>
                <w:lang w:val="sv-SE"/>
              </w:rPr>
              <w:t xml:space="preserve">Rapporten Näringslivet och digitalisering rapport från Luleå tekniska universitet </w:t>
            </w:r>
          </w:p>
          <w:p w14:paraId="2D0669F2" w14:textId="7063139C" w:rsidR="00A77B3E" w:rsidRPr="00800D1B" w:rsidRDefault="00623E14" w:rsidP="00B55BCE">
            <w:pPr>
              <w:spacing w:before="480" w:after="100"/>
              <w:ind w:left="-72"/>
              <w:rPr>
                <w:color w:val="000000"/>
                <w:sz w:val="20"/>
                <w:lang w:val="sv-SE"/>
              </w:rPr>
            </w:pPr>
            <w:r w:rsidRPr="00800D1B">
              <w:rPr>
                <w:color w:val="000000"/>
                <w:sz w:val="20"/>
                <w:lang w:val="sv-SE"/>
              </w:rPr>
              <w:t>Västerbottens regionala innovationsstrategi (RIS)</w:t>
            </w:r>
            <w:r w:rsidR="00CF74CB" w:rsidRPr="00800D1B">
              <w:rPr>
                <w:color w:val="000000"/>
                <w:sz w:val="20"/>
                <w:lang w:val="sv-SE"/>
              </w:rPr>
              <w:t xml:space="preserve"> </w:t>
            </w:r>
            <w:hyperlink r:id="rId51" w:history="1">
              <w:r w:rsidRPr="00800D1B">
                <w:rPr>
                  <w:rStyle w:val="Hyperlnk"/>
                  <w:sz w:val="20"/>
                  <w:lang w:val="sv-SE"/>
                </w:rPr>
                <w:t>https://regionvasterbotten.se/VLL/Filer/RIS_V%C3%A4sterbotten%202022-2030.pdf</w:t>
              </w:r>
            </w:hyperlink>
          </w:p>
          <w:p w14:paraId="2D0669F4" w14:textId="77777777" w:rsidR="00A77B3E" w:rsidRPr="00800D1B" w:rsidRDefault="00623E14" w:rsidP="00A26CDD">
            <w:pPr>
              <w:spacing w:before="100" w:after="100"/>
              <w:ind w:left="-72"/>
              <w:rPr>
                <w:color w:val="000000"/>
                <w:sz w:val="20"/>
                <w:lang w:val="sv-SE"/>
              </w:rPr>
            </w:pPr>
            <w:r w:rsidRPr="00800D1B">
              <w:rPr>
                <w:color w:val="000000"/>
                <w:sz w:val="20"/>
                <w:lang w:val="sv-SE"/>
              </w:rPr>
              <w:t>Västerbottens regionala digitala agenda</w:t>
            </w:r>
          </w:p>
          <w:p w14:paraId="2D0669F6" w14:textId="77777777" w:rsidR="00A77B3E" w:rsidRPr="00800D1B" w:rsidRDefault="00623E14" w:rsidP="00A26CDD">
            <w:pPr>
              <w:spacing w:before="100" w:after="100"/>
              <w:ind w:left="-72"/>
              <w:rPr>
                <w:color w:val="000000"/>
                <w:sz w:val="20"/>
                <w:lang w:val="sv-SE"/>
              </w:rPr>
            </w:pPr>
            <w:r w:rsidRPr="00800D1B">
              <w:rPr>
                <w:color w:val="000000"/>
                <w:sz w:val="20"/>
                <w:lang w:val="sv-SE"/>
              </w:rPr>
              <w:t>OECD Territorial Reviews: Northern Sparsely Populated Areas</w:t>
            </w:r>
          </w:p>
        </w:tc>
        <w:tc>
          <w:tcPr>
            <w:tcW w:w="3400" w:type="dxa"/>
          </w:tcPr>
          <w:p w14:paraId="2D0669F7" w14:textId="77777777" w:rsidR="00A77B3E" w:rsidRPr="00800D1B" w:rsidRDefault="00623E14" w:rsidP="00A26CDD">
            <w:pPr>
              <w:spacing w:before="100" w:after="100"/>
              <w:ind w:left="-72"/>
              <w:rPr>
                <w:color w:val="000000"/>
                <w:sz w:val="20"/>
                <w:lang w:val="sv-SE"/>
              </w:rPr>
            </w:pPr>
            <w:r w:rsidRPr="00800D1B">
              <w:rPr>
                <w:color w:val="000000"/>
                <w:sz w:val="20"/>
                <w:lang w:val="sv-SE"/>
              </w:rPr>
              <w:t>Ny teknik skapar behov av nya samarbetsformer på SMF-nivå inom nya ekosystem och affärsmodeller. Integrering av digitalisering och AI ökar vilket skapar nya utmaningar och möjligheter. Det behövs kompetenshöjande insatser för att utveckla ny teknik, t ex avseende uppkoppling och automation med datahantering och nya tjänster.</w:t>
            </w:r>
          </w:p>
          <w:p w14:paraId="2D0669F8" w14:textId="77777777" w:rsidR="00A77B3E" w:rsidRPr="00800D1B" w:rsidRDefault="00623E14" w:rsidP="00A26CDD">
            <w:pPr>
              <w:spacing w:before="100" w:after="100"/>
              <w:ind w:left="-72"/>
              <w:rPr>
                <w:color w:val="000000"/>
                <w:sz w:val="20"/>
                <w:lang w:val="sv-SE"/>
              </w:rPr>
            </w:pPr>
            <w:r w:rsidRPr="00800D1B">
              <w:rPr>
                <w:color w:val="000000"/>
                <w:sz w:val="20"/>
                <w:lang w:val="sv-SE"/>
              </w:rPr>
              <w:t>Låg formell utbildningsnivå vilket innebär brist på kompetens som driver teknisk utveckling. Digitalisering är en utmaning för många av SMF i ÖN att 66 % av företagen, att de obehindrat kan handskas med datorer och 33 % av företagen, att de har svårigheter och att det är att hela 11 % av företagen anger att det inte finns någon inom företaget som kan handskas med datorer och vanliga mjukvaror SMF i utveckling av nya produkter/processer.</w:t>
            </w:r>
          </w:p>
          <w:p w14:paraId="2D0669F9" w14:textId="77777777" w:rsidR="00A77B3E" w:rsidRPr="00800D1B" w:rsidRDefault="00623E14" w:rsidP="00A26CDD">
            <w:pPr>
              <w:spacing w:before="100" w:after="100"/>
              <w:ind w:left="-72"/>
              <w:rPr>
                <w:color w:val="000000"/>
                <w:sz w:val="20"/>
                <w:lang w:val="sv-SE"/>
              </w:rPr>
            </w:pPr>
            <w:r w:rsidRPr="00800D1B">
              <w:rPr>
                <w:color w:val="000000"/>
                <w:sz w:val="20"/>
                <w:lang w:val="sv-SE"/>
              </w:rPr>
              <w:t>En utmaning i ÖN är att det finns många små forskningsmiljöer som har en svag institutionell kapacitet och att 90 % av företagen i ÖN tillhör kategorin mikroföretag. Med begränsade resurser bl.a. för finansiering av innovationsfrämjande aktörer.</w:t>
            </w:r>
          </w:p>
          <w:p w14:paraId="2D0669FB" w14:textId="7F526847" w:rsidR="00A77B3E" w:rsidRPr="00800D1B" w:rsidRDefault="00623E14" w:rsidP="00B55BCE">
            <w:pPr>
              <w:spacing w:before="100" w:after="360"/>
              <w:ind w:left="-72"/>
              <w:rPr>
                <w:color w:val="000000"/>
                <w:sz w:val="20"/>
                <w:lang w:val="sv-SE"/>
              </w:rPr>
            </w:pPr>
            <w:r w:rsidRPr="00800D1B">
              <w:rPr>
                <w:color w:val="000000"/>
                <w:sz w:val="20"/>
                <w:lang w:val="sv-SE"/>
              </w:rPr>
              <w:t>Flera större företag stöttar underleverantörers omställning, men många SMF saknar resurser för detta.</w:t>
            </w:r>
          </w:p>
        </w:tc>
      </w:tr>
      <w:tr w:rsidR="003422DB" w:rsidRPr="00BD3045" w14:paraId="2D066A11" w14:textId="77777777" w:rsidTr="00A26CDD">
        <w:tc>
          <w:tcPr>
            <w:tcW w:w="1600" w:type="dxa"/>
            <w:vMerge/>
          </w:tcPr>
          <w:p w14:paraId="2D0669FD" w14:textId="77777777" w:rsidR="00A77B3E" w:rsidRPr="00800D1B" w:rsidRDefault="00A77B3E" w:rsidP="00A26CDD">
            <w:pPr>
              <w:spacing w:before="100" w:after="100"/>
              <w:ind w:left="-72"/>
              <w:rPr>
                <w:color w:val="000000"/>
                <w:sz w:val="20"/>
                <w:lang w:val="sv-SE"/>
              </w:rPr>
            </w:pPr>
          </w:p>
        </w:tc>
        <w:tc>
          <w:tcPr>
            <w:tcW w:w="800" w:type="dxa"/>
            <w:vMerge/>
          </w:tcPr>
          <w:p w14:paraId="2D0669FE" w14:textId="77777777" w:rsidR="00A77B3E" w:rsidRPr="00800D1B" w:rsidRDefault="00A77B3E" w:rsidP="00A26CDD">
            <w:pPr>
              <w:spacing w:before="100" w:after="100"/>
              <w:ind w:left="-72"/>
              <w:rPr>
                <w:color w:val="000000"/>
                <w:sz w:val="20"/>
                <w:lang w:val="sv-SE"/>
              </w:rPr>
            </w:pPr>
          </w:p>
        </w:tc>
        <w:tc>
          <w:tcPr>
            <w:tcW w:w="1600" w:type="dxa"/>
            <w:vMerge/>
          </w:tcPr>
          <w:p w14:paraId="2D0669FF" w14:textId="77777777" w:rsidR="00A77B3E" w:rsidRPr="00800D1B" w:rsidRDefault="00A77B3E" w:rsidP="00A26CDD">
            <w:pPr>
              <w:spacing w:before="100" w:after="100"/>
              <w:ind w:left="-72"/>
              <w:rPr>
                <w:color w:val="000000"/>
                <w:sz w:val="20"/>
                <w:lang w:val="sv-SE"/>
              </w:rPr>
            </w:pPr>
          </w:p>
        </w:tc>
        <w:tc>
          <w:tcPr>
            <w:tcW w:w="1000" w:type="dxa"/>
            <w:vMerge/>
          </w:tcPr>
          <w:p w14:paraId="2D066A00" w14:textId="77777777" w:rsidR="00A77B3E" w:rsidRPr="00800D1B" w:rsidRDefault="00A77B3E" w:rsidP="00A26CDD">
            <w:pPr>
              <w:spacing w:before="100" w:after="100"/>
              <w:ind w:left="-72"/>
              <w:rPr>
                <w:color w:val="000000"/>
                <w:sz w:val="20"/>
                <w:lang w:val="sv-SE"/>
              </w:rPr>
            </w:pPr>
          </w:p>
        </w:tc>
        <w:tc>
          <w:tcPr>
            <w:tcW w:w="2800" w:type="dxa"/>
          </w:tcPr>
          <w:p w14:paraId="2D066A01" w14:textId="6FB62B70" w:rsidR="00A77B3E" w:rsidRPr="00800D1B" w:rsidRDefault="00623E14">
            <w:pPr>
              <w:pStyle w:val="Liststycke"/>
              <w:numPr>
                <w:ilvl w:val="0"/>
                <w:numId w:val="81"/>
              </w:numPr>
              <w:tabs>
                <w:tab w:val="left" w:pos="151"/>
              </w:tabs>
              <w:spacing w:before="100" w:after="100"/>
              <w:ind w:left="-72" w:hanging="29"/>
              <w:rPr>
                <w:color w:val="000000"/>
                <w:sz w:val="20"/>
                <w:lang w:val="sv-SE"/>
              </w:rPr>
            </w:pPr>
            <w:r w:rsidRPr="00800D1B">
              <w:rPr>
                <w:color w:val="000000"/>
                <w:sz w:val="20"/>
                <w:lang w:val="sv-SE"/>
              </w:rPr>
              <w:t>Behöriga regionala eller nationella institutioner eller organ som ansvarar för förvaltningen av strategin för smart specialisering</w:t>
            </w:r>
          </w:p>
        </w:tc>
        <w:tc>
          <w:tcPr>
            <w:tcW w:w="1000" w:type="dxa"/>
          </w:tcPr>
          <w:p w14:paraId="2D066A02" w14:textId="77777777" w:rsidR="00A77B3E" w:rsidRPr="00800D1B" w:rsidRDefault="00623E14" w:rsidP="00A26CDD">
            <w:pPr>
              <w:spacing w:before="100" w:after="100"/>
              <w:ind w:left="-72"/>
              <w:jc w:val="center"/>
              <w:rPr>
                <w:color w:val="000000"/>
                <w:sz w:val="20"/>
                <w:lang w:val="sv-SE"/>
              </w:rPr>
            </w:pPr>
            <w:r w:rsidRPr="00800D1B">
              <w:rPr>
                <w:color w:val="000000"/>
                <w:sz w:val="20"/>
                <w:lang w:val="sv-SE"/>
              </w:rPr>
              <w:t>Ja</w:t>
            </w:r>
          </w:p>
        </w:tc>
        <w:tc>
          <w:tcPr>
            <w:tcW w:w="3400" w:type="dxa"/>
          </w:tcPr>
          <w:p w14:paraId="2D066A03" w14:textId="77777777" w:rsidR="00A77B3E" w:rsidRPr="00800D1B" w:rsidRDefault="00623E14" w:rsidP="00A26CDD">
            <w:pPr>
              <w:spacing w:before="100" w:after="100"/>
              <w:ind w:left="-72"/>
              <w:rPr>
                <w:color w:val="000000"/>
                <w:sz w:val="20"/>
                <w:lang w:val="sv-SE"/>
              </w:rPr>
            </w:pPr>
            <w:r w:rsidRPr="00800D1B">
              <w:rPr>
                <w:color w:val="000000"/>
                <w:sz w:val="20"/>
                <w:lang w:val="sv-SE"/>
              </w:rPr>
              <w:t>Förordning (2017:583) om regionalt tillväxtarbete</w:t>
            </w:r>
          </w:p>
          <w:p w14:paraId="2D066A04" w14:textId="77777777" w:rsidR="00A77B3E" w:rsidRPr="00800D1B" w:rsidRDefault="00623E14" w:rsidP="00A26CDD">
            <w:pPr>
              <w:spacing w:before="100" w:after="100"/>
              <w:ind w:left="-72"/>
              <w:rPr>
                <w:color w:val="000000"/>
                <w:sz w:val="20"/>
                <w:lang w:val="sv-SE"/>
              </w:rPr>
            </w:pPr>
            <w:r w:rsidRPr="00800D1B">
              <w:rPr>
                <w:color w:val="000000"/>
                <w:sz w:val="20"/>
                <w:lang w:val="sv-SE"/>
              </w:rPr>
              <w:t>Förordning (2017:583) om regionalt tillväxtarbete Sv författningssamling 2017:2017:583 t.o.m. SFS 2019:1121 - Riksdagen</w:t>
            </w:r>
          </w:p>
          <w:p w14:paraId="2D066A05" w14:textId="77777777" w:rsidR="00A77B3E" w:rsidRPr="00800D1B" w:rsidRDefault="00623E14" w:rsidP="00A26CDD">
            <w:pPr>
              <w:spacing w:before="100" w:after="100"/>
              <w:ind w:left="-72"/>
              <w:rPr>
                <w:color w:val="000000"/>
                <w:sz w:val="20"/>
                <w:lang w:val="sv-SE"/>
              </w:rPr>
            </w:pPr>
            <w:r w:rsidRPr="00800D1B">
              <w:rPr>
                <w:color w:val="000000"/>
                <w:sz w:val="20"/>
                <w:lang w:val="sv-SE"/>
              </w:rPr>
              <w:t>Lag (2010:630) om regionalt utvecklingsansvar</w:t>
            </w:r>
          </w:p>
          <w:p w14:paraId="2D066A06" w14:textId="77777777" w:rsidR="00A77B3E" w:rsidRPr="00800D1B" w:rsidRDefault="00623E14" w:rsidP="00A26CDD">
            <w:pPr>
              <w:spacing w:before="100" w:after="100"/>
              <w:ind w:left="-72"/>
              <w:rPr>
                <w:color w:val="000000"/>
                <w:sz w:val="20"/>
                <w:lang w:val="sv-SE"/>
              </w:rPr>
            </w:pPr>
            <w:r w:rsidRPr="00800D1B">
              <w:rPr>
                <w:color w:val="000000"/>
                <w:sz w:val="20"/>
                <w:lang w:val="sv-SE"/>
              </w:rPr>
              <w:t>Lag (2010:630) om regionalt utvecklingsansvar Sv författningssamling 2010:2010:630 t.o.m. SFS 2019:944 - Riksdagen</w:t>
            </w:r>
          </w:p>
          <w:p w14:paraId="2D066A07" w14:textId="77777777" w:rsidR="00A77B3E" w:rsidRPr="00800D1B" w:rsidRDefault="00623E14" w:rsidP="00A26CDD">
            <w:pPr>
              <w:spacing w:before="100" w:after="100"/>
              <w:ind w:left="-72"/>
              <w:rPr>
                <w:color w:val="000000"/>
                <w:sz w:val="20"/>
                <w:lang w:val="sv-SE"/>
              </w:rPr>
            </w:pPr>
            <w:r w:rsidRPr="00800D1B">
              <w:rPr>
                <w:color w:val="000000"/>
                <w:sz w:val="20"/>
                <w:lang w:val="sv-SE"/>
              </w:rPr>
              <w:t>Norrbottens Smart specialisering strategi</w:t>
            </w:r>
          </w:p>
          <w:p w14:paraId="2D066A08" w14:textId="0FC374D2" w:rsidR="00A77B3E" w:rsidRPr="00800D1B" w:rsidRDefault="00000000" w:rsidP="00A26CDD">
            <w:pPr>
              <w:spacing w:before="100" w:after="100"/>
              <w:ind w:left="-72"/>
              <w:rPr>
                <w:color w:val="000000"/>
                <w:sz w:val="20"/>
                <w:lang w:val="sv-SE"/>
              </w:rPr>
            </w:pPr>
            <w:hyperlink r:id="rId52" w:history="1">
              <w:r w:rsidR="00623E14" w:rsidRPr="00800D1B">
                <w:rPr>
                  <w:rStyle w:val="Hyperlnk"/>
                  <w:sz w:val="20"/>
                  <w:lang w:val="sv-SE"/>
                </w:rPr>
                <w:t>https://utvecklanorrbotten.se/publikationer/</w:t>
              </w:r>
            </w:hyperlink>
          </w:p>
          <w:p w14:paraId="2D066A0A" w14:textId="29B01C94" w:rsidR="00A77B3E" w:rsidRPr="00800D1B" w:rsidRDefault="00623E14" w:rsidP="00A26CDD">
            <w:pPr>
              <w:spacing w:before="400" w:after="100"/>
              <w:ind w:left="-72"/>
              <w:rPr>
                <w:color w:val="000000"/>
                <w:sz w:val="20"/>
                <w:lang w:val="sv-SE"/>
              </w:rPr>
            </w:pPr>
            <w:r w:rsidRPr="00800D1B">
              <w:rPr>
                <w:color w:val="000000"/>
                <w:sz w:val="20"/>
                <w:lang w:val="sv-SE"/>
              </w:rPr>
              <w:t>Västerbottens innovationsstrategi</w:t>
            </w:r>
            <w:r w:rsidR="00CF74CB" w:rsidRPr="00800D1B">
              <w:rPr>
                <w:color w:val="000000"/>
                <w:sz w:val="20"/>
                <w:lang w:val="sv-SE"/>
              </w:rPr>
              <w:t xml:space="preserve"> </w:t>
            </w:r>
          </w:p>
          <w:p w14:paraId="2D066A0B" w14:textId="3B98C266" w:rsidR="00A77B3E" w:rsidRPr="00800D1B" w:rsidRDefault="00000000" w:rsidP="00A26CDD">
            <w:pPr>
              <w:spacing w:before="100" w:after="100"/>
              <w:ind w:left="-72"/>
              <w:rPr>
                <w:color w:val="000000"/>
                <w:sz w:val="20"/>
                <w:lang w:val="sv-SE"/>
              </w:rPr>
            </w:pPr>
            <w:hyperlink r:id="rId53" w:history="1">
              <w:r w:rsidR="00623E14" w:rsidRPr="00800D1B">
                <w:rPr>
                  <w:rStyle w:val="Hyperlnk"/>
                  <w:sz w:val="20"/>
                  <w:lang w:val="sv-SE"/>
                </w:rPr>
                <w:t>https://regionvasterbotten.se/VLL/Filer/RIS_V%C3%A4sterbotten%202022-2030.pdf</w:t>
              </w:r>
            </w:hyperlink>
          </w:p>
        </w:tc>
        <w:tc>
          <w:tcPr>
            <w:tcW w:w="3400" w:type="dxa"/>
          </w:tcPr>
          <w:p w14:paraId="2D066A0C" w14:textId="77777777" w:rsidR="00A77B3E" w:rsidRPr="00800D1B" w:rsidRDefault="00623E14" w:rsidP="00A26CDD">
            <w:pPr>
              <w:spacing w:before="100" w:after="100"/>
              <w:ind w:left="-72"/>
              <w:rPr>
                <w:color w:val="000000"/>
                <w:sz w:val="20"/>
                <w:lang w:val="sv-SE"/>
              </w:rPr>
            </w:pPr>
            <w:r w:rsidRPr="00800D1B">
              <w:rPr>
                <w:color w:val="000000"/>
                <w:sz w:val="20"/>
                <w:lang w:val="sv-SE"/>
              </w:rPr>
              <w:t>Alla regioner får utföra uppgifter inom ramen för EU:s strukturfondsprogram. Strategier för smart specialisering kan hanteras inom ramen för regionala utvecklingsstrategier. Regionerna tar på eget initiativ fram, genomför och följer upp sina strategier.</w:t>
            </w:r>
          </w:p>
          <w:p w14:paraId="2D066A0D" w14:textId="77777777" w:rsidR="00A77B3E" w:rsidRPr="00800D1B" w:rsidRDefault="00623E14" w:rsidP="00A26CDD">
            <w:pPr>
              <w:spacing w:before="100" w:after="100"/>
              <w:ind w:left="-72"/>
              <w:rPr>
                <w:color w:val="000000"/>
                <w:sz w:val="20"/>
                <w:lang w:val="sv-SE"/>
              </w:rPr>
            </w:pPr>
            <w:r w:rsidRPr="00800D1B">
              <w:rPr>
                <w:color w:val="000000"/>
                <w:sz w:val="20"/>
                <w:lang w:val="sv-SE"/>
              </w:rPr>
              <w:t xml:space="preserve">Regionerna Norrbotten och Region Västerbotten har utarbetat varsin strategi för smart specialisering på Nuts3-nivå och ansvarar för förvaltningen av och det operativa arbetet med strategierna. Strategierna är antagna av respektive läns politiska styre. </w:t>
            </w:r>
          </w:p>
          <w:p w14:paraId="2D066A0E" w14:textId="77777777" w:rsidR="00A77B3E" w:rsidRPr="00800D1B" w:rsidRDefault="00623E14" w:rsidP="00A26CDD">
            <w:pPr>
              <w:spacing w:before="100" w:after="100"/>
              <w:ind w:left="-72"/>
              <w:rPr>
                <w:color w:val="000000"/>
                <w:sz w:val="20"/>
                <w:lang w:val="sv-SE"/>
              </w:rPr>
            </w:pPr>
            <w:r w:rsidRPr="00800D1B">
              <w:rPr>
                <w:color w:val="000000"/>
                <w:sz w:val="20"/>
                <w:lang w:val="sv-SE"/>
              </w:rPr>
              <w:t xml:space="preserve">Tillväxtverket ska bistå med processtöd i arbetet med smart specialisering samt sprida kunskap och erfarenheter. Tillväxtverket har ett väletablerat nationellt nätverk som erbjuder regelbundna möten. </w:t>
            </w:r>
          </w:p>
          <w:p w14:paraId="2D066A10" w14:textId="17776DDF" w:rsidR="00A77B3E" w:rsidRPr="00800D1B" w:rsidRDefault="00623E14" w:rsidP="00977927">
            <w:pPr>
              <w:spacing w:before="100" w:after="360"/>
              <w:ind w:left="-72"/>
              <w:rPr>
                <w:color w:val="000000"/>
                <w:sz w:val="20"/>
                <w:lang w:val="sv-SE"/>
              </w:rPr>
            </w:pPr>
            <w:r w:rsidRPr="00800D1B">
              <w:rPr>
                <w:color w:val="000000"/>
                <w:sz w:val="20"/>
                <w:lang w:val="sv-SE"/>
              </w:rPr>
              <w:t>Det finns ingen strategi för smart specialisering för Övre Norrland på Nuts 2-nivå. Universiteten är involverade i arbetet med och genomförandet av smart specialiseringsstrategierna.</w:t>
            </w:r>
          </w:p>
        </w:tc>
      </w:tr>
      <w:tr w:rsidR="003422DB" w:rsidRPr="00BD3045" w14:paraId="2D066A24" w14:textId="77777777" w:rsidTr="00A26CDD">
        <w:tc>
          <w:tcPr>
            <w:tcW w:w="1600" w:type="dxa"/>
            <w:vMerge/>
          </w:tcPr>
          <w:p w14:paraId="2D066A12" w14:textId="77777777" w:rsidR="00A77B3E" w:rsidRPr="00800D1B" w:rsidRDefault="00A77B3E" w:rsidP="00A26CDD">
            <w:pPr>
              <w:spacing w:before="100" w:after="100"/>
              <w:ind w:left="-72"/>
              <w:rPr>
                <w:color w:val="000000"/>
                <w:sz w:val="20"/>
                <w:lang w:val="sv-SE"/>
              </w:rPr>
            </w:pPr>
          </w:p>
        </w:tc>
        <w:tc>
          <w:tcPr>
            <w:tcW w:w="800" w:type="dxa"/>
            <w:vMerge/>
          </w:tcPr>
          <w:p w14:paraId="2D066A13" w14:textId="77777777" w:rsidR="00A77B3E" w:rsidRPr="00800D1B" w:rsidRDefault="00A77B3E" w:rsidP="00A26CDD">
            <w:pPr>
              <w:spacing w:before="100" w:after="100"/>
              <w:ind w:left="-72"/>
              <w:rPr>
                <w:color w:val="000000"/>
                <w:sz w:val="20"/>
                <w:lang w:val="sv-SE"/>
              </w:rPr>
            </w:pPr>
          </w:p>
        </w:tc>
        <w:tc>
          <w:tcPr>
            <w:tcW w:w="1600" w:type="dxa"/>
            <w:vMerge/>
          </w:tcPr>
          <w:p w14:paraId="2D066A14" w14:textId="77777777" w:rsidR="00A77B3E" w:rsidRPr="00800D1B" w:rsidRDefault="00A77B3E" w:rsidP="00A26CDD">
            <w:pPr>
              <w:spacing w:before="100" w:after="100"/>
              <w:ind w:left="-72"/>
              <w:rPr>
                <w:color w:val="000000"/>
                <w:sz w:val="20"/>
                <w:lang w:val="sv-SE"/>
              </w:rPr>
            </w:pPr>
          </w:p>
        </w:tc>
        <w:tc>
          <w:tcPr>
            <w:tcW w:w="1000" w:type="dxa"/>
            <w:vMerge/>
          </w:tcPr>
          <w:p w14:paraId="2D066A15" w14:textId="77777777" w:rsidR="00A77B3E" w:rsidRPr="00800D1B" w:rsidRDefault="00A77B3E" w:rsidP="00A26CDD">
            <w:pPr>
              <w:spacing w:before="100" w:after="100"/>
              <w:ind w:left="-72"/>
              <w:rPr>
                <w:color w:val="000000"/>
                <w:sz w:val="20"/>
                <w:lang w:val="sv-SE"/>
              </w:rPr>
            </w:pPr>
          </w:p>
        </w:tc>
        <w:tc>
          <w:tcPr>
            <w:tcW w:w="2800" w:type="dxa"/>
          </w:tcPr>
          <w:p w14:paraId="2D066A16" w14:textId="13807690" w:rsidR="00A77B3E" w:rsidRPr="00800D1B" w:rsidRDefault="00623E14">
            <w:pPr>
              <w:pStyle w:val="Liststycke"/>
              <w:numPr>
                <w:ilvl w:val="0"/>
                <w:numId w:val="81"/>
              </w:numPr>
              <w:tabs>
                <w:tab w:val="left" w:pos="151"/>
              </w:tabs>
              <w:spacing w:before="100" w:after="100"/>
              <w:ind w:left="-72" w:hanging="29"/>
              <w:rPr>
                <w:color w:val="000000"/>
                <w:sz w:val="20"/>
                <w:lang w:val="sv-SE"/>
              </w:rPr>
            </w:pPr>
            <w:r w:rsidRPr="00800D1B">
              <w:rPr>
                <w:color w:val="000000"/>
                <w:sz w:val="20"/>
                <w:lang w:val="sv-SE"/>
              </w:rPr>
              <w:t>Verktyg för övervakning och utvärdering för att mäta resultaten i förhållande till strategins mål</w:t>
            </w:r>
          </w:p>
        </w:tc>
        <w:tc>
          <w:tcPr>
            <w:tcW w:w="1000" w:type="dxa"/>
          </w:tcPr>
          <w:p w14:paraId="2D066A17" w14:textId="77777777" w:rsidR="00A77B3E" w:rsidRPr="00800D1B" w:rsidRDefault="00623E14" w:rsidP="00A26CDD">
            <w:pPr>
              <w:spacing w:before="100" w:after="100"/>
              <w:ind w:left="-72"/>
              <w:jc w:val="center"/>
              <w:rPr>
                <w:color w:val="000000"/>
                <w:sz w:val="20"/>
                <w:lang w:val="sv-SE"/>
              </w:rPr>
            </w:pPr>
            <w:r w:rsidRPr="00800D1B">
              <w:rPr>
                <w:color w:val="000000"/>
                <w:sz w:val="20"/>
                <w:lang w:val="sv-SE"/>
              </w:rPr>
              <w:t>Ja</w:t>
            </w:r>
          </w:p>
        </w:tc>
        <w:tc>
          <w:tcPr>
            <w:tcW w:w="3400" w:type="dxa"/>
          </w:tcPr>
          <w:p w14:paraId="2D066A18" w14:textId="77777777" w:rsidR="00A77B3E" w:rsidRPr="00800D1B" w:rsidRDefault="00623E14" w:rsidP="00A26CDD">
            <w:pPr>
              <w:spacing w:before="100" w:after="100"/>
              <w:ind w:left="-72"/>
              <w:rPr>
                <w:color w:val="000000"/>
                <w:sz w:val="20"/>
                <w:lang w:val="sv-SE"/>
              </w:rPr>
            </w:pPr>
            <w:r w:rsidRPr="00800D1B">
              <w:rPr>
                <w:color w:val="000000"/>
                <w:sz w:val="20"/>
                <w:lang w:val="sv-SE"/>
              </w:rPr>
              <w:t xml:space="preserve">Norrbottens Smart specialisering strategi </w:t>
            </w:r>
          </w:p>
          <w:p w14:paraId="2D066A19" w14:textId="41DE5EE6" w:rsidR="00A77B3E" w:rsidRPr="00800D1B" w:rsidRDefault="00000000" w:rsidP="00A26CDD">
            <w:pPr>
              <w:spacing w:before="100" w:after="100"/>
              <w:ind w:left="-72"/>
              <w:rPr>
                <w:color w:val="000000"/>
                <w:sz w:val="20"/>
                <w:lang w:val="sv-SE"/>
              </w:rPr>
            </w:pPr>
            <w:hyperlink r:id="rId54" w:history="1">
              <w:r w:rsidR="00623E14" w:rsidRPr="00800D1B">
                <w:rPr>
                  <w:rStyle w:val="Hyperlnk"/>
                  <w:sz w:val="20"/>
                  <w:lang w:val="sv-SE"/>
                </w:rPr>
                <w:t>https://utvecklanorrbotten.se/publikationer/</w:t>
              </w:r>
            </w:hyperlink>
          </w:p>
          <w:p w14:paraId="2D066A1B" w14:textId="2B81CC27" w:rsidR="00A77B3E" w:rsidRPr="00800D1B" w:rsidRDefault="00623E14" w:rsidP="00A26CDD">
            <w:pPr>
              <w:spacing w:before="400" w:after="100"/>
              <w:ind w:left="-72"/>
              <w:rPr>
                <w:color w:val="000000"/>
                <w:sz w:val="20"/>
                <w:lang w:val="sv-SE"/>
              </w:rPr>
            </w:pPr>
            <w:r w:rsidRPr="00800D1B">
              <w:rPr>
                <w:color w:val="000000"/>
                <w:sz w:val="20"/>
                <w:lang w:val="sv-SE"/>
              </w:rPr>
              <w:t xml:space="preserve">Rapporter om Norrbotten genom Regional förnyelse: </w:t>
            </w:r>
            <w:hyperlink r:id="rId55" w:history="1">
              <w:r w:rsidRPr="00800D1B">
                <w:rPr>
                  <w:rStyle w:val="Hyperlnk"/>
                  <w:sz w:val="20"/>
                  <w:lang w:val="sv-SE"/>
                </w:rPr>
                <w:t>https://utvecklanorrbotten.se/publikationer/</w:t>
              </w:r>
            </w:hyperlink>
          </w:p>
          <w:p w14:paraId="2D066A1D" w14:textId="4B4D1056" w:rsidR="00A77B3E" w:rsidRPr="00800D1B" w:rsidRDefault="00623E14" w:rsidP="00A26CDD">
            <w:pPr>
              <w:spacing w:before="400" w:after="100"/>
              <w:ind w:left="-72"/>
              <w:rPr>
                <w:color w:val="000000"/>
                <w:sz w:val="20"/>
                <w:lang w:val="sv-SE"/>
              </w:rPr>
            </w:pPr>
            <w:r w:rsidRPr="00800D1B">
              <w:rPr>
                <w:color w:val="000000"/>
                <w:sz w:val="20"/>
                <w:lang w:val="sv-SE"/>
              </w:rPr>
              <w:t>Region Västerbottens innovationsstrategi</w:t>
            </w:r>
            <w:r w:rsidR="00CF74CB" w:rsidRPr="00800D1B">
              <w:rPr>
                <w:color w:val="000000"/>
                <w:sz w:val="20"/>
                <w:lang w:val="sv-SE"/>
              </w:rPr>
              <w:t xml:space="preserve"> </w:t>
            </w:r>
          </w:p>
          <w:p w14:paraId="2D066A1F" w14:textId="5042AEEE" w:rsidR="00A77B3E" w:rsidRPr="00800D1B" w:rsidRDefault="00000000" w:rsidP="00A26CDD">
            <w:pPr>
              <w:spacing w:before="100" w:after="100"/>
              <w:ind w:left="-72"/>
              <w:rPr>
                <w:color w:val="000000"/>
                <w:sz w:val="20"/>
                <w:lang w:val="sv-SE"/>
              </w:rPr>
            </w:pPr>
            <w:hyperlink r:id="rId56" w:history="1">
              <w:r w:rsidR="00623E14" w:rsidRPr="00800D1B">
                <w:rPr>
                  <w:rStyle w:val="Hyperlnk"/>
                  <w:sz w:val="20"/>
                  <w:lang w:val="sv-SE"/>
                </w:rPr>
                <w:t>https://regionvasterbotten.se/VLL/Filer/RIS_V%C3%A4sterbotten%202022-2030.pdf</w:t>
              </w:r>
            </w:hyperlink>
          </w:p>
        </w:tc>
        <w:tc>
          <w:tcPr>
            <w:tcW w:w="3400" w:type="dxa"/>
          </w:tcPr>
          <w:p w14:paraId="2D066A20" w14:textId="77777777" w:rsidR="00A77B3E" w:rsidRPr="00800D1B" w:rsidRDefault="00623E14" w:rsidP="00A26CDD">
            <w:pPr>
              <w:spacing w:before="100" w:after="100"/>
              <w:ind w:left="-72"/>
              <w:rPr>
                <w:color w:val="000000"/>
                <w:sz w:val="20"/>
                <w:lang w:val="sv-SE"/>
              </w:rPr>
            </w:pPr>
            <w:r w:rsidRPr="00800D1B">
              <w:rPr>
                <w:color w:val="000000"/>
                <w:sz w:val="20"/>
                <w:lang w:val="sv-SE"/>
              </w:rPr>
              <w:t>På NUTS3-nivån genomför regionerna på egna initiativ återkommande analyser av insatserna inom S3 samt insatser för att involvera quadruple helix-aktörer. På NUTS2-nivån används programmens indikatorer för uppföljning, vilket bla möjliggör uppföljning av aktörer som medverkar i projekt. På NUTS2-nivån deltar bla Tillväxtverket och regionerna i den löpande uppföljningen och utvärderingen av S3-implementeringen, vilket möjliggör styrning av programmen i linje med målen i S3.</w:t>
            </w:r>
          </w:p>
          <w:p w14:paraId="2D066A21" w14:textId="77777777" w:rsidR="00A77B3E" w:rsidRPr="00800D1B" w:rsidRDefault="00623E14" w:rsidP="00A26CDD">
            <w:pPr>
              <w:spacing w:before="100" w:after="100"/>
              <w:ind w:left="-72"/>
              <w:rPr>
                <w:color w:val="000000"/>
                <w:sz w:val="20"/>
                <w:lang w:val="sv-SE"/>
              </w:rPr>
            </w:pPr>
            <w:r w:rsidRPr="00800D1B">
              <w:rPr>
                <w:color w:val="000000"/>
                <w:sz w:val="20"/>
                <w:lang w:val="sv-SE"/>
              </w:rPr>
              <w:t>På NUTS1-nivå genomför FM under 2022 en effektutvärdering av insatser inom TM 1 2014-2020. Målgrupper är nationella och regionala aktörer såsom Tillväxtverket, Vinnova, Regeringskansliet och regioner. Lärandet från utvärderingen ska användas för att öka kunskapen om och utveckla Eruf:s forsknings- och innovationsinsatser och utvärderingsmetoder inom området, inkl lämpliga indikatorer för nationell uppföljning och utvärdering av regionala S3. Uppdraget genomförs under perioden dec 2021 till dec 2022.</w:t>
            </w:r>
          </w:p>
          <w:p w14:paraId="2D066A23" w14:textId="5BBEC413" w:rsidR="00A77B3E" w:rsidRPr="00800D1B" w:rsidRDefault="00623E14" w:rsidP="00977927">
            <w:pPr>
              <w:spacing w:before="100" w:after="360"/>
              <w:ind w:left="-72"/>
              <w:rPr>
                <w:color w:val="000000"/>
                <w:sz w:val="20"/>
                <w:lang w:val="sv-SE"/>
              </w:rPr>
            </w:pPr>
            <w:r w:rsidRPr="00800D1B">
              <w:rPr>
                <w:color w:val="000000"/>
                <w:sz w:val="20"/>
                <w:lang w:val="sv-SE"/>
              </w:rPr>
              <w:t>Utvärderingsplanen för Eruf och ändringar i den godkänns av ÖK, som samlar ett brett spektrum av aktörer och löpande följer programmens implementering utifrån S3.</w:t>
            </w:r>
          </w:p>
        </w:tc>
      </w:tr>
      <w:tr w:rsidR="003422DB" w:rsidRPr="00BD3045" w14:paraId="2D066A37" w14:textId="77777777" w:rsidTr="00A26CDD">
        <w:tc>
          <w:tcPr>
            <w:tcW w:w="1600" w:type="dxa"/>
            <w:vMerge/>
          </w:tcPr>
          <w:p w14:paraId="2D066A25" w14:textId="77777777" w:rsidR="00A77B3E" w:rsidRPr="00800D1B" w:rsidRDefault="00A77B3E" w:rsidP="00A26CDD">
            <w:pPr>
              <w:spacing w:before="100" w:after="100"/>
              <w:ind w:left="-72"/>
              <w:rPr>
                <w:color w:val="000000"/>
                <w:sz w:val="20"/>
                <w:lang w:val="sv-SE"/>
              </w:rPr>
            </w:pPr>
          </w:p>
        </w:tc>
        <w:tc>
          <w:tcPr>
            <w:tcW w:w="800" w:type="dxa"/>
            <w:vMerge/>
          </w:tcPr>
          <w:p w14:paraId="2D066A26" w14:textId="77777777" w:rsidR="00A77B3E" w:rsidRPr="00800D1B" w:rsidRDefault="00A77B3E" w:rsidP="00A26CDD">
            <w:pPr>
              <w:spacing w:before="100" w:after="100"/>
              <w:ind w:left="-72"/>
              <w:rPr>
                <w:color w:val="000000"/>
                <w:sz w:val="20"/>
                <w:lang w:val="sv-SE"/>
              </w:rPr>
            </w:pPr>
          </w:p>
        </w:tc>
        <w:tc>
          <w:tcPr>
            <w:tcW w:w="1600" w:type="dxa"/>
            <w:vMerge/>
          </w:tcPr>
          <w:p w14:paraId="2D066A27" w14:textId="77777777" w:rsidR="00A77B3E" w:rsidRPr="00800D1B" w:rsidRDefault="00A77B3E" w:rsidP="00A26CDD">
            <w:pPr>
              <w:spacing w:before="100" w:after="100"/>
              <w:ind w:left="-72"/>
              <w:rPr>
                <w:color w:val="000000"/>
                <w:sz w:val="20"/>
                <w:lang w:val="sv-SE"/>
              </w:rPr>
            </w:pPr>
          </w:p>
        </w:tc>
        <w:tc>
          <w:tcPr>
            <w:tcW w:w="1000" w:type="dxa"/>
            <w:vMerge/>
          </w:tcPr>
          <w:p w14:paraId="2D066A28" w14:textId="77777777" w:rsidR="00A77B3E" w:rsidRPr="00800D1B" w:rsidRDefault="00A77B3E" w:rsidP="00A26CDD">
            <w:pPr>
              <w:spacing w:before="100" w:after="100"/>
              <w:ind w:left="-72"/>
              <w:rPr>
                <w:color w:val="000000"/>
                <w:sz w:val="20"/>
                <w:lang w:val="sv-SE"/>
              </w:rPr>
            </w:pPr>
          </w:p>
        </w:tc>
        <w:tc>
          <w:tcPr>
            <w:tcW w:w="2800" w:type="dxa"/>
          </w:tcPr>
          <w:p w14:paraId="2D066A29" w14:textId="4BC45394" w:rsidR="00A77B3E" w:rsidRPr="00800D1B" w:rsidRDefault="00623E14">
            <w:pPr>
              <w:pStyle w:val="Liststycke"/>
              <w:numPr>
                <w:ilvl w:val="0"/>
                <w:numId w:val="81"/>
              </w:numPr>
              <w:tabs>
                <w:tab w:val="left" w:pos="151"/>
              </w:tabs>
              <w:spacing w:before="100" w:after="100"/>
              <w:ind w:left="-72" w:hanging="29"/>
              <w:rPr>
                <w:color w:val="000000"/>
                <w:sz w:val="20"/>
                <w:lang w:val="sv-SE"/>
              </w:rPr>
            </w:pPr>
            <w:r w:rsidRPr="00800D1B">
              <w:rPr>
                <w:color w:val="000000"/>
                <w:sz w:val="20"/>
                <w:lang w:val="sv-SE"/>
              </w:rPr>
              <w:t>Fungerande samarbete mellan berörda parter (”entreprenörsprocess”).</w:t>
            </w:r>
          </w:p>
        </w:tc>
        <w:tc>
          <w:tcPr>
            <w:tcW w:w="1000" w:type="dxa"/>
          </w:tcPr>
          <w:p w14:paraId="2D066A2A" w14:textId="77777777" w:rsidR="00A77B3E" w:rsidRPr="00800D1B" w:rsidRDefault="00623E14" w:rsidP="00A26CDD">
            <w:pPr>
              <w:spacing w:before="100" w:after="100"/>
              <w:ind w:left="-72"/>
              <w:jc w:val="center"/>
              <w:rPr>
                <w:color w:val="000000"/>
                <w:sz w:val="20"/>
                <w:lang w:val="sv-SE"/>
              </w:rPr>
            </w:pPr>
            <w:r w:rsidRPr="00800D1B">
              <w:rPr>
                <w:color w:val="000000"/>
                <w:sz w:val="20"/>
                <w:lang w:val="sv-SE"/>
              </w:rPr>
              <w:t>Ja</w:t>
            </w:r>
          </w:p>
        </w:tc>
        <w:tc>
          <w:tcPr>
            <w:tcW w:w="3400" w:type="dxa"/>
          </w:tcPr>
          <w:p w14:paraId="2D066A2B" w14:textId="77777777" w:rsidR="00A77B3E" w:rsidRPr="00BD3045" w:rsidRDefault="00623E14" w:rsidP="00A26CDD">
            <w:pPr>
              <w:spacing w:before="100" w:after="100"/>
              <w:ind w:left="-72"/>
              <w:rPr>
                <w:color w:val="000000"/>
                <w:sz w:val="20"/>
              </w:rPr>
            </w:pPr>
            <w:r w:rsidRPr="00BD3045">
              <w:rPr>
                <w:color w:val="000000"/>
                <w:sz w:val="20"/>
              </w:rPr>
              <w:t xml:space="preserve">Paulsson, David, 2019. “Report on the implementation of smart specialisation in Sweden – independent expert report.” </w:t>
            </w:r>
          </w:p>
          <w:p w14:paraId="2D066A2C" w14:textId="67F9BC39" w:rsidR="00A77B3E" w:rsidRPr="00BD3045" w:rsidRDefault="00000000" w:rsidP="00A26CDD">
            <w:pPr>
              <w:spacing w:before="100" w:after="100"/>
              <w:ind w:left="-72"/>
              <w:rPr>
                <w:color w:val="000000"/>
                <w:sz w:val="20"/>
              </w:rPr>
            </w:pPr>
            <w:hyperlink r:id="rId57" w:history="1">
              <w:r w:rsidR="00B55BCE" w:rsidRPr="00BD3045">
                <w:rPr>
                  <w:rStyle w:val="Hyperlnk"/>
                  <w:sz w:val="20"/>
                </w:rPr>
                <w:t>https://tillvaxtverket.se/download/18.b316e7e16fa47c95ec58ee8/1579513697125/Report%20on%20smart%20specialisation%20final_%20(002).pdf</w:t>
              </w:r>
            </w:hyperlink>
          </w:p>
          <w:p w14:paraId="2D066A2D" w14:textId="77777777" w:rsidR="00A77B3E" w:rsidRPr="00800D1B" w:rsidRDefault="00623E14" w:rsidP="00B55BCE">
            <w:pPr>
              <w:spacing w:before="100" w:after="360"/>
              <w:ind w:left="-72"/>
              <w:rPr>
                <w:color w:val="000000"/>
                <w:sz w:val="20"/>
                <w:lang w:val="sv-SE"/>
              </w:rPr>
            </w:pPr>
            <w:r w:rsidRPr="00800D1B">
              <w:rPr>
                <w:color w:val="000000"/>
                <w:sz w:val="20"/>
                <w:lang w:val="sv-SE"/>
              </w:rPr>
              <w:t xml:space="preserve">Norrbottens Smart specialisering strategi </w:t>
            </w:r>
          </w:p>
          <w:p w14:paraId="2D066A2E" w14:textId="14DB4399" w:rsidR="00A77B3E" w:rsidRPr="00800D1B" w:rsidRDefault="00000000" w:rsidP="00B55BCE">
            <w:pPr>
              <w:spacing w:before="100" w:after="240"/>
              <w:ind w:left="-72"/>
              <w:rPr>
                <w:color w:val="000000"/>
                <w:sz w:val="20"/>
                <w:lang w:val="sv-SE"/>
              </w:rPr>
            </w:pPr>
            <w:hyperlink r:id="rId58" w:history="1">
              <w:r w:rsidR="00B55BCE" w:rsidRPr="00800D1B">
                <w:rPr>
                  <w:rStyle w:val="Hyperlnk"/>
                  <w:sz w:val="20"/>
                  <w:lang w:val="sv-SE"/>
                </w:rPr>
                <w:t>https://utvecklanorrbotten.se/publikationer/</w:t>
              </w:r>
            </w:hyperlink>
          </w:p>
          <w:p w14:paraId="2D066A30" w14:textId="39869BCF" w:rsidR="00A77B3E" w:rsidRPr="00800D1B" w:rsidRDefault="00623E14" w:rsidP="00A26CDD">
            <w:pPr>
              <w:spacing w:before="400" w:after="100"/>
              <w:ind w:left="-72"/>
              <w:rPr>
                <w:color w:val="000000"/>
                <w:sz w:val="20"/>
                <w:lang w:val="sv-SE"/>
              </w:rPr>
            </w:pPr>
            <w:r w:rsidRPr="00800D1B">
              <w:rPr>
                <w:color w:val="000000"/>
                <w:sz w:val="20"/>
                <w:lang w:val="sv-SE"/>
              </w:rPr>
              <w:t>Region Västerbottens innovationsstrategi</w:t>
            </w:r>
            <w:r w:rsidR="00CF74CB" w:rsidRPr="00800D1B">
              <w:rPr>
                <w:color w:val="000000"/>
                <w:sz w:val="20"/>
                <w:lang w:val="sv-SE"/>
              </w:rPr>
              <w:t xml:space="preserve"> </w:t>
            </w:r>
          </w:p>
          <w:p w14:paraId="2D066A31" w14:textId="2C1C46E9" w:rsidR="00A77B3E" w:rsidRPr="00800D1B" w:rsidRDefault="00000000" w:rsidP="00A26CDD">
            <w:pPr>
              <w:spacing w:before="100" w:after="100"/>
              <w:ind w:left="-72"/>
              <w:rPr>
                <w:color w:val="000000"/>
                <w:sz w:val="20"/>
                <w:lang w:val="sv-SE"/>
              </w:rPr>
            </w:pPr>
            <w:hyperlink r:id="rId59" w:history="1">
              <w:r w:rsidR="00623E14" w:rsidRPr="00800D1B">
                <w:rPr>
                  <w:rStyle w:val="Hyperlnk"/>
                  <w:sz w:val="20"/>
                  <w:lang w:val="sv-SE"/>
                </w:rPr>
                <w:t>https://regionvasterbotten.se/VLL/Filer/RIS_V%C3%A4sterbotten%202022-2030.pdf</w:t>
              </w:r>
            </w:hyperlink>
          </w:p>
        </w:tc>
        <w:tc>
          <w:tcPr>
            <w:tcW w:w="3400" w:type="dxa"/>
          </w:tcPr>
          <w:p w14:paraId="2D066A32" w14:textId="77777777" w:rsidR="00A77B3E" w:rsidRPr="00800D1B" w:rsidRDefault="00623E14" w:rsidP="00A26CDD">
            <w:pPr>
              <w:spacing w:before="100" w:after="100"/>
              <w:ind w:left="-72"/>
              <w:rPr>
                <w:color w:val="000000"/>
                <w:sz w:val="20"/>
                <w:lang w:val="sv-SE"/>
              </w:rPr>
            </w:pPr>
            <w:r w:rsidRPr="00800D1B">
              <w:rPr>
                <w:color w:val="000000"/>
                <w:sz w:val="20"/>
                <w:lang w:val="sv-SE"/>
              </w:rPr>
              <w:t>Alla regioner i ÖN genomför inkluderande EDP (entrepreneurial discovery process) med relevanta sektorer i samhället och har kontinuerlig dialog med de aktörer inom innovationsstödsystemen som deltar i arbetet med smart specialisering. Detta sker i respektive region, exempelvis i klusterinitiativen, men även på ÖN-nivå.</w:t>
            </w:r>
          </w:p>
          <w:p w14:paraId="2D066A33" w14:textId="77777777" w:rsidR="00A77B3E" w:rsidRPr="00800D1B" w:rsidRDefault="00623E14" w:rsidP="00A26CDD">
            <w:pPr>
              <w:spacing w:before="100" w:after="100"/>
              <w:ind w:left="-72"/>
              <w:rPr>
                <w:color w:val="000000"/>
                <w:sz w:val="20"/>
                <w:lang w:val="sv-SE"/>
              </w:rPr>
            </w:pPr>
            <w:r w:rsidRPr="00800D1B">
              <w:rPr>
                <w:color w:val="000000"/>
                <w:sz w:val="20"/>
                <w:lang w:val="sv-SE"/>
              </w:rPr>
              <w:t xml:space="preserve">Samtliga S3 strategier har också kontakt med respektive science parks, kluster m.fl. aktörer som äger och ansöker om projekt för Smart specialisering där EDP är centralt i dialogen om projektens genomförande. Regionerna medverkar också i det nationella S3-nätverket för lärande och erfarenhetsutbyte om EDP. </w:t>
            </w:r>
          </w:p>
          <w:p w14:paraId="2D066A34" w14:textId="77777777" w:rsidR="00A77B3E" w:rsidRPr="00800D1B" w:rsidRDefault="00623E14" w:rsidP="00A26CDD">
            <w:pPr>
              <w:spacing w:before="100" w:after="100"/>
              <w:ind w:left="-72"/>
              <w:rPr>
                <w:color w:val="000000"/>
                <w:sz w:val="20"/>
                <w:lang w:val="sv-SE"/>
              </w:rPr>
            </w:pPr>
            <w:r w:rsidRPr="00800D1B">
              <w:rPr>
                <w:color w:val="000000"/>
                <w:sz w:val="20"/>
                <w:lang w:val="sv-SE"/>
              </w:rPr>
              <w:t>Respektive Region har etablerat samverkansplattformar som involverar bland andra relevanta lärosäten, forskningsinstitut, främjandeaktörer och civilsamhälle som har deltagit i framtagande och revidering av strategierna och löpande i implementeringen.</w:t>
            </w:r>
          </w:p>
          <w:p w14:paraId="2D066A36" w14:textId="4074F25B" w:rsidR="00A77B3E" w:rsidRPr="00800D1B" w:rsidRDefault="00623E14" w:rsidP="00977927">
            <w:pPr>
              <w:spacing w:before="100" w:after="360"/>
              <w:ind w:left="-72"/>
              <w:rPr>
                <w:color w:val="000000"/>
                <w:sz w:val="20"/>
                <w:lang w:val="sv-SE"/>
              </w:rPr>
            </w:pPr>
            <w:r w:rsidRPr="00800D1B">
              <w:rPr>
                <w:color w:val="000000"/>
                <w:sz w:val="20"/>
                <w:lang w:val="sv-SE"/>
              </w:rPr>
              <w:t xml:space="preserve">Region Norrbotten och Region Västerbotten har ett gediget förankringsarbete och diskussioner om regionen med olika regionala intressenter som ett exempel är Region Västerbottens Mötesplats Lycksele. </w:t>
            </w:r>
          </w:p>
        </w:tc>
      </w:tr>
      <w:tr w:rsidR="003422DB" w:rsidRPr="00BD3045" w14:paraId="2D066A4D" w14:textId="77777777" w:rsidTr="00A26CDD">
        <w:tc>
          <w:tcPr>
            <w:tcW w:w="1600" w:type="dxa"/>
            <w:vMerge/>
          </w:tcPr>
          <w:p w14:paraId="2D066A38" w14:textId="77777777" w:rsidR="00A77B3E" w:rsidRPr="00800D1B" w:rsidRDefault="00A77B3E" w:rsidP="00A26CDD">
            <w:pPr>
              <w:spacing w:before="100" w:after="100"/>
              <w:ind w:left="-72"/>
              <w:rPr>
                <w:color w:val="000000"/>
                <w:sz w:val="20"/>
                <w:lang w:val="sv-SE"/>
              </w:rPr>
            </w:pPr>
          </w:p>
        </w:tc>
        <w:tc>
          <w:tcPr>
            <w:tcW w:w="800" w:type="dxa"/>
            <w:vMerge/>
          </w:tcPr>
          <w:p w14:paraId="2D066A39" w14:textId="77777777" w:rsidR="00A77B3E" w:rsidRPr="00800D1B" w:rsidRDefault="00A77B3E" w:rsidP="00A26CDD">
            <w:pPr>
              <w:spacing w:before="100" w:after="100"/>
              <w:ind w:left="-72"/>
              <w:rPr>
                <w:color w:val="000000"/>
                <w:sz w:val="20"/>
                <w:lang w:val="sv-SE"/>
              </w:rPr>
            </w:pPr>
          </w:p>
        </w:tc>
        <w:tc>
          <w:tcPr>
            <w:tcW w:w="1600" w:type="dxa"/>
            <w:vMerge/>
          </w:tcPr>
          <w:p w14:paraId="2D066A3A" w14:textId="77777777" w:rsidR="00A77B3E" w:rsidRPr="00800D1B" w:rsidRDefault="00A77B3E" w:rsidP="00A26CDD">
            <w:pPr>
              <w:spacing w:before="100" w:after="100"/>
              <w:ind w:left="-72"/>
              <w:rPr>
                <w:color w:val="000000"/>
                <w:sz w:val="20"/>
                <w:lang w:val="sv-SE"/>
              </w:rPr>
            </w:pPr>
          </w:p>
        </w:tc>
        <w:tc>
          <w:tcPr>
            <w:tcW w:w="1000" w:type="dxa"/>
            <w:vMerge/>
          </w:tcPr>
          <w:p w14:paraId="2D066A3B" w14:textId="77777777" w:rsidR="00A77B3E" w:rsidRPr="00800D1B" w:rsidRDefault="00A77B3E" w:rsidP="00A26CDD">
            <w:pPr>
              <w:spacing w:before="100" w:after="100"/>
              <w:ind w:left="-72"/>
              <w:rPr>
                <w:color w:val="000000"/>
                <w:sz w:val="20"/>
                <w:lang w:val="sv-SE"/>
              </w:rPr>
            </w:pPr>
          </w:p>
        </w:tc>
        <w:tc>
          <w:tcPr>
            <w:tcW w:w="2800" w:type="dxa"/>
          </w:tcPr>
          <w:p w14:paraId="2D066A3C" w14:textId="3E9936BE" w:rsidR="00A77B3E" w:rsidRPr="00800D1B" w:rsidRDefault="00623E14">
            <w:pPr>
              <w:pStyle w:val="Liststycke"/>
              <w:numPr>
                <w:ilvl w:val="0"/>
                <w:numId w:val="81"/>
              </w:numPr>
              <w:tabs>
                <w:tab w:val="left" w:pos="151"/>
              </w:tabs>
              <w:spacing w:before="100" w:after="100"/>
              <w:ind w:left="-72" w:hanging="29"/>
              <w:rPr>
                <w:color w:val="000000"/>
                <w:sz w:val="20"/>
                <w:lang w:val="sv-SE"/>
              </w:rPr>
            </w:pPr>
            <w:r w:rsidRPr="00800D1B">
              <w:rPr>
                <w:color w:val="000000"/>
                <w:sz w:val="20"/>
                <w:lang w:val="sv-SE"/>
              </w:rPr>
              <w:t>Nödvändiga åtgärder för att förbättra de nationella eller regionala forsknings- och innovationssystemen, där så är relevant.</w:t>
            </w:r>
          </w:p>
        </w:tc>
        <w:tc>
          <w:tcPr>
            <w:tcW w:w="1000" w:type="dxa"/>
          </w:tcPr>
          <w:p w14:paraId="2D066A3D" w14:textId="77777777" w:rsidR="00A77B3E" w:rsidRPr="00800D1B" w:rsidRDefault="00623E14" w:rsidP="00A26CDD">
            <w:pPr>
              <w:spacing w:before="100" w:after="100"/>
              <w:ind w:left="-72"/>
              <w:jc w:val="center"/>
              <w:rPr>
                <w:color w:val="000000"/>
                <w:sz w:val="20"/>
                <w:lang w:val="sv-SE"/>
              </w:rPr>
            </w:pPr>
            <w:r w:rsidRPr="00800D1B">
              <w:rPr>
                <w:color w:val="000000"/>
                <w:sz w:val="20"/>
                <w:lang w:val="sv-SE"/>
              </w:rPr>
              <w:t>Ja</w:t>
            </w:r>
          </w:p>
        </w:tc>
        <w:tc>
          <w:tcPr>
            <w:tcW w:w="3400" w:type="dxa"/>
          </w:tcPr>
          <w:p w14:paraId="2D066A3E" w14:textId="77777777" w:rsidR="00A77B3E" w:rsidRPr="00BD3045" w:rsidRDefault="00623E14" w:rsidP="00A26CDD">
            <w:pPr>
              <w:spacing w:before="100" w:after="100"/>
              <w:ind w:left="-72"/>
              <w:rPr>
                <w:color w:val="000000"/>
                <w:sz w:val="20"/>
              </w:rPr>
            </w:pPr>
            <w:r w:rsidRPr="00BD3045">
              <w:rPr>
                <w:color w:val="000000"/>
                <w:sz w:val="20"/>
              </w:rPr>
              <w:t xml:space="preserve">Paulsson, David, 2019. “Report on the implementation of smart specialisation in Sweden – independent expert report.” </w:t>
            </w:r>
          </w:p>
          <w:p w14:paraId="2D066A40" w14:textId="0023E895" w:rsidR="00A77B3E" w:rsidRPr="00800D1B" w:rsidRDefault="00623E14" w:rsidP="00A26CDD">
            <w:pPr>
              <w:spacing w:before="100" w:after="100"/>
              <w:ind w:left="-72"/>
              <w:rPr>
                <w:color w:val="000000"/>
                <w:sz w:val="20"/>
                <w:lang w:val="sv-SE"/>
              </w:rPr>
            </w:pPr>
            <w:r w:rsidRPr="00800D1B">
              <w:rPr>
                <w:color w:val="000000"/>
                <w:sz w:val="20"/>
                <w:lang w:val="sv-SE"/>
              </w:rPr>
              <w:t>OECD-analys av gruvnäringen i Norrbotten och Västerbotten</w:t>
            </w:r>
            <w:r w:rsidR="00CF74CB" w:rsidRPr="00800D1B">
              <w:rPr>
                <w:color w:val="000000"/>
                <w:sz w:val="20"/>
                <w:lang w:val="sv-SE"/>
              </w:rPr>
              <w:t xml:space="preserve"> </w:t>
            </w:r>
          </w:p>
          <w:p w14:paraId="2D066A42" w14:textId="2F492C0D" w:rsidR="00A77B3E" w:rsidRPr="00800D1B" w:rsidRDefault="00623E14" w:rsidP="00B55BCE">
            <w:pPr>
              <w:spacing w:before="240" w:after="100"/>
              <w:ind w:left="-72"/>
              <w:rPr>
                <w:color w:val="000000"/>
                <w:sz w:val="20"/>
                <w:lang w:val="sv-SE"/>
              </w:rPr>
            </w:pPr>
            <w:r w:rsidRPr="00800D1B">
              <w:rPr>
                <w:color w:val="000000"/>
                <w:sz w:val="20"/>
                <w:lang w:val="sv-SE"/>
              </w:rPr>
              <w:t xml:space="preserve">OECD-analys Cirkulär ekonomi för Västerbotten </w:t>
            </w:r>
            <w:hyperlink r:id="rId60" w:history="1">
              <w:r w:rsidRPr="00800D1B">
                <w:rPr>
                  <w:rStyle w:val="Hyperlnk"/>
                  <w:sz w:val="20"/>
                  <w:lang w:val="sv-SE"/>
                </w:rPr>
                <w:t>https://www.oecd.org/publications/the-circular-economy-in-umea-sweden-4ec5dbcd-en.htm</w:t>
              </w:r>
            </w:hyperlink>
          </w:p>
          <w:p w14:paraId="2D066A44" w14:textId="77777777" w:rsidR="00A77B3E" w:rsidRPr="00800D1B" w:rsidRDefault="00623E14" w:rsidP="00B55BCE">
            <w:pPr>
              <w:spacing w:before="360" w:after="100"/>
              <w:ind w:left="-72"/>
              <w:rPr>
                <w:color w:val="000000"/>
                <w:sz w:val="20"/>
                <w:lang w:val="sv-SE"/>
              </w:rPr>
            </w:pPr>
            <w:r w:rsidRPr="00800D1B">
              <w:rPr>
                <w:color w:val="000000"/>
                <w:sz w:val="20"/>
                <w:lang w:val="sv-SE"/>
              </w:rPr>
              <w:t xml:space="preserve">Norrbottens Smart specialisering strategi </w:t>
            </w:r>
          </w:p>
          <w:p w14:paraId="2D066A45" w14:textId="480B6FC2" w:rsidR="00A77B3E" w:rsidRPr="00800D1B" w:rsidRDefault="00000000" w:rsidP="00B55BCE">
            <w:pPr>
              <w:spacing w:before="360" w:after="100"/>
              <w:ind w:left="-72"/>
              <w:rPr>
                <w:color w:val="000000"/>
                <w:sz w:val="20"/>
                <w:lang w:val="sv-SE"/>
              </w:rPr>
            </w:pPr>
            <w:hyperlink r:id="rId61" w:history="1">
              <w:r w:rsidR="00C748E2" w:rsidRPr="00800D1B">
                <w:rPr>
                  <w:rStyle w:val="Hyperlnk"/>
                  <w:sz w:val="20"/>
                  <w:lang w:val="sv-SE"/>
                </w:rPr>
                <w:t>https://utvecklanorrbotten.se/publikationer/</w:t>
              </w:r>
            </w:hyperlink>
          </w:p>
          <w:p w14:paraId="2D066A47" w14:textId="5D8F3F71" w:rsidR="00A77B3E" w:rsidRPr="00800D1B" w:rsidRDefault="00623E14" w:rsidP="00B55BCE">
            <w:pPr>
              <w:spacing w:before="360" w:after="100"/>
              <w:ind w:left="-72"/>
              <w:rPr>
                <w:color w:val="000000"/>
                <w:sz w:val="20"/>
                <w:lang w:val="sv-SE"/>
              </w:rPr>
            </w:pPr>
            <w:r w:rsidRPr="00800D1B">
              <w:rPr>
                <w:color w:val="000000"/>
                <w:sz w:val="20"/>
                <w:lang w:val="sv-SE"/>
              </w:rPr>
              <w:t>Region Västerbottens innovationsstrategi</w:t>
            </w:r>
            <w:r w:rsidR="00CF74CB" w:rsidRPr="00800D1B">
              <w:rPr>
                <w:color w:val="000000"/>
                <w:sz w:val="20"/>
                <w:lang w:val="sv-SE"/>
              </w:rPr>
              <w:t xml:space="preserve"> </w:t>
            </w:r>
          </w:p>
          <w:p w14:paraId="2D066A49" w14:textId="094A3FF6" w:rsidR="00A77B3E" w:rsidRPr="00800D1B" w:rsidRDefault="00000000" w:rsidP="00A26CDD">
            <w:pPr>
              <w:spacing w:before="100" w:after="100"/>
              <w:ind w:left="-72"/>
              <w:rPr>
                <w:color w:val="000000"/>
                <w:sz w:val="20"/>
                <w:lang w:val="sv-SE"/>
              </w:rPr>
            </w:pPr>
            <w:hyperlink r:id="rId62" w:history="1">
              <w:r w:rsidR="00623E14" w:rsidRPr="00800D1B">
                <w:rPr>
                  <w:rStyle w:val="Hyperlnk"/>
                  <w:sz w:val="20"/>
                  <w:lang w:val="sv-SE"/>
                </w:rPr>
                <w:t>https://regionvasterbotten.se/VLL/Filer/RIS_V%C3%A4sterbotten%202022-2030.pdf</w:t>
              </w:r>
            </w:hyperlink>
          </w:p>
        </w:tc>
        <w:tc>
          <w:tcPr>
            <w:tcW w:w="3400" w:type="dxa"/>
          </w:tcPr>
          <w:p w14:paraId="2D066A4A" w14:textId="77777777" w:rsidR="00A77B3E" w:rsidRPr="00800D1B" w:rsidRDefault="00623E14" w:rsidP="00A26CDD">
            <w:pPr>
              <w:spacing w:before="100" w:after="100"/>
              <w:ind w:left="-72"/>
              <w:rPr>
                <w:color w:val="000000"/>
                <w:sz w:val="20"/>
                <w:lang w:val="sv-SE"/>
              </w:rPr>
            </w:pPr>
            <w:r w:rsidRPr="00800D1B">
              <w:rPr>
                <w:color w:val="000000"/>
                <w:sz w:val="20"/>
                <w:lang w:val="sv-SE"/>
              </w:rPr>
              <w:t xml:space="preserve">Regeringen anser att det nationella innovationssystemet behöver stärkas. Kopplingen till det regionala utvecklingsarbetet, innefattar bl.a. strategier för smart specialisering samt att utveckla samordningen mellan den nationella och den regionala nivån är viktig. Norrbotten och Västerbotten kommer att stärka sitt arbete med att stärka kopplingarna mellan nationella och regionala forsknings- och innovationssystemen. </w:t>
            </w:r>
          </w:p>
          <w:p w14:paraId="2D066A4C" w14:textId="618264A6" w:rsidR="00A77B3E" w:rsidRPr="00800D1B" w:rsidRDefault="00623E14" w:rsidP="00977927">
            <w:pPr>
              <w:spacing w:before="100" w:after="360"/>
              <w:ind w:left="-72"/>
              <w:rPr>
                <w:color w:val="000000"/>
                <w:sz w:val="20"/>
                <w:lang w:val="sv-SE"/>
              </w:rPr>
            </w:pPr>
            <w:r w:rsidRPr="00800D1B">
              <w:rPr>
                <w:color w:val="000000"/>
                <w:sz w:val="20"/>
                <w:lang w:val="sv-SE"/>
              </w:rPr>
              <w:t>De största utmaningarna är att bredda innovationsarbetet genom utveckling av entreprenörskap, att förbereda regionerna för den gröna omställningen och mobilisera den privata sektorn. Innovationsstödssystemet ska stärkas genom insatser finansierade av Eruf som syftar till att förbättra effektiviteten i systemet genom förbättrad samverkan intra- och interregionalt mellan forskningsinstituten och andra aktörer. ÖN har ett relativt välutvecklat innovationssystem men forskningsmiljöerna har en svag institutionell kapacitet och att miljöerna är små ur ett internationellt perspektiv.</w:t>
            </w:r>
          </w:p>
        </w:tc>
      </w:tr>
      <w:tr w:rsidR="003422DB" w:rsidRPr="00BD3045" w14:paraId="2D066A5F" w14:textId="77777777" w:rsidTr="00A26CDD">
        <w:tc>
          <w:tcPr>
            <w:tcW w:w="1600" w:type="dxa"/>
            <w:vMerge/>
          </w:tcPr>
          <w:p w14:paraId="2D066A4E" w14:textId="77777777" w:rsidR="00A77B3E" w:rsidRPr="00800D1B" w:rsidRDefault="00A77B3E" w:rsidP="00A26CDD">
            <w:pPr>
              <w:spacing w:before="100" w:after="100"/>
              <w:ind w:left="-72"/>
              <w:rPr>
                <w:color w:val="000000"/>
                <w:sz w:val="20"/>
                <w:lang w:val="sv-SE"/>
              </w:rPr>
            </w:pPr>
          </w:p>
        </w:tc>
        <w:tc>
          <w:tcPr>
            <w:tcW w:w="800" w:type="dxa"/>
            <w:vMerge/>
          </w:tcPr>
          <w:p w14:paraId="2D066A4F" w14:textId="77777777" w:rsidR="00A77B3E" w:rsidRPr="00800D1B" w:rsidRDefault="00A77B3E" w:rsidP="00A26CDD">
            <w:pPr>
              <w:spacing w:before="100" w:after="100"/>
              <w:ind w:left="-72"/>
              <w:rPr>
                <w:color w:val="000000"/>
                <w:sz w:val="20"/>
                <w:lang w:val="sv-SE"/>
              </w:rPr>
            </w:pPr>
          </w:p>
        </w:tc>
        <w:tc>
          <w:tcPr>
            <w:tcW w:w="1600" w:type="dxa"/>
            <w:vMerge/>
          </w:tcPr>
          <w:p w14:paraId="2D066A50" w14:textId="77777777" w:rsidR="00A77B3E" w:rsidRPr="00800D1B" w:rsidRDefault="00A77B3E" w:rsidP="00A26CDD">
            <w:pPr>
              <w:spacing w:before="100" w:after="100"/>
              <w:ind w:left="-72"/>
              <w:rPr>
                <w:color w:val="000000"/>
                <w:sz w:val="20"/>
                <w:lang w:val="sv-SE"/>
              </w:rPr>
            </w:pPr>
          </w:p>
        </w:tc>
        <w:tc>
          <w:tcPr>
            <w:tcW w:w="1000" w:type="dxa"/>
            <w:vMerge/>
          </w:tcPr>
          <w:p w14:paraId="2D066A51" w14:textId="77777777" w:rsidR="00A77B3E" w:rsidRPr="00800D1B" w:rsidRDefault="00A77B3E" w:rsidP="00A26CDD">
            <w:pPr>
              <w:spacing w:before="100" w:after="100"/>
              <w:ind w:left="-72"/>
              <w:rPr>
                <w:color w:val="000000"/>
                <w:sz w:val="20"/>
                <w:lang w:val="sv-SE"/>
              </w:rPr>
            </w:pPr>
          </w:p>
        </w:tc>
        <w:tc>
          <w:tcPr>
            <w:tcW w:w="2800" w:type="dxa"/>
          </w:tcPr>
          <w:p w14:paraId="2D066A52" w14:textId="4B7C8066" w:rsidR="00A77B3E" w:rsidRPr="00800D1B" w:rsidRDefault="00623E14">
            <w:pPr>
              <w:pStyle w:val="Liststycke"/>
              <w:numPr>
                <w:ilvl w:val="0"/>
                <w:numId w:val="81"/>
              </w:numPr>
              <w:tabs>
                <w:tab w:val="left" w:pos="151"/>
              </w:tabs>
              <w:spacing w:before="100" w:after="100"/>
              <w:ind w:left="-72" w:hanging="29"/>
              <w:rPr>
                <w:color w:val="000000"/>
                <w:sz w:val="20"/>
                <w:lang w:val="sv-SE"/>
              </w:rPr>
            </w:pPr>
            <w:r w:rsidRPr="00800D1B">
              <w:rPr>
                <w:color w:val="000000"/>
                <w:sz w:val="20"/>
                <w:lang w:val="sv-SE"/>
              </w:rPr>
              <w:t>Där så är relevant, åtgärder för att stödja industriell omvandling.</w:t>
            </w:r>
          </w:p>
        </w:tc>
        <w:tc>
          <w:tcPr>
            <w:tcW w:w="1000" w:type="dxa"/>
          </w:tcPr>
          <w:p w14:paraId="2D066A53" w14:textId="77777777" w:rsidR="00A77B3E" w:rsidRPr="00800D1B" w:rsidRDefault="00623E14" w:rsidP="00A26CDD">
            <w:pPr>
              <w:spacing w:before="100" w:after="100"/>
              <w:ind w:left="-72"/>
              <w:jc w:val="center"/>
              <w:rPr>
                <w:color w:val="000000"/>
                <w:sz w:val="20"/>
                <w:lang w:val="sv-SE"/>
              </w:rPr>
            </w:pPr>
            <w:r w:rsidRPr="00800D1B">
              <w:rPr>
                <w:color w:val="000000"/>
                <w:sz w:val="20"/>
                <w:lang w:val="sv-SE"/>
              </w:rPr>
              <w:t>Ja</w:t>
            </w:r>
          </w:p>
        </w:tc>
        <w:tc>
          <w:tcPr>
            <w:tcW w:w="3400" w:type="dxa"/>
          </w:tcPr>
          <w:p w14:paraId="2D066A54" w14:textId="77777777" w:rsidR="00A77B3E" w:rsidRPr="00800D1B" w:rsidRDefault="00623E14" w:rsidP="00A26CDD">
            <w:pPr>
              <w:spacing w:before="100" w:after="100"/>
              <w:ind w:left="-72"/>
              <w:rPr>
                <w:color w:val="000000"/>
                <w:sz w:val="20"/>
                <w:lang w:val="sv-SE"/>
              </w:rPr>
            </w:pPr>
            <w:r w:rsidRPr="00800D1B">
              <w:rPr>
                <w:color w:val="000000"/>
                <w:sz w:val="20"/>
                <w:lang w:val="sv-SE"/>
              </w:rPr>
              <w:t xml:space="preserve">Norrbottens Smart specialisering strategi </w:t>
            </w:r>
          </w:p>
          <w:p w14:paraId="2D066A55" w14:textId="030088B3" w:rsidR="00A77B3E" w:rsidRPr="00800D1B" w:rsidRDefault="00000000" w:rsidP="00A26CDD">
            <w:pPr>
              <w:spacing w:before="100" w:after="100"/>
              <w:ind w:left="-72"/>
              <w:rPr>
                <w:color w:val="000000"/>
                <w:sz w:val="20"/>
                <w:lang w:val="sv-SE"/>
              </w:rPr>
            </w:pPr>
            <w:hyperlink r:id="rId63" w:history="1">
              <w:r w:rsidR="00623E14" w:rsidRPr="00800D1B">
                <w:rPr>
                  <w:rStyle w:val="Hyperlnk"/>
                  <w:sz w:val="20"/>
                  <w:lang w:val="sv-SE"/>
                </w:rPr>
                <w:t>https://utvecklanorrbotten.se/publikationer/</w:t>
              </w:r>
            </w:hyperlink>
          </w:p>
          <w:p w14:paraId="2D066A57" w14:textId="2B769B7B" w:rsidR="00A77B3E" w:rsidRPr="00800D1B" w:rsidRDefault="00623E14" w:rsidP="00B55BCE">
            <w:pPr>
              <w:spacing w:before="360" w:after="100"/>
              <w:ind w:left="-72"/>
              <w:rPr>
                <w:color w:val="000000"/>
                <w:sz w:val="20"/>
                <w:lang w:val="sv-SE"/>
              </w:rPr>
            </w:pPr>
            <w:r w:rsidRPr="00800D1B">
              <w:rPr>
                <w:color w:val="000000"/>
                <w:sz w:val="20"/>
                <w:lang w:val="sv-SE"/>
              </w:rPr>
              <w:t>Region Västerbottens innovationsstrategi</w:t>
            </w:r>
            <w:r w:rsidR="00CF74CB" w:rsidRPr="00800D1B">
              <w:rPr>
                <w:color w:val="000000"/>
                <w:sz w:val="20"/>
                <w:lang w:val="sv-SE"/>
              </w:rPr>
              <w:t xml:space="preserve"> </w:t>
            </w:r>
          </w:p>
          <w:p w14:paraId="2D066A58" w14:textId="146CE1F7" w:rsidR="00A77B3E" w:rsidRPr="00800D1B" w:rsidRDefault="00000000" w:rsidP="00A26CDD">
            <w:pPr>
              <w:spacing w:before="100" w:after="100"/>
              <w:ind w:left="-72"/>
              <w:rPr>
                <w:color w:val="000000"/>
                <w:sz w:val="20"/>
                <w:lang w:val="sv-SE"/>
              </w:rPr>
            </w:pPr>
            <w:hyperlink r:id="rId64" w:history="1">
              <w:r w:rsidR="00623E14" w:rsidRPr="00800D1B">
                <w:rPr>
                  <w:rStyle w:val="Hyperlnk"/>
                  <w:sz w:val="20"/>
                  <w:lang w:val="sv-SE"/>
                </w:rPr>
                <w:t>https://regionvasterbotten.se/VLL/Filer/RIS_V%C3%A4sterbotten%202022-2030.pdf</w:t>
              </w:r>
            </w:hyperlink>
          </w:p>
          <w:p w14:paraId="2D066A5A" w14:textId="58B65DFC" w:rsidR="00A77B3E" w:rsidRPr="00800D1B" w:rsidRDefault="00623E14" w:rsidP="00B55BCE">
            <w:pPr>
              <w:spacing w:before="360" w:after="100"/>
              <w:ind w:left="-72"/>
              <w:rPr>
                <w:color w:val="000000"/>
                <w:sz w:val="20"/>
                <w:lang w:val="sv-SE"/>
              </w:rPr>
            </w:pPr>
            <w:r w:rsidRPr="00800D1B">
              <w:rPr>
                <w:color w:val="000000"/>
                <w:sz w:val="20"/>
                <w:lang w:val="sv-SE"/>
              </w:rPr>
              <w:t>OECD-analys av gruvnäringen i Övre Norrland</w:t>
            </w:r>
            <w:r w:rsidR="00CF74CB" w:rsidRPr="00800D1B">
              <w:rPr>
                <w:color w:val="000000"/>
                <w:sz w:val="20"/>
                <w:lang w:val="sv-SE"/>
              </w:rPr>
              <w:t xml:space="preserve"> </w:t>
            </w:r>
            <w:hyperlink r:id="rId65" w:anchor="page1" w:history="1">
              <w:r w:rsidRPr="00800D1B">
                <w:rPr>
                  <w:rStyle w:val="Hyperlnk"/>
                  <w:sz w:val="20"/>
                  <w:lang w:val="sv-SE"/>
                </w:rPr>
                <w:t>https://read.oecd-ilibrary.org/urban-rural-and-regional-development/mining-regions-and-cities-case-of-vasterbotten-and-norrbotten-sweden_802087e2-en#page1</w:t>
              </w:r>
            </w:hyperlink>
          </w:p>
          <w:p w14:paraId="2D066A5D" w14:textId="2D70CC75" w:rsidR="00A77B3E" w:rsidRPr="00800D1B" w:rsidRDefault="00623E14" w:rsidP="00A26CDD">
            <w:pPr>
              <w:spacing w:before="100" w:after="100"/>
              <w:ind w:left="-72"/>
              <w:rPr>
                <w:color w:val="000000"/>
                <w:sz w:val="20"/>
                <w:lang w:val="sv-SE"/>
              </w:rPr>
            </w:pPr>
            <w:r w:rsidRPr="00800D1B">
              <w:rPr>
                <w:color w:val="000000"/>
                <w:sz w:val="20"/>
                <w:lang w:val="sv-SE"/>
              </w:rPr>
              <w:t xml:space="preserve">OECD-analys Cirkulär ekonomi för Västerbotten </w:t>
            </w:r>
          </w:p>
        </w:tc>
        <w:tc>
          <w:tcPr>
            <w:tcW w:w="3400" w:type="dxa"/>
          </w:tcPr>
          <w:p w14:paraId="2D066A5E" w14:textId="77777777" w:rsidR="00A77B3E" w:rsidRPr="00800D1B" w:rsidRDefault="00623E14" w:rsidP="00A26CDD">
            <w:pPr>
              <w:spacing w:before="100" w:after="100"/>
              <w:ind w:left="-72"/>
              <w:rPr>
                <w:color w:val="000000"/>
                <w:sz w:val="20"/>
                <w:lang w:val="sv-SE"/>
              </w:rPr>
            </w:pPr>
            <w:r w:rsidRPr="00800D1B">
              <w:rPr>
                <w:color w:val="000000"/>
                <w:sz w:val="20"/>
                <w:lang w:val="sv-SE"/>
              </w:rPr>
              <w:t>Satsningar på industriell omvandling i ÖN speglar på ett tydligt sätt, att hantera den industriella omvandlingen, är en av ÖN:s utmaningar som ÖN har. Utvecklingen sker i alla näringsgrenar, som är kopplat till effekterna av den digitala tekniken och globaliseringen. Både traditionella sektorer och framväxande sektorer inom den gröna omställningen och kunskapsbaserade branscher kommer att behöva utveckla strategier för att anpassa sig till och hantera förändringar med hållbar teknik samt med omskolning för att möta de utmaningar som Industri 4.0 medför. ÖN behöver då bygga ihop innovationssystemen genom att förbättra forsknings- och innovationskapaciteten, så krävs det ett bättre nyttjande av avancerad teknik. Stor företagen inom skog, energi och gruv- och stålindustrin leder och driver den gröna omställningen. De ställer i sin tur krav på sina underleverantörer (SMF) att göra detsamma, men många av SMF har låg digital kompetens och/eller kapacitet att ta till sig ny teknologi. Då är det viktigt att stärka utvecklingen kring forsknings och invasionsmiljöerna, men också viktigt att SMF investerar mer i FoU.</w:t>
            </w:r>
          </w:p>
        </w:tc>
      </w:tr>
      <w:tr w:rsidR="003422DB" w:rsidRPr="00BD3045" w14:paraId="2D066A79" w14:textId="77777777" w:rsidTr="00A26CDD">
        <w:tc>
          <w:tcPr>
            <w:tcW w:w="1600" w:type="dxa"/>
            <w:vMerge/>
          </w:tcPr>
          <w:p w14:paraId="2D066A60" w14:textId="77777777" w:rsidR="00A77B3E" w:rsidRPr="00800D1B" w:rsidRDefault="00A77B3E" w:rsidP="00A26CDD">
            <w:pPr>
              <w:spacing w:before="100" w:after="100"/>
              <w:ind w:left="-72"/>
              <w:rPr>
                <w:color w:val="000000"/>
                <w:sz w:val="20"/>
                <w:lang w:val="sv-SE"/>
              </w:rPr>
            </w:pPr>
          </w:p>
        </w:tc>
        <w:tc>
          <w:tcPr>
            <w:tcW w:w="800" w:type="dxa"/>
            <w:vMerge/>
          </w:tcPr>
          <w:p w14:paraId="2D066A61" w14:textId="77777777" w:rsidR="00A77B3E" w:rsidRPr="00800D1B" w:rsidRDefault="00A77B3E" w:rsidP="00A26CDD">
            <w:pPr>
              <w:spacing w:before="100" w:after="100"/>
              <w:ind w:left="-72"/>
              <w:rPr>
                <w:color w:val="000000"/>
                <w:sz w:val="20"/>
                <w:lang w:val="sv-SE"/>
              </w:rPr>
            </w:pPr>
          </w:p>
        </w:tc>
        <w:tc>
          <w:tcPr>
            <w:tcW w:w="1600" w:type="dxa"/>
            <w:vMerge/>
          </w:tcPr>
          <w:p w14:paraId="2D066A62" w14:textId="77777777" w:rsidR="00A77B3E" w:rsidRPr="00800D1B" w:rsidRDefault="00A77B3E" w:rsidP="00A26CDD">
            <w:pPr>
              <w:spacing w:before="100" w:after="100"/>
              <w:ind w:left="-72"/>
              <w:rPr>
                <w:color w:val="000000"/>
                <w:sz w:val="20"/>
                <w:lang w:val="sv-SE"/>
              </w:rPr>
            </w:pPr>
          </w:p>
        </w:tc>
        <w:tc>
          <w:tcPr>
            <w:tcW w:w="1000" w:type="dxa"/>
            <w:vMerge/>
          </w:tcPr>
          <w:p w14:paraId="2D066A63" w14:textId="77777777" w:rsidR="00A77B3E" w:rsidRPr="00800D1B" w:rsidRDefault="00A77B3E" w:rsidP="00A26CDD">
            <w:pPr>
              <w:spacing w:before="100" w:after="100"/>
              <w:ind w:left="-72"/>
              <w:rPr>
                <w:color w:val="000000"/>
                <w:sz w:val="20"/>
                <w:lang w:val="sv-SE"/>
              </w:rPr>
            </w:pPr>
          </w:p>
        </w:tc>
        <w:tc>
          <w:tcPr>
            <w:tcW w:w="2800" w:type="dxa"/>
          </w:tcPr>
          <w:p w14:paraId="2D066A64" w14:textId="2579F121" w:rsidR="00A77B3E" w:rsidRPr="00800D1B" w:rsidRDefault="00623E14">
            <w:pPr>
              <w:pStyle w:val="Liststycke"/>
              <w:numPr>
                <w:ilvl w:val="0"/>
                <w:numId w:val="81"/>
              </w:numPr>
              <w:tabs>
                <w:tab w:val="left" w:pos="151"/>
              </w:tabs>
              <w:spacing w:before="100" w:after="100"/>
              <w:ind w:left="-72" w:hanging="29"/>
              <w:rPr>
                <w:color w:val="000000"/>
                <w:sz w:val="20"/>
                <w:lang w:val="sv-SE"/>
              </w:rPr>
            </w:pPr>
            <w:r w:rsidRPr="00800D1B">
              <w:rPr>
                <w:color w:val="000000"/>
                <w:sz w:val="20"/>
                <w:lang w:val="sv-SE"/>
              </w:rPr>
              <w:t>Åtgärder för att stärka samarbetet med partner utanför en viss medlemsstat på prioriterade områden som stöds av strategin för smart specialisering.</w:t>
            </w:r>
          </w:p>
        </w:tc>
        <w:tc>
          <w:tcPr>
            <w:tcW w:w="1000" w:type="dxa"/>
          </w:tcPr>
          <w:p w14:paraId="2D066A65" w14:textId="77777777" w:rsidR="00A77B3E" w:rsidRPr="00800D1B" w:rsidRDefault="00623E14" w:rsidP="00A26CDD">
            <w:pPr>
              <w:spacing w:before="100" w:after="100"/>
              <w:ind w:left="-72"/>
              <w:jc w:val="center"/>
              <w:rPr>
                <w:color w:val="000000"/>
                <w:sz w:val="20"/>
                <w:lang w:val="sv-SE"/>
              </w:rPr>
            </w:pPr>
            <w:r w:rsidRPr="00800D1B">
              <w:rPr>
                <w:color w:val="000000"/>
                <w:sz w:val="20"/>
                <w:lang w:val="sv-SE"/>
              </w:rPr>
              <w:t>Ja</w:t>
            </w:r>
          </w:p>
        </w:tc>
        <w:tc>
          <w:tcPr>
            <w:tcW w:w="3400" w:type="dxa"/>
          </w:tcPr>
          <w:p w14:paraId="2D066A66" w14:textId="77777777" w:rsidR="00A77B3E" w:rsidRPr="00800D1B" w:rsidRDefault="00623E14" w:rsidP="00A26CDD">
            <w:pPr>
              <w:spacing w:before="100" w:after="100"/>
              <w:ind w:left="-72"/>
              <w:rPr>
                <w:color w:val="000000"/>
                <w:sz w:val="20"/>
                <w:lang w:val="sv-SE"/>
              </w:rPr>
            </w:pPr>
            <w:r w:rsidRPr="00800D1B">
              <w:rPr>
                <w:color w:val="000000"/>
                <w:sz w:val="20"/>
                <w:lang w:val="sv-SE"/>
              </w:rPr>
              <w:t xml:space="preserve">Norrbottens Smart specialisering strategi </w:t>
            </w:r>
          </w:p>
          <w:p w14:paraId="2D066A67" w14:textId="206F87DC" w:rsidR="00A77B3E" w:rsidRPr="00800D1B" w:rsidRDefault="00000000" w:rsidP="00A26CDD">
            <w:pPr>
              <w:spacing w:before="100" w:after="100"/>
              <w:ind w:left="-72"/>
              <w:rPr>
                <w:color w:val="000000"/>
                <w:sz w:val="20"/>
                <w:lang w:val="sv-SE"/>
              </w:rPr>
            </w:pPr>
            <w:hyperlink r:id="rId66" w:history="1">
              <w:r w:rsidR="00623E14" w:rsidRPr="00800D1B">
                <w:rPr>
                  <w:rStyle w:val="Hyperlnk"/>
                  <w:sz w:val="20"/>
                  <w:lang w:val="sv-SE"/>
                </w:rPr>
                <w:t>https://utvecklanorrbotten.se/publikationer/</w:t>
              </w:r>
            </w:hyperlink>
          </w:p>
          <w:p w14:paraId="2D066A69" w14:textId="6E4CD1E7" w:rsidR="00A77B3E" w:rsidRPr="00800D1B" w:rsidRDefault="00623E14" w:rsidP="00B55BCE">
            <w:pPr>
              <w:spacing w:before="360" w:after="100"/>
              <w:ind w:left="-72"/>
              <w:rPr>
                <w:color w:val="000000"/>
                <w:sz w:val="20"/>
                <w:lang w:val="sv-SE"/>
              </w:rPr>
            </w:pPr>
            <w:r w:rsidRPr="00800D1B">
              <w:rPr>
                <w:color w:val="000000"/>
                <w:sz w:val="20"/>
                <w:lang w:val="sv-SE"/>
              </w:rPr>
              <w:t>Region Västerbottens innovationsstrategi</w:t>
            </w:r>
            <w:r w:rsidR="00CF74CB" w:rsidRPr="00800D1B">
              <w:rPr>
                <w:color w:val="000000"/>
                <w:sz w:val="20"/>
                <w:lang w:val="sv-SE"/>
              </w:rPr>
              <w:t xml:space="preserve"> </w:t>
            </w:r>
          </w:p>
          <w:p w14:paraId="2D066A6A" w14:textId="594FE4AE" w:rsidR="00A77B3E" w:rsidRPr="00800D1B" w:rsidRDefault="00000000" w:rsidP="00A26CDD">
            <w:pPr>
              <w:spacing w:before="100" w:after="100"/>
              <w:ind w:left="-72"/>
              <w:rPr>
                <w:color w:val="000000"/>
                <w:sz w:val="20"/>
                <w:lang w:val="sv-SE"/>
              </w:rPr>
            </w:pPr>
            <w:hyperlink r:id="rId67" w:history="1">
              <w:r w:rsidR="00623E14" w:rsidRPr="00800D1B">
                <w:rPr>
                  <w:rStyle w:val="Hyperlnk"/>
                  <w:sz w:val="20"/>
                  <w:lang w:val="sv-SE"/>
                </w:rPr>
                <w:t>https://regionvasterbotten.se/VLL/Filer/RIS_V%C3%A4sterbotten%202022-2030.pdf</w:t>
              </w:r>
            </w:hyperlink>
          </w:p>
          <w:p w14:paraId="2D066A6C" w14:textId="2AB51C92" w:rsidR="00A77B3E" w:rsidRPr="00800D1B" w:rsidRDefault="00000000" w:rsidP="00B55BCE">
            <w:pPr>
              <w:spacing w:before="300" w:after="100"/>
              <w:ind w:left="-72"/>
              <w:rPr>
                <w:color w:val="000000"/>
                <w:sz w:val="20"/>
                <w:lang w:val="sv-SE"/>
              </w:rPr>
            </w:pPr>
            <w:hyperlink r:id="rId68" w:history="1">
              <w:r w:rsidR="00C748E2" w:rsidRPr="00800D1B">
                <w:rPr>
                  <w:rStyle w:val="Hyperlnk"/>
                  <w:sz w:val="20"/>
                  <w:lang w:val="sv-SE"/>
                </w:rPr>
                <w:t>https://www.lars-project.eu/</w:t>
              </w:r>
            </w:hyperlink>
          </w:p>
          <w:p w14:paraId="2D066A6D" w14:textId="77994611" w:rsidR="00A77B3E" w:rsidRPr="00800D1B" w:rsidRDefault="00000000" w:rsidP="00A26CDD">
            <w:pPr>
              <w:spacing w:before="100" w:after="100"/>
              <w:ind w:left="-72"/>
              <w:rPr>
                <w:color w:val="000000"/>
                <w:sz w:val="20"/>
                <w:lang w:val="sv-SE"/>
              </w:rPr>
            </w:pPr>
            <w:hyperlink r:id="rId69" w:history="1">
              <w:r w:rsidR="00623E14" w:rsidRPr="00800D1B">
                <w:rPr>
                  <w:rStyle w:val="Hyperlnk"/>
                  <w:sz w:val="20"/>
                  <w:lang w:val="sv-SE"/>
                </w:rPr>
                <w:t>https://aer.eu/governance-structure/the-thematic-committees/com1-economy-regional-development/</w:t>
              </w:r>
            </w:hyperlink>
          </w:p>
          <w:p w14:paraId="2D066A6F" w14:textId="4D91D3DD" w:rsidR="00A77B3E" w:rsidRPr="00800D1B" w:rsidRDefault="00000000" w:rsidP="00B55BCE">
            <w:pPr>
              <w:spacing w:before="300" w:after="100"/>
              <w:ind w:left="-72"/>
              <w:rPr>
                <w:color w:val="000000"/>
                <w:sz w:val="20"/>
                <w:lang w:val="sv-SE"/>
              </w:rPr>
            </w:pPr>
            <w:hyperlink r:id="rId70" w:history="1">
              <w:r w:rsidR="00C748E2" w:rsidRPr="00800D1B">
                <w:rPr>
                  <w:rStyle w:val="Hyperlnk"/>
                  <w:sz w:val="20"/>
                  <w:lang w:val="sv-SE"/>
                </w:rPr>
                <w:t>http://www.nspa-network.eu/</w:t>
              </w:r>
            </w:hyperlink>
          </w:p>
          <w:p w14:paraId="2D066A71" w14:textId="6F17F659" w:rsidR="00A77B3E" w:rsidRPr="00800D1B" w:rsidRDefault="00000000" w:rsidP="00B55BCE">
            <w:pPr>
              <w:spacing w:before="300" w:after="100"/>
              <w:ind w:left="-72"/>
              <w:rPr>
                <w:color w:val="000000"/>
                <w:sz w:val="20"/>
                <w:lang w:val="sv-SE"/>
              </w:rPr>
            </w:pPr>
            <w:hyperlink r:id="rId71" w:history="1">
              <w:r w:rsidR="00C748E2" w:rsidRPr="00800D1B">
                <w:rPr>
                  <w:rStyle w:val="Hyperlnk"/>
                  <w:sz w:val="20"/>
                  <w:lang w:val="sv-SE"/>
                </w:rPr>
                <w:t>https://nordkalottradet.org/</w:t>
              </w:r>
            </w:hyperlink>
          </w:p>
          <w:p w14:paraId="2D066A74" w14:textId="507EB7DE" w:rsidR="00A77B3E" w:rsidRPr="00BD3045" w:rsidRDefault="00623E14" w:rsidP="00A26CDD">
            <w:pPr>
              <w:spacing w:before="100" w:after="100"/>
              <w:ind w:left="-72"/>
              <w:rPr>
                <w:color w:val="000000"/>
                <w:sz w:val="20"/>
              </w:rPr>
            </w:pPr>
            <w:r w:rsidRPr="00800D1B">
              <w:rPr>
                <w:color w:val="000000"/>
                <w:sz w:val="20"/>
                <w:lang w:val="sv-SE"/>
              </w:rPr>
              <w:t xml:space="preserve">Paulsson, David, 2019. </w:t>
            </w:r>
            <w:r w:rsidRPr="00BD3045">
              <w:rPr>
                <w:color w:val="000000"/>
                <w:sz w:val="20"/>
              </w:rPr>
              <w:t xml:space="preserve">“Report on the implementation of smart specialisation in Sweden – independent expert report.” </w:t>
            </w:r>
          </w:p>
        </w:tc>
        <w:tc>
          <w:tcPr>
            <w:tcW w:w="3400" w:type="dxa"/>
          </w:tcPr>
          <w:p w14:paraId="2D066A75" w14:textId="77777777" w:rsidR="00A77B3E" w:rsidRPr="00800D1B" w:rsidRDefault="00623E14" w:rsidP="00A26CDD">
            <w:pPr>
              <w:spacing w:before="100" w:after="100"/>
              <w:ind w:left="-72"/>
              <w:rPr>
                <w:color w:val="000000"/>
                <w:sz w:val="20"/>
                <w:lang w:val="sv-SE"/>
              </w:rPr>
            </w:pPr>
            <w:r w:rsidRPr="00800D1B">
              <w:rPr>
                <w:color w:val="000000"/>
                <w:sz w:val="20"/>
                <w:lang w:val="sv-SE"/>
              </w:rPr>
              <w:t>ÖN har betydande internationellt samarbete med aktörer inom flera olika områden i EU-kommissionens olika tematiska S3 plattformar. vilket inkluderar ÖN:s innovationsnoder, är kopplade till prioriterade områden för S3 samt övriga delar av det företags- och innovationsfrämjande systemet med därtill knutna SMF.</w:t>
            </w:r>
          </w:p>
          <w:p w14:paraId="2D066A76" w14:textId="77777777" w:rsidR="00A77B3E" w:rsidRPr="00800D1B" w:rsidRDefault="00623E14" w:rsidP="00A26CDD">
            <w:pPr>
              <w:spacing w:before="100" w:after="100"/>
              <w:ind w:left="-72"/>
              <w:rPr>
                <w:color w:val="000000"/>
                <w:sz w:val="20"/>
                <w:lang w:val="sv-SE"/>
              </w:rPr>
            </w:pPr>
            <w:r w:rsidRPr="00800D1B">
              <w:rPr>
                <w:color w:val="000000"/>
                <w:sz w:val="20"/>
                <w:lang w:val="sv-SE"/>
              </w:rPr>
              <w:t>ÖN har också pågående internationellt samarbete, regionerna kommer också som ansvarig regional aktör för förvaltningen av S3 att ta en utvecklande roll i detta. Det kommer att ske t.ex. genom nya internationella insatser via innovationsnoderna och på egen hand, Horizon Europé och S3-plattformarna är exempel på detta. Deltagande och kapacitetsbyggande för deltagande i de internationella plattformarna som nämns ovan kommer att stödjas av Eruf och uppmuntras av Regionerna i implementeringen av S3.</w:t>
            </w:r>
          </w:p>
          <w:p w14:paraId="2D066A78" w14:textId="625C1B1B" w:rsidR="00A77B3E" w:rsidRPr="00800D1B" w:rsidRDefault="00623E14" w:rsidP="00977927">
            <w:pPr>
              <w:spacing w:before="100" w:after="360"/>
              <w:ind w:left="-72"/>
              <w:rPr>
                <w:color w:val="000000"/>
                <w:sz w:val="20"/>
                <w:lang w:val="sv-SE"/>
              </w:rPr>
            </w:pPr>
            <w:r w:rsidRPr="00800D1B">
              <w:rPr>
                <w:color w:val="000000"/>
                <w:sz w:val="20"/>
                <w:lang w:val="sv-SE"/>
              </w:rPr>
              <w:t>Regionerna och andra aktörer i ÖN arbetar systematiskt också med utländska motsvarigheter och har många aktiva samarbeten t.ex. inom Northern Sparsely Populated Areas (NSPA), Nordkalottrådet, Kvarkenrådet och Interreg-programmen.</w:t>
            </w:r>
          </w:p>
        </w:tc>
      </w:tr>
      <w:tr w:rsidR="003422DB" w:rsidRPr="00BD3045" w14:paraId="2D066A94" w14:textId="77777777" w:rsidTr="00A26CDD">
        <w:tc>
          <w:tcPr>
            <w:tcW w:w="1600" w:type="dxa"/>
            <w:vMerge w:val="restart"/>
          </w:tcPr>
          <w:p w14:paraId="2D066A7A" w14:textId="57ECB43D" w:rsidR="00A77B3E" w:rsidRPr="00800D1B" w:rsidRDefault="00F72F8F">
            <w:pPr>
              <w:pStyle w:val="Liststycke"/>
              <w:numPr>
                <w:ilvl w:val="0"/>
                <w:numId w:val="72"/>
              </w:numPr>
              <w:tabs>
                <w:tab w:val="left" w:pos="300"/>
              </w:tabs>
              <w:spacing w:before="100" w:after="100"/>
              <w:ind w:left="-72" w:firstLine="0"/>
              <w:rPr>
                <w:color w:val="000000"/>
                <w:sz w:val="20"/>
                <w:lang w:val="sv-SE"/>
              </w:rPr>
            </w:pPr>
            <w:r w:rsidRPr="00800D1B">
              <w:rPr>
                <w:color w:val="000000"/>
                <w:sz w:val="20"/>
                <w:lang w:val="sv-SE"/>
              </w:rPr>
              <w:t xml:space="preserve"> </w:t>
            </w:r>
            <w:r w:rsidR="00623E14" w:rsidRPr="00800D1B">
              <w:rPr>
                <w:color w:val="000000"/>
                <w:sz w:val="20"/>
                <w:lang w:val="sv-SE"/>
              </w:rPr>
              <w:t>Nationell eller regional bredbandsplan</w:t>
            </w:r>
          </w:p>
        </w:tc>
        <w:tc>
          <w:tcPr>
            <w:tcW w:w="800" w:type="dxa"/>
            <w:vMerge w:val="restart"/>
          </w:tcPr>
          <w:p w14:paraId="2D066A7D" w14:textId="076C790A" w:rsidR="00A77B3E" w:rsidRPr="00800D1B" w:rsidRDefault="00623E14" w:rsidP="00A52AEE">
            <w:pPr>
              <w:spacing w:before="120" w:after="100"/>
              <w:ind w:left="-72"/>
              <w:rPr>
                <w:color w:val="000000"/>
                <w:sz w:val="20"/>
                <w:lang w:val="sv-SE"/>
              </w:rPr>
            </w:pPr>
            <w:r w:rsidRPr="00800D1B">
              <w:rPr>
                <w:color w:val="000000"/>
                <w:sz w:val="20"/>
                <w:szCs w:val="20"/>
                <w:lang w:val="sv-SE"/>
              </w:rPr>
              <w:t>Eruf</w:t>
            </w:r>
          </w:p>
        </w:tc>
        <w:tc>
          <w:tcPr>
            <w:tcW w:w="1600" w:type="dxa"/>
            <w:vMerge w:val="restart"/>
          </w:tcPr>
          <w:p w14:paraId="2D066A80" w14:textId="0552B776" w:rsidR="00A77B3E" w:rsidRPr="00800D1B" w:rsidRDefault="00623E14" w:rsidP="00A52AEE">
            <w:pPr>
              <w:spacing w:before="120" w:after="100"/>
              <w:ind w:left="-72"/>
              <w:rPr>
                <w:color w:val="000000"/>
                <w:sz w:val="20"/>
                <w:lang w:val="sv-SE"/>
              </w:rPr>
            </w:pPr>
            <w:r w:rsidRPr="00800D1B">
              <w:rPr>
                <w:color w:val="000000"/>
                <w:sz w:val="20"/>
                <w:szCs w:val="20"/>
                <w:lang w:val="sv-SE"/>
              </w:rPr>
              <w:t>RSO1.5. Förbättra den digitala konnektiviteten</w:t>
            </w:r>
          </w:p>
        </w:tc>
        <w:tc>
          <w:tcPr>
            <w:tcW w:w="1000" w:type="dxa"/>
            <w:vMerge w:val="restart"/>
          </w:tcPr>
          <w:p w14:paraId="2D066A81" w14:textId="77777777" w:rsidR="00A77B3E" w:rsidRPr="00800D1B" w:rsidRDefault="00623E14" w:rsidP="00A26CDD">
            <w:pPr>
              <w:spacing w:before="100" w:after="100"/>
              <w:ind w:left="-72"/>
              <w:jc w:val="center"/>
              <w:rPr>
                <w:color w:val="000000"/>
                <w:sz w:val="20"/>
                <w:lang w:val="sv-SE"/>
              </w:rPr>
            </w:pPr>
            <w:r w:rsidRPr="00800D1B">
              <w:rPr>
                <w:color w:val="000000"/>
                <w:sz w:val="20"/>
                <w:lang w:val="sv-SE"/>
              </w:rPr>
              <w:t>Ja</w:t>
            </w:r>
          </w:p>
        </w:tc>
        <w:tc>
          <w:tcPr>
            <w:tcW w:w="2800" w:type="dxa"/>
          </w:tcPr>
          <w:p w14:paraId="54BEADBA" w14:textId="77777777" w:rsidR="00B51E31" w:rsidRPr="00800D1B" w:rsidRDefault="00623E14" w:rsidP="00A26CDD">
            <w:pPr>
              <w:spacing w:before="100" w:after="100"/>
              <w:ind w:left="-72"/>
              <w:rPr>
                <w:color w:val="000000"/>
                <w:sz w:val="20"/>
                <w:lang w:val="sv-SE"/>
              </w:rPr>
            </w:pPr>
            <w:r w:rsidRPr="00800D1B">
              <w:rPr>
                <w:color w:val="000000"/>
                <w:sz w:val="20"/>
                <w:lang w:val="sv-SE"/>
              </w:rPr>
              <w:t>En nationell eller regional bredbandsplan finns som inkluderar följande:</w:t>
            </w:r>
          </w:p>
          <w:p w14:paraId="2D066A82" w14:textId="1ED49C02" w:rsidR="00A77B3E" w:rsidRPr="00800D1B" w:rsidRDefault="00623E14">
            <w:pPr>
              <w:pStyle w:val="Liststycke"/>
              <w:numPr>
                <w:ilvl w:val="0"/>
                <w:numId w:val="82"/>
              </w:numPr>
              <w:tabs>
                <w:tab w:val="left" w:pos="151"/>
              </w:tabs>
              <w:spacing w:before="100" w:after="100"/>
              <w:ind w:left="-72" w:hanging="29"/>
              <w:rPr>
                <w:color w:val="000000"/>
                <w:sz w:val="20"/>
                <w:lang w:val="sv-SE"/>
              </w:rPr>
            </w:pPr>
            <w:r w:rsidRPr="00800D1B">
              <w:rPr>
                <w:color w:val="000000"/>
                <w:sz w:val="20"/>
                <w:lang w:val="sv-SE"/>
              </w:rPr>
              <w:t>En bedömning av det investeringsgap som måste överbryggas för att säkerställa att alla unionsmedborgare har tillgång till nät med mycket hög kapacitet på grundval ava) en nyligen utförd kartläggning av befintlig privat och offentlig infrastruktur och tjänstens kvalitet med hjälp av standardindikatorer för bredband, ochb) ett samråd om planerade investeringar i enlighet med kraven för statligt stöd.</w:t>
            </w:r>
          </w:p>
        </w:tc>
        <w:tc>
          <w:tcPr>
            <w:tcW w:w="1000" w:type="dxa"/>
          </w:tcPr>
          <w:p w14:paraId="2D066A83" w14:textId="77777777" w:rsidR="00A77B3E" w:rsidRPr="00800D1B" w:rsidRDefault="00623E14" w:rsidP="00A26CDD">
            <w:pPr>
              <w:spacing w:before="100" w:after="100"/>
              <w:ind w:left="-72"/>
              <w:jc w:val="center"/>
              <w:rPr>
                <w:color w:val="000000"/>
                <w:sz w:val="20"/>
                <w:lang w:val="sv-SE"/>
              </w:rPr>
            </w:pPr>
            <w:r w:rsidRPr="00800D1B">
              <w:rPr>
                <w:color w:val="000000"/>
                <w:sz w:val="20"/>
                <w:lang w:val="sv-SE"/>
              </w:rPr>
              <w:t>Ja</w:t>
            </w:r>
          </w:p>
        </w:tc>
        <w:tc>
          <w:tcPr>
            <w:tcW w:w="3400" w:type="dxa"/>
          </w:tcPr>
          <w:p w14:paraId="2D066A84" w14:textId="77777777" w:rsidR="00A77B3E" w:rsidRPr="00800D1B" w:rsidRDefault="00623E14" w:rsidP="00A26CDD">
            <w:pPr>
              <w:spacing w:before="100" w:after="100"/>
              <w:ind w:left="-72"/>
              <w:rPr>
                <w:color w:val="000000"/>
                <w:sz w:val="20"/>
                <w:lang w:val="sv-SE"/>
              </w:rPr>
            </w:pPr>
            <w:r w:rsidRPr="00800D1B">
              <w:rPr>
                <w:color w:val="000000"/>
                <w:sz w:val="20"/>
                <w:lang w:val="sv-SE"/>
              </w:rPr>
              <w:t xml:space="preserve">PTS mobiltäcknings- och bredbandskartläggning 2020 PTS-ER-2021:16 | PTS </w:t>
            </w:r>
          </w:p>
          <w:p w14:paraId="2D066A85" w14:textId="77777777" w:rsidR="00A77B3E" w:rsidRPr="00800D1B" w:rsidRDefault="00623E14" w:rsidP="00A26CDD">
            <w:pPr>
              <w:spacing w:before="100" w:after="100"/>
              <w:ind w:left="-72"/>
              <w:rPr>
                <w:color w:val="000000"/>
                <w:sz w:val="20"/>
                <w:lang w:val="sv-SE"/>
              </w:rPr>
            </w:pPr>
            <w:r w:rsidRPr="00800D1B">
              <w:rPr>
                <w:color w:val="000000"/>
                <w:sz w:val="20"/>
                <w:lang w:val="sv-SE"/>
              </w:rPr>
              <w:t xml:space="preserve">Nationell årlig bredbandskartläggning (PTS) </w:t>
            </w:r>
          </w:p>
          <w:p w14:paraId="2D066A88" w14:textId="4AEDD5B9" w:rsidR="00A77B3E" w:rsidRPr="00800D1B" w:rsidRDefault="00623E14" w:rsidP="00B55BCE">
            <w:pPr>
              <w:spacing w:before="480" w:after="100"/>
              <w:ind w:left="-72"/>
              <w:rPr>
                <w:color w:val="000000"/>
                <w:sz w:val="20"/>
                <w:lang w:val="sv-SE"/>
              </w:rPr>
            </w:pPr>
            <w:r w:rsidRPr="00800D1B">
              <w:rPr>
                <w:color w:val="000000"/>
                <w:sz w:val="20"/>
                <w:lang w:val="sv-SE"/>
              </w:rPr>
              <w:t>Nationell bredbandsstrategi: Sverige helt uppkopplat 2025 – en bredbandsstrategi </w:t>
            </w:r>
            <w:r w:rsidR="00CF74CB" w:rsidRPr="00800D1B">
              <w:rPr>
                <w:color w:val="000000"/>
                <w:sz w:val="20"/>
                <w:lang w:val="sv-SE"/>
              </w:rPr>
              <w:t xml:space="preserve"> </w:t>
            </w:r>
          </w:p>
          <w:p w14:paraId="2D066A8A" w14:textId="77777777" w:rsidR="00A77B3E" w:rsidRPr="00800D1B" w:rsidRDefault="00623E14" w:rsidP="00B55BCE">
            <w:pPr>
              <w:spacing w:before="480" w:after="100"/>
              <w:ind w:left="-72"/>
              <w:rPr>
                <w:color w:val="000000"/>
                <w:sz w:val="20"/>
                <w:lang w:val="sv-SE"/>
              </w:rPr>
            </w:pPr>
            <w:r w:rsidRPr="00800D1B">
              <w:rPr>
                <w:color w:val="000000"/>
                <w:sz w:val="20"/>
                <w:lang w:val="sv-SE"/>
              </w:rPr>
              <w:t xml:space="preserve">Digitala agendan för Norrbotten </w:t>
            </w:r>
          </w:p>
          <w:p w14:paraId="2D066A8D" w14:textId="7B29AA3D" w:rsidR="00A77B3E" w:rsidRPr="00800D1B" w:rsidRDefault="00623E14" w:rsidP="00B55BCE">
            <w:pPr>
              <w:spacing w:before="480" w:after="100"/>
              <w:ind w:left="-72"/>
              <w:rPr>
                <w:color w:val="000000"/>
                <w:sz w:val="20"/>
                <w:lang w:val="sv-SE"/>
              </w:rPr>
            </w:pPr>
            <w:r w:rsidRPr="00800D1B">
              <w:rPr>
                <w:color w:val="000000"/>
                <w:sz w:val="20"/>
                <w:lang w:val="sv-SE"/>
              </w:rPr>
              <w:t>Digitala Agendan för Västerbotten</w:t>
            </w:r>
            <w:r w:rsidR="00CF74CB" w:rsidRPr="00800D1B">
              <w:rPr>
                <w:color w:val="000000"/>
                <w:sz w:val="20"/>
                <w:lang w:val="sv-SE"/>
              </w:rPr>
              <w:t xml:space="preserve"> </w:t>
            </w:r>
          </w:p>
        </w:tc>
        <w:tc>
          <w:tcPr>
            <w:tcW w:w="3400" w:type="dxa"/>
          </w:tcPr>
          <w:p w14:paraId="2D066A8E" w14:textId="77777777" w:rsidR="00A77B3E" w:rsidRPr="00800D1B" w:rsidRDefault="00623E14" w:rsidP="00A26CDD">
            <w:pPr>
              <w:spacing w:before="100" w:after="100"/>
              <w:ind w:left="-72"/>
              <w:rPr>
                <w:color w:val="000000"/>
                <w:sz w:val="20"/>
                <w:lang w:val="sv-SE"/>
              </w:rPr>
            </w:pPr>
            <w:r w:rsidRPr="00800D1B">
              <w:rPr>
                <w:color w:val="000000"/>
                <w:sz w:val="20"/>
                <w:lang w:val="sv-SE"/>
              </w:rPr>
              <w:t xml:space="preserve">En nationell bredbandskartläggning genomförs varje år av Post- och telestyrelsen, PTS. </w:t>
            </w:r>
          </w:p>
          <w:p w14:paraId="2D066A8F" w14:textId="074074EA" w:rsidR="00A77B3E" w:rsidRPr="00800D1B" w:rsidRDefault="00623E14" w:rsidP="00A26CDD">
            <w:pPr>
              <w:spacing w:before="100" w:after="100"/>
              <w:ind w:left="-72"/>
              <w:rPr>
                <w:color w:val="000000"/>
                <w:sz w:val="20"/>
                <w:lang w:val="sv-SE"/>
              </w:rPr>
            </w:pPr>
            <w:r w:rsidRPr="00800D1B">
              <w:rPr>
                <w:color w:val="000000"/>
                <w:sz w:val="20"/>
                <w:lang w:val="sv-SE"/>
              </w:rPr>
              <w:t>PTS presenterar här fakta om tillgången till bredband i Sverige, dvs. olika tekniker, hastigheter, leverantörer, nätägare, strategier osv. Planerade investeringar görs årligen av politiken på regional och kommunal nivå.</w:t>
            </w:r>
            <w:r w:rsidR="00CF74CB" w:rsidRPr="00800D1B">
              <w:rPr>
                <w:color w:val="000000"/>
                <w:sz w:val="20"/>
                <w:lang w:val="sv-SE"/>
              </w:rPr>
              <w:t xml:space="preserve"> </w:t>
            </w:r>
          </w:p>
          <w:p w14:paraId="2D066A91" w14:textId="64695EE2" w:rsidR="00A77B3E" w:rsidRPr="00800D1B" w:rsidRDefault="00623E14" w:rsidP="00B55BCE">
            <w:pPr>
              <w:spacing w:before="360" w:after="100"/>
              <w:ind w:left="-72"/>
              <w:rPr>
                <w:color w:val="000000"/>
                <w:sz w:val="20"/>
                <w:lang w:val="sv-SE"/>
              </w:rPr>
            </w:pPr>
            <w:r w:rsidRPr="00800D1B">
              <w:rPr>
                <w:color w:val="000000"/>
                <w:sz w:val="20"/>
                <w:lang w:val="sv-SE"/>
              </w:rPr>
              <w:t>Regionerna Västerbotten och Norrbotten samordnar utbyggnaden av IT-infrastruktur i länens kommuner. Genom uppbyggnad av lokala nät och den genomförda uppgraderingen av AC-Net, ökar möjligheten att ansluta företag och organisationer till nätet.</w:t>
            </w:r>
            <w:r w:rsidR="00CF74CB" w:rsidRPr="00800D1B">
              <w:rPr>
                <w:color w:val="000000"/>
                <w:sz w:val="20"/>
                <w:lang w:val="sv-SE"/>
              </w:rPr>
              <w:t xml:space="preserve"> </w:t>
            </w:r>
          </w:p>
          <w:p w14:paraId="2D066A93" w14:textId="22C49480" w:rsidR="00A77B3E" w:rsidRPr="00800D1B" w:rsidRDefault="00623E14" w:rsidP="00B55BCE">
            <w:pPr>
              <w:spacing w:before="360" w:after="100"/>
              <w:ind w:left="-72"/>
              <w:rPr>
                <w:color w:val="000000"/>
                <w:sz w:val="20"/>
                <w:lang w:val="sv-SE"/>
              </w:rPr>
            </w:pPr>
            <w:r w:rsidRPr="00800D1B">
              <w:rPr>
                <w:color w:val="000000"/>
                <w:sz w:val="20"/>
                <w:lang w:val="sv-SE"/>
              </w:rPr>
              <w:t>Planerade investeringar prioriteras utifrån regioners/kommuners strategier så som Digitala Agendan för Västerbotten och en för Norrbotten. Investeringar för utbyggnad av bredband prioriteras varje år politiskt på kommunal och regional nivå.</w:t>
            </w:r>
            <w:r w:rsidR="00CF74CB" w:rsidRPr="00800D1B">
              <w:rPr>
                <w:color w:val="000000"/>
                <w:sz w:val="20"/>
                <w:lang w:val="sv-SE"/>
              </w:rPr>
              <w:t xml:space="preserve"> </w:t>
            </w:r>
            <w:r w:rsidRPr="00800D1B">
              <w:rPr>
                <w:color w:val="000000"/>
                <w:sz w:val="20"/>
                <w:lang w:val="sv-SE"/>
              </w:rPr>
              <w:t>De investeringar som framkommit i kartläggningen publiceras av Tillväxtverket för att ge samtliga aktörer minst en månad att anmäla existerande eller planerade bredbandsnät som når samma område eller att anmäla intresse för att bygga ut</w:t>
            </w:r>
            <w:r w:rsidR="00CF74CB" w:rsidRPr="00800D1B">
              <w:rPr>
                <w:color w:val="000000"/>
                <w:sz w:val="20"/>
                <w:lang w:val="sv-SE"/>
              </w:rPr>
              <w:t xml:space="preserve"> </w:t>
            </w:r>
            <w:r w:rsidRPr="00800D1B">
              <w:rPr>
                <w:color w:val="000000"/>
                <w:sz w:val="20"/>
                <w:lang w:val="sv-SE"/>
              </w:rPr>
              <w:t>den aktuella sträckan med hjälp av offentlig finansiering.</w:t>
            </w:r>
          </w:p>
        </w:tc>
      </w:tr>
      <w:tr w:rsidR="003422DB" w:rsidRPr="00BD3045" w14:paraId="2D066AAE" w14:textId="77777777" w:rsidTr="00A26CDD">
        <w:tc>
          <w:tcPr>
            <w:tcW w:w="1600" w:type="dxa"/>
            <w:vMerge/>
          </w:tcPr>
          <w:p w14:paraId="2D066A95" w14:textId="77777777" w:rsidR="00A77B3E" w:rsidRPr="00800D1B" w:rsidRDefault="00A77B3E" w:rsidP="00A26CDD">
            <w:pPr>
              <w:spacing w:before="100" w:after="100"/>
              <w:ind w:left="-72"/>
              <w:rPr>
                <w:color w:val="000000"/>
                <w:sz w:val="20"/>
                <w:lang w:val="sv-SE"/>
              </w:rPr>
            </w:pPr>
          </w:p>
        </w:tc>
        <w:tc>
          <w:tcPr>
            <w:tcW w:w="800" w:type="dxa"/>
            <w:vMerge/>
          </w:tcPr>
          <w:p w14:paraId="2D066A96" w14:textId="77777777" w:rsidR="00A77B3E" w:rsidRPr="00800D1B" w:rsidRDefault="00A77B3E" w:rsidP="00A26CDD">
            <w:pPr>
              <w:spacing w:before="100" w:after="100"/>
              <w:ind w:left="-72"/>
              <w:rPr>
                <w:color w:val="000000"/>
                <w:sz w:val="20"/>
                <w:lang w:val="sv-SE"/>
              </w:rPr>
            </w:pPr>
          </w:p>
        </w:tc>
        <w:tc>
          <w:tcPr>
            <w:tcW w:w="1600" w:type="dxa"/>
            <w:vMerge/>
          </w:tcPr>
          <w:p w14:paraId="2D066A97" w14:textId="77777777" w:rsidR="00A77B3E" w:rsidRPr="00800D1B" w:rsidRDefault="00A77B3E" w:rsidP="00A26CDD">
            <w:pPr>
              <w:spacing w:before="100" w:after="100"/>
              <w:ind w:left="-72"/>
              <w:rPr>
                <w:color w:val="000000"/>
                <w:sz w:val="20"/>
                <w:lang w:val="sv-SE"/>
              </w:rPr>
            </w:pPr>
          </w:p>
        </w:tc>
        <w:tc>
          <w:tcPr>
            <w:tcW w:w="1000" w:type="dxa"/>
            <w:vMerge/>
          </w:tcPr>
          <w:p w14:paraId="2D066A98" w14:textId="77777777" w:rsidR="00A77B3E" w:rsidRPr="00800D1B" w:rsidRDefault="00A77B3E" w:rsidP="00A26CDD">
            <w:pPr>
              <w:spacing w:before="100" w:after="100"/>
              <w:ind w:left="-72"/>
              <w:rPr>
                <w:color w:val="000000"/>
                <w:sz w:val="20"/>
                <w:lang w:val="sv-SE"/>
              </w:rPr>
            </w:pPr>
          </w:p>
        </w:tc>
        <w:tc>
          <w:tcPr>
            <w:tcW w:w="2800" w:type="dxa"/>
          </w:tcPr>
          <w:p w14:paraId="2D066A99" w14:textId="2970AE00" w:rsidR="00A77B3E" w:rsidRPr="00800D1B" w:rsidRDefault="00623E14">
            <w:pPr>
              <w:pStyle w:val="Liststycke"/>
              <w:numPr>
                <w:ilvl w:val="0"/>
                <w:numId w:val="82"/>
              </w:numPr>
              <w:tabs>
                <w:tab w:val="left" w:pos="151"/>
              </w:tabs>
              <w:spacing w:before="100" w:after="100"/>
              <w:ind w:left="-72" w:hanging="29"/>
              <w:rPr>
                <w:color w:val="000000"/>
                <w:sz w:val="20"/>
                <w:lang w:val="sv-SE"/>
              </w:rPr>
            </w:pPr>
            <w:r w:rsidRPr="00800D1B">
              <w:rPr>
                <w:color w:val="000000"/>
                <w:sz w:val="20"/>
                <w:lang w:val="sv-SE"/>
              </w:rPr>
              <w:t>En motivering för de planerade offentliga interventionerna på grundval av modeller för hållbara investeringar soma) ökar överkomligheten och tillgången till öppna och framtidssäkra infrastrukturer och tjänster av god kvalitet,b) anpassar formerna för finansiellt stöd till de marknadsmisslyckanden som identifieras,c) möjliggör en kompletterande användning av olika former av finansiering från unionen, nationella och regionala källor.</w:t>
            </w:r>
          </w:p>
        </w:tc>
        <w:tc>
          <w:tcPr>
            <w:tcW w:w="1000" w:type="dxa"/>
          </w:tcPr>
          <w:p w14:paraId="2D066A9A" w14:textId="77777777" w:rsidR="00A77B3E" w:rsidRPr="00800D1B" w:rsidRDefault="00623E14" w:rsidP="00A26CDD">
            <w:pPr>
              <w:spacing w:before="100" w:after="100"/>
              <w:ind w:left="-72"/>
              <w:jc w:val="center"/>
              <w:rPr>
                <w:color w:val="000000"/>
                <w:sz w:val="20"/>
                <w:lang w:val="sv-SE"/>
              </w:rPr>
            </w:pPr>
            <w:r w:rsidRPr="00800D1B">
              <w:rPr>
                <w:color w:val="000000"/>
                <w:sz w:val="20"/>
                <w:lang w:val="sv-SE"/>
              </w:rPr>
              <w:t>Ja</w:t>
            </w:r>
          </w:p>
        </w:tc>
        <w:tc>
          <w:tcPr>
            <w:tcW w:w="3400" w:type="dxa"/>
          </w:tcPr>
          <w:p w14:paraId="2D066A9B" w14:textId="77777777" w:rsidR="00A77B3E" w:rsidRPr="00800D1B" w:rsidRDefault="00623E14" w:rsidP="00A26CDD">
            <w:pPr>
              <w:spacing w:before="100" w:after="100"/>
              <w:ind w:left="-72"/>
              <w:rPr>
                <w:color w:val="000000"/>
                <w:sz w:val="20"/>
                <w:lang w:val="sv-SE"/>
              </w:rPr>
            </w:pPr>
            <w:r w:rsidRPr="00800D1B">
              <w:rPr>
                <w:color w:val="000000"/>
                <w:sz w:val="20"/>
                <w:lang w:val="sv-SE"/>
              </w:rPr>
              <w:t>Förordning (2007-951) med instruktion för Post- och telestyrelsen</w:t>
            </w:r>
          </w:p>
          <w:p w14:paraId="2D066A9D" w14:textId="3A72F77A" w:rsidR="00A77B3E" w:rsidRPr="00800D1B" w:rsidRDefault="00623E14">
            <w:pPr>
              <w:pStyle w:val="Liststycke"/>
              <w:numPr>
                <w:ilvl w:val="0"/>
                <w:numId w:val="98"/>
              </w:numPr>
              <w:tabs>
                <w:tab w:val="left" w:pos="226"/>
              </w:tabs>
              <w:spacing w:before="300" w:after="100"/>
              <w:ind w:left="288"/>
              <w:contextualSpacing w:val="0"/>
              <w:rPr>
                <w:color w:val="000000"/>
                <w:sz w:val="20"/>
                <w:lang w:val="sv-SE"/>
              </w:rPr>
            </w:pPr>
            <w:r w:rsidRPr="00800D1B">
              <w:rPr>
                <w:color w:val="000000"/>
                <w:sz w:val="20"/>
                <w:lang w:val="sv-SE"/>
              </w:rPr>
              <w:t>PTS mobiltäcknings- och bredbandskartläggning 2019</w:t>
            </w:r>
            <w:r w:rsidR="00CF74CB" w:rsidRPr="00800D1B">
              <w:rPr>
                <w:color w:val="000000"/>
                <w:sz w:val="20"/>
                <w:lang w:val="sv-SE"/>
              </w:rPr>
              <w:t xml:space="preserve"> </w:t>
            </w:r>
          </w:p>
          <w:p w14:paraId="2D066A9E" w14:textId="51C45C2B" w:rsidR="00A77B3E" w:rsidRPr="00800D1B" w:rsidRDefault="00623E14">
            <w:pPr>
              <w:pStyle w:val="Liststycke"/>
              <w:numPr>
                <w:ilvl w:val="0"/>
                <w:numId w:val="98"/>
              </w:numPr>
              <w:tabs>
                <w:tab w:val="left" w:pos="226"/>
              </w:tabs>
              <w:spacing w:after="100"/>
              <w:ind w:left="288"/>
              <w:contextualSpacing w:val="0"/>
              <w:rPr>
                <w:color w:val="000000"/>
                <w:sz w:val="20"/>
                <w:lang w:val="sv-SE"/>
              </w:rPr>
            </w:pPr>
            <w:r w:rsidRPr="00800D1B">
              <w:rPr>
                <w:color w:val="000000"/>
                <w:sz w:val="20"/>
                <w:lang w:val="sv-SE"/>
              </w:rPr>
              <w:t>PTS mobiltäcknings- och bredbandskartläggning 2019.xlsx</w:t>
            </w:r>
            <w:r w:rsidR="00CF74CB" w:rsidRPr="00800D1B">
              <w:rPr>
                <w:color w:val="000000"/>
                <w:sz w:val="20"/>
                <w:lang w:val="sv-SE"/>
              </w:rPr>
              <w:t xml:space="preserve"> </w:t>
            </w:r>
          </w:p>
          <w:p w14:paraId="2D066AA0" w14:textId="1FA847B4" w:rsidR="00A77B3E" w:rsidRPr="00AD729E" w:rsidRDefault="00623E14">
            <w:pPr>
              <w:pStyle w:val="Liststycke"/>
              <w:numPr>
                <w:ilvl w:val="0"/>
                <w:numId w:val="98"/>
              </w:numPr>
              <w:tabs>
                <w:tab w:val="left" w:pos="226"/>
              </w:tabs>
              <w:spacing w:after="100"/>
              <w:ind w:left="288"/>
              <w:contextualSpacing w:val="0"/>
              <w:rPr>
                <w:color w:val="000000"/>
                <w:sz w:val="20"/>
                <w:lang w:val="sv-SE"/>
              </w:rPr>
            </w:pPr>
            <w:r w:rsidRPr="00AD729E">
              <w:rPr>
                <w:color w:val="000000"/>
                <w:sz w:val="20"/>
                <w:lang w:val="sv-SE"/>
              </w:rPr>
              <w:t>Topplista fiber, 100 Mbits mm.xlsx</w:t>
            </w:r>
            <w:r w:rsidR="00CF74CB" w:rsidRPr="00AD729E">
              <w:rPr>
                <w:color w:val="000000"/>
                <w:sz w:val="20"/>
                <w:lang w:val="sv-SE"/>
              </w:rPr>
              <w:t xml:space="preserve"> </w:t>
            </w:r>
            <w:r w:rsidRPr="00AD729E">
              <w:rPr>
                <w:color w:val="000000"/>
                <w:sz w:val="20"/>
                <w:lang w:val="sv-SE"/>
              </w:rPr>
              <w:t>Metodbilaga</w:t>
            </w:r>
            <w:r w:rsidR="00CF74CB" w:rsidRPr="00AD729E">
              <w:rPr>
                <w:color w:val="000000"/>
                <w:sz w:val="20"/>
                <w:lang w:val="sv-SE"/>
              </w:rPr>
              <w:t xml:space="preserve"> </w:t>
            </w:r>
          </w:p>
          <w:p w14:paraId="2D066AA1" w14:textId="05EF106B" w:rsidR="00A77B3E" w:rsidRPr="00800D1B" w:rsidRDefault="00623E14">
            <w:pPr>
              <w:pStyle w:val="Liststycke"/>
              <w:numPr>
                <w:ilvl w:val="0"/>
                <w:numId w:val="98"/>
              </w:numPr>
              <w:tabs>
                <w:tab w:val="left" w:pos="226"/>
              </w:tabs>
              <w:ind w:left="288"/>
              <w:contextualSpacing w:val="0"/>
              <w:rPr>
                <w:color w:val="000000"/>
                <w:sz w:val="20"/>
                <w:lang w:val="sv-SE"/>
              </w:rPr>
            </w:pPr>
            <w:r w:rsidRPr="00800D1B">
              <w:rPr>
                <w:color w:val="000000"/>
                <w:sz w:val="20"/>
                <w:lang w:val="sv-SE"/>
              </w:rPr>
              <w:t xml:space="preserve">Metod uppföljning av mobilmålet </w:t>
            </w:r>
          </w:p>
          <w:p w14:paraId="2D066AA3" w14:textId="77777777" w:rsidR="00A77B3E" w:rsidRPr="00800D1B" w:rsidRDefault="00623E14" w:rsidP="00B55BCE">
            <w:pPr>
              <w:spacing w:before="360" w:after="100"/>
              <w:ind w:left="-72"/>
              <w:rPr>
                <w:color w:val="000000"/>
                <w:sz w:val="20"/>
                <w:lang w:val="sv-SE"/>
              </w:rPr>
            </w:pPr>
            <w:r w:rsidRPr="00800D1B">
              <w:rPr>
                <w:color w:val="000000"/>
                <w:sz w:val="20"/>
                <w:lang w:val="sv-SE"/>
              </w:rPr>
              <w:t>Nationell årlig bredbandskartläggning (PTS)</w:t>
            </w:r>
          </w:p>
          <w:p w14:paraId="2D066AA5" w14:textId="32B6DF71" w:rsidR="00A77B3E" w:rsidRPr="00800D1B" w:rsidRDefault="00623E14" w:rsidP="00B55BCE">
            <w:pPr>
              <w:spacing w:before="360" w:after="100"/>
              <w:ind w:left="-72"/>
              <w:rPr>
                <w:color w:val="000000"/>
                <w:sz w:val="20"/>
                <w:lang w:val="sv-SE"/>
              </w:rPr>
            </w:pPr>
            <w:r w:rsidRPr="00800D1B">
              <w:rPr>
                <w:color w:val="000000"/>
                <w:sz w:val="20"/>
                <w:lang w:val="sv-SE"/>
              </w:rPr>
              <w:t>Västerbottens digitala agenda</w:t>
            </w:r>
            <w:r w:rsidR="00CF74CB" w:rsidRPr="00800D1B">
              <w:rPr>
                <w:color w:val="000000"/>
                <w:sz w:val="20"/>
                <w:lang w:val="sv-SE"/>
              </w:rPr>
              <w:t xml:space="preserve"> </w:t>
            </w:r>
          </w:p>
          <w:p w14:paraId="2D066AA6" w14:textId="77777777" w:rsidR="00A77B3E" w:rsidRPr="00800D1B" w:rsidRDefault="00623E14" w:rsidP="00B55BCE">
            <w:pPr>
              <w:spacing w:before="360" w:after="100"/>
              <w:ind w:left="-72"/>
              <w:rPr>
                <w:color w:val="000000"/>
                <w:sz w:val="20"/>
                <w:lang w:val="sv-SE"/>
              </w:rPr>
            </w:pPr>
            <w:r w:rsidRPr="00800D1B">
              <w:rPr>
                <w:color w:val="000000"/>
                <w:sz w:val="20"/>
                <w:lang w:val="sv-SE"/>
              </w:rPr>
              <w:t xml:space="preserve">Norrbottens digitala agenda </w:t>
            </w:r>
          </w:p>
          <w:p w14:paraId="2D066AA8" w14:textId="7A4D21AC" w:rsidR="00A77B3E" w:rsidRPr="00800D1B" w:rsidRDefault="00623E14" w:rsidP="00B55BCE">
            <w:pPr>
              <w:spacing w:before="360" w:after="100"/>
              <w:ind w:left="-72"/>
              <w:rPr>
                <w:color w:val="000000"/>
                <w:sz w:val="20"/>
                <w:lang w:val="sv-SE"/>
              </w:rPr>
            </w:pPr>
            <w:r w:rsidRPr="00800D1B">
              <w:rPr>
                <w:color w:val="000000"/>
                <w:sz w:val="20"/>
                <w:lang w:val="sv-SE"/>
              </w:rPr>
              <w:t>Nationell bredbandsstrategi: Sverige helt uppkopplat 2025 – en bredbandsstrategi </w:t>
            </w:r>
            <w:r w:rsidR="00CF74CB" w:rsidRPr="00800D1B">
              <w:rPr>
                <w:color w:val="000000"/>
                <w:sz w:val="20"/>
                <w:lang w:val="sv-SE"/>
              </w:rPr>
              <w:t xml:space="preserve"> </w:t>
            </w:r>
            <w:r w:rsidRPr="00800D1B">
              <w:rPr>
                <w:color w:val="000000"/>
                <w:sz w:val="20"/>
                <w:lang w:val="sv-SE"/>
              </w:rPr>
              <w:t>/</w:t>
            </w:r>
          </w:p>
        </w:tc>
        <w:tc>
          <w:tcPr>
            <w:tcW w:w="3400" w:type="dxa"/>
          </w:tcPr>
          <w:p w14:paraId="2D066AAA" w14:textId="52BD8802" w:rsidR="00A77B3E" w:rsidRPr="00800D1B" w:rsidRDefault="00623E14" w:rsidP="00977927">
            <w:pPr>
              <w:spacing w:before="100" w:after="360"/>
              <w:ind w:left="-72"/>
              <w:rPr>
                <w:color w:val="000000"/>
                <w:sz w:val="20"/>
                <w:lang w:val="sv-SE"/>
              </w:rPr>
            </w:pPr>
            <w:r w:rsidRPr="00800D1B">
              <w:rPr>
                <w:color w:val="000000"/>
                <w:sz w:val="20"/>
                <w:lang w:val="sv-SE"/>
              </w:rPr>
              <w:t xml:space="preserve">Post- och telestyrelsen (PTS) ska enligt förordning (2007:951) med instruktion för PTS främja utbyggnaden av och följa tillgången till bredband och mobiltäckning i alla delar av landet. PTS genomför en årlig geografisk kartläggning av förutsättningar för tillgång till IT-infrastruktur i Sverige. </w:t>
            </w:r>
          </w:p>
          <w:p w14:paraId="2D066AAC" w14:textId="40FE5FBF" w:rsidR="00A77B3E" w:rsidRPr="00800D1B" w:rsidRDefault="00623E14" w:rsidP="00977927">
            <w:pPr>
              <w:spacing w:before="100" w:after="360"/>
              <w:ind w:left="-72"/>
              <w:rPr>
                <w:color w:val="000000"/>
                <w:sz w:val="20"/>
                <w:lang w:val="sv-SE"/>
              </w:rPr>
            </w:pPr>
            <w:r w:rsidRPr="00800D1B">
              <w:rPr>
                <w:color w:val="000000"/>
                <w:sz w:val="20"/>
                <w:lang w:val="sv-SE"/>
              </w:rPr>
              <w:t xml:space="preserve">Övre Norrlands utmaning beror på och söker hantera regionens glesa befolkningsstruktur och långa avstånd. </w:t>
            </w:r>
          </w:p>
          <w:p w14:paraId="2D066AAD" w14:textId="77777777" w:rsidR="00A77B3E" w:rsidRPr="00800D1B" w:rsidRDefault="00623E14" w:rsidP="00A26CDD">
            <w:pPr>
              <w:spacing w:before="100" w:after="100"/>
              <w:ind w:left="-72"/>
              <w:rPr>
                <w:color w:val="000000"/>
                <w:sz w:val="20"/>
                <w:lang w:val="sv-SE"/>
              </w:rPr>
            </w:pPr>
            <w:r w:rsidRPr="00800D1B">
              <w:rPr>
                <w:color w:val="000000"/>
                <w:sz w:val="20"/>
                <w:lang w:val="sv-SE"/>
              </w:rPr>
              <w:t xml:space="preserve">Bredband saknas på vissa viktiga platser i regionen pga. att det inte finns någon kommersiell marknad för små samhällen, dvs. det är ett marknadsmisslyckande. </w:t>
            </w:r>
          </w:p>
        </w:tc>
      </w:tr>
      <w:tr w:rsidR="003422DB" w:rsidRPr="00BD3045" w14:paraId="2D066AC3" w14:textId="77777777" w:rsidTr="00A26CDD">
        <w:tc>
          <w:tcPr>
            <w:tcW w:w="1600" w:type="dxa"/>
            <w:vMerge/>
          </w:tcPr>
          <w:p w14:paraId="2D066AAF" w14:textId="77777777" w:rsidR="00A77B3E" w:rsidRPr="00800D1B" w:rsidRDefault="00A77B3E" w:rsidP="00A26CDD">
            <w:pPr>
              <w:spacing w:before="100" w:after="100"/>
              <w:ind w:left="-72"/>
              <w:rPr>
                <w:color w:val="000000"/>
                <w:sz w:val="20"/>
                <w:lang w:val="sv-SE"/>
              </w:rPr>
            </w:pPr>
          </w:p>
        </w:tc>
        <w:tc>
          <w:tcPr>
            <w:tcW w:w="800" w:type="dxa"/>
            <w:vMerge/>
          </w:tcPr>
          <w:p w14:paraId="2D066AB0" w14:textId="77777777" w:rsidR="00A77B3E" w:rsidRPr="00800D1B" w:rsidRDefault="00A77B3E" w:rsidP="00A26CDD">
            <w:pPr>
              <w:spacing w:before="100" w:after="100"/>
              <w:ind w:left="-72"/>
              <w:rPr>
                <w:color w:val="000000"/>
                <w:sz w:val="20"/>
                <w:lang w:val="sv-SE"/>
              </w:rPr>
            </w:pPr>
          </w:p>
        </w:tc>
        <w:tc>
          <w:tcPr>
            <w:tcW w:w="1600" w:type="dxa"/>
            <w:vMerge/>
          </w:tcPr>
          <w:p w14:paraId="2D066AB1" w14:textId="77777777" w:rsidR="00A77B3E" w:rsidRPr="00800D1B" w:rsidRDefault="00A77B3E" w:rsidP="00A26CDD">
            <w:pPr>
              <w:spacing w:before="100" w:after="100"/>
              <w:ind w:left="-72"/>
              <w:rPr>
                <w:color w:val="000000"/>
                <w:sz w:val="20"/>
                <w:lang w:val="sv-SE"/>
              </w:rPr>
            </w:pPr>
          </w:p>
        </w:tc>
        <w:tc>
          <w:tcPr>
            <w:tcW w:w="1000" w:type="dxa"/>
            <w:vMerge/>
          </w:tcPr>
          <w:p w14:paraId="2D066AB2" w14:textId="77777777" w:rsidR="00A77B3E" w:rsidRPr="00800D1B" w:rsidRDefault="00A77B3E" w:rsidP="00A26CDD">
            <w:pPr>
              <w:spacing w:before="100" w:after="100"/>
              <w:ind w:left="-72"/>
              <w:rPr>
                <w:color w:val="000000"/>
                <w:sz w:val="20"/>
                <w:lang w:val="sv-SE"/>
              </w:rPr>
            </w:pPr>
          </w:p>
        </w:tc>
        <w:tc>
          <w:tcPr>
            <w:tcW w:w="2800" w:type="dxa"/>
          </w:tcPr>
          <w:p w14:paraId="2D066AB3" w14:textId="7E139082" w:rsidR="00A77B3E" w:rsidRPr="00800D1B" w:rsidRDefault="00623E14">
            <w:pPr>
              <w:pStyle w:val="Liststycke"/>
              <w:numPr>
                <w:ilvl w:val="0"/>
                <w:numId w:val="82"/>
              </w:numPr>
              <w:tabs>
                <w:tab w:val="left" w:pos="151"/>
              </w:tabs>
              <w:spacing w:before="100" w:after="100"/>
              <w:ind w:left="-72" w:hanging="29"/>
              <w:rPr>
                <w:color w:val="000000"/>
                <w:sz w:val="20"/>
                <w:lang w:val="sv-SE"/>
              </w:rPr>
            </w:pPr>
            <w:r w:rsidRPr="00800D1B">
              <w:rPr>
                <w:color w:val="000000"/>
                <w:sz w:val="20"/>
                <w:lang w:val="sv-SE"/>
              </w:rPr>
              <w:t>Åtgärder för att främja efterfrågan på och användningen av nät med mycket hög kapacitet, inbegripet insatser för att underlätta utbyggnaden av dem, särskilt genom ett effektivt genomförande av Europaparlamentets och rådets direktiv 2014/61/EU.</w:t>
            </w:r>
          </w:p>
        </w:tc>
        <w:tc>
          <w:tcPr>
            <w:tcW w:w="1000" w:type="dxa"/>
          </w:tcPr>
          <w:p w14:paraId="2D066AB4" w14:textId="77777777" w:rsidR="00A77B3E" w:rsidRPr="00800D1B" w:rsidRDefault="00623E14" w:rsidP="00A26CDD">
            <w:pPr>
              <w:spacing w:before="100" w:after="100"/>
              <w:ind w:left="-72"/>
              <w:jc w:val="center"/>
              <w:rPr>
                <w:color w:val="000000"/>
                <w:sz w:val="20"/>
                <w:lang w:val="sv-SE"/>
              </w:rPr>
            </w:pPr>
            <w:r w:rsidRPr="00800D1B">
              <w:rPr>
                <w:color w:val="000000"/>
                <w:sz w:val="20"/>
                <w:lang w:val="sv-SE"/>
              </w:rPr>
              <w:t>Ja</w:t>
            </w:r>
          </w:p>
        </w:tc>
        <w:tc>
          <w:tcPr>
            <w:tcW w:w="3400" w:type="dxa"/>
          </w:tcPr>
          <w:p w14:paraId="2D066AB5" w14:textId="77777777" w:rsidR="00A77B3E" w:rsidRPr="00800D1B" w:rsidRDefault="00623E14" w:rsidP="00A26CDD">
            <w:pPr>
              <w:spacing w:before="100" w:after="100"/>
              <w:ind w:left="-72"/>
              <w:rPr>
                <w:color w:val="000000"/>
                <w:sz w:val="20"/>
                <w:lang w:val="sv-SE"/>
              </w:rPr>
            </w:pPr>
            <w:r w:rsidRPr="00800D1B">
              <w:rPr>
                <w:color w:val="000000"/>
                <w:sz w:val="20"/>
                <w:lang w:val="sv-SE"/>
              </w:rPr>
              <w:t xml:space="preserve">PTS mobiltäcknings- och bredbandskartläggning 2019 PTS-ER-2020:15 </w:t>
            </w:r>
          </w:p>
          <w:p w14:paraId="2D066AB8" w14:textId="4548F8DC" w:rsidR="00A77B3E" w:rsidRPr="00800D1B" w:rsidRDefault="00000000" w:rsidP="00B55BCE">
            <w:pPr>
              <w:spacing w:before="200" w:after="100"/>
              <w:ind w:left="-72"/>
              <w:rPr>
                <w:color w:val="000000"/>
                <w:sz w:val="20"/>
                <w:lang w:val="sv-SE"/>
              </w:rPr>
            </w:pPr>
            <w:hyperlink r:id="rId72" w:history="1">
              <w:r w:rsidR="00623E14" w:rsidRPr="00800D1B">
                <w:rPr>
                  <w:rStyle w:val="Hyperlnk"/>
                  <w:sz w:val="20"/>
                  <w:lang w:val="sv-SE"/>
                </w:rPr>
                <w:t>https://www.pts.se/sv/dokument/rapporter/internet/2020/pts-mobiltacknings--och-bredbandskartlaggning-2019-pts-er-202015/</w:t>
              </w:r>
            </w:hyperlink>
            <w:r w:rsidR="00623E14" w:rsidRPr="00800D1B">
              <w:rPr>
                <w:color w:val="000000"/>
                <w:sz w:val="20"/>
                <w:lang w:val="sv-SE"/>
              </w:rPr>
              <w:t xml:space="preserve"> </w:t>
            </w:r>
          </w:p>
          <w:p w14:paraId="2D066ABA" w14:textId="4DF2BDAC" w:rsidR="00A77B3E" w:rsidRPr="00800D1B" w:rsidRDefault="00623E14">
            <w:pPr>
              <w:pStyle w:val="Liststycke"/>
              <w:numPr>
                <w:ilvl w:val="0"/>
                <w:numId w:val="99"/>
              </w:numPr>
              <w:tabs>
                <w:tab w:val="left" w:pos="240"/>
              </w:tabs>
              <w:spacing w:before="100" w:after="100"/>
              <w:ind w:left="288"/>
              <w:contextualSpacing w:val="0"/>
              <w:rPr>
                <w:color w:val="000000"/>
                <w:sz w:val="20"/>
                <w:lang w:val="sv-SE"/>
              </w:rPr>
            </w:pPr>
            <w:r w:rsidRPr="00800D1B">
              <w:rPr>
                <w:color w:val="000000"/>
                <w:sz w:val="20"/>
                <w:lang w:val="sv-SE"/>
              </w:rPr>
              <w:t>PTS mobiltäcknings- och bredbandskartläggning 2019</w:t>
            </w:r>
            <w:r w:rsidR="00CF74CB" w:rsidRPr="00800D1B">
              <w:rPr>
                <w:color w:val="000000"/>
                <w:sz w:val="20"/>
                <w:lang w:val="sv-SE"/>
              </w:rPr>
              <w:t xml:space="preserve"> </w:t>
            </w:r>
          </w:p>
          <w:p w14:paraId="2D066ABB" w14:textId="08315F13" w:rsidR="00A77B3E" w:rsidRPr="00800D1B" w:rsidRDefault="00623E14">
            <w:pPr>
              <w:pStyle w:val="Liststycke"/>
              <w:numPr>
                <w:ilvl w:val="0"/>
                <w:numId w:val="99"/>
              </w:numPr>
              <w:tabs>
                <w:tab w:val="left" w:pos="226"/>
              </w:tabs>
              <w:spacing w:before="100" w:after="100"/>
              <w:ind w:left="288"/>
              <w:contextualSpacing w:val="0"/>
              <w:rPr>
                <w:color w:val="000000"/>
                <w:sz w:val="20"/>
                <w:lang w:val="sv-SE"/>
              </w:rPr>
            </w:pPr>
            <w:r w:rsidRPr="00800D1B">
              <w:rPr>
                <w:color w:val="000000"/>
                <w:sz w:val="20"/>
                <w:lang w:val="sv-SE"/>
              </w:rPr>
              <w:t>PTS mobiltäcknings- och bredbandskartläggning 2019.xlsx</w:t>
            </w:r>
            <w:r w:rsidR="00CF74CB" w:rsidRPr="00800D1B">
              <w:rPr>
                <w:color w:val="000000"/>
                <w:sz w:val="20"/>
                <w:lang w:val="sv-SE"/>
              </w:rPr>
              <w:t xml:space="preserve"> </w:t>
            </w:r>
          </w:p>
          <w:p w14:paraId="2D066ABD" w14:textId="4320EBC6" w:rsidR="00A77B3E" w:rsidRPr="00BA2929" w:rsidRDefault="00623E14">
            <w:pPr>
              <w:pStyle w:val="Liststycke"/>
              <w:numPr>
                <w:ilvl w:val="0"/>
                <w:numId w:val="99"/>
              </w:numPr>
              <w:tabs>
                <w:tab w:val="left" w:pos="226"/>
              </w:tabs>
              <w:spacing w:before="100" w:after="100"/>
              <w:ind w:left="288"/>
              <w:contextualSpacing w:val="0"/>
              <w:rPr>
                <w:color w:val="000000"/>
                <w:sz w:val="20"/>
                <w:lang w:val="sv-SE"/>
              </w:rPr>
            </w:pPr>
            <w:r w:rsidRPr="00800D1B">
              <w:rPr>
                <w:color w:val="000000"/>
                <w:sz w:val="20"/>
                <w:lang w:val="sv-SE"/>
              </w:rPr>
              <w:t>Topplista fiber, 100 Mbits mm.xlsx</w:t>
            </w:r>
            <w:r w:rsidR="00CF74CB" w:rsidRPr="00800D1B">
              <w:rPr>
                <w:color w:val="000000"/>
                <w:sz w:val="20"/>
                <w:lang w:val="sv-SE"/>
              </w:rPr>
              <w:t xml:space="preserve"> </w:t>
            </w:r>
            <w:r w:rsidRPr="00BA2929">
              <w:rPr>
                <w:color w:val="000000"/>
                <w:sz w:val="20"/>
                <w:lang w:val="sv-SE"/>
              </w:rPr>
              <w:t>Metodbilaga</w:t>
            </w:r>
            <w:r w:rsidR="00CF74CB" w:rsidRPr="00BA2929">
              <w:rPr>
                <w:color w:val="000000"/>
                <w:sz w:val="20"/>
                <w:lang w:val="sv-SE"/>
              </w:rPr>
              <w:t xml:space="preserve"> </w:t>
            </w:r>
          </w:p>
          <w:p w14:paraId="2D066ABF" w14:textId="6C805C27" w:rsidR="00A77B3E" w:rsidRPr="00800D1B" w:rsidRDefault="00623E14">
            <w:pPr>
              <w:pStyle w:val="Liststycke"/>
              <w:numPr>
                <w:ilvl w:val="0"/>
                <w:numId w:val="99"/>
              </w:numPr>
              <w:tabs>
                <w:tab w:val="left" w:pos="226"/>
              </w:tabs>
              <w:spacing w:before="100" w:after="100"/>
              <w:ind w:left="288"/>
              <w:contextualSpacing w:val="0"/>
              <w:rPr>
                <w:color w:val="000000"/>
                <w:sz w:val="20"/>
                <w:lang w:val="sv-SE"/>
              </w:rPr>
            </w:pPr>
            <w:r w:rsidRPr="00800D1B">
              <w:rPr>
                <w:color w:val="000000"/>
                <w:sz w:val="20"/>
                <w:lang w:val="sv-SE"/>
              </w:rPr>
              <w:t xml:space="preserve">Metod uppföljning av mobilmålet </w:t>
            </w:r>
          </w:p>
        </w:tc>
        <w:tc>
          <w:tcPr>
            <w:tcW w:w="3400" w:type="dxa"/>
          </w:tcPr>
          <w:p w14:paraId="2D066AC1" w14:textId="52FE5103" w:rsidR="00A77B3E" w:rsidRPr="00800D1B" w:rsidRDefault="00623E14" w:rsidP="00977927">
            <w:pPr>
              <w:spacing w:before="100" w:after="360"/>
              <w:ind w:left="-72"/>
              <w:rPr>
                <w:color w:val="000000"/>
                <w:sz w:val="20"/>
                <w:lang w:val="sv-SE"/>
              </w:rPr>
            </w:pPr>
            <w:r w:rsidRPr="00800D1B">
              <w:rPr>
                <w:color w:val="000000"/>
                <w:sz w:val="20"/>
                <w:lang w:val="sv-SE"/>
              </w:rPr>
              <w:t>PTS presenterar här fakta om tillgången till bredband i Sverige.</w:t>
            </w:r>
            <w:r w:rsidR="00CF74CB" w:rsidRPr="00800D1B">
              <w:rPr>
                <w:color w:val="000000"/>
                <w:sz w:val="20"/>
                <w:lang w:val="sv-SE"/>
              </w:rPr>
              <w:t xml:space="preserve"> </w:t>
            </w:r>
          </w:p>
          <w:p w14:paraId="2D066AC2" w14:textId="77777777" w:rsidR="00A77B3E" w:rsidRPr="00800D1B" w:rsidRDefault="00623E14" w:rsidP="00A26CDD">
            <w:pPr>
              <w:spacing w:before="100" w:after="100"/>
              <w:ind w:left="-72"/>
              <w:rPr>
                <w:color w:val="000000"/>
                <w:sz w:val="20"/>
                <w:lang w:val="sv-SE"/>
              </w:rPr>
            </w:pPr>
            <w:r w:rsidRPr="00800D1B">
              <w:rPr>
                <w:color w:val="000000"/>
                <w:sz w:val="20"/>
                <w:lang w:val="sv-SE"/>
              </w:rPr>
              <w:t xml:space="preserve">Planerade investeringar görs årligen av politiken på regional och kommunal nivå. </w:t>
            </w:r>
          </w:p>
        </w:tc>
      </w:tr>
      <w:tr w:rsidR="003422DB" w:rsidRPr="00BD3045" w14:paraId="2D066AD5" w14:textId="77777777" w:rsidTr="00A26CDD">
        <w:tc>
          <w:tcPr>
            <w:tcW w:w="1600" w:type="dxa"/>
            <w:vMerge/>
          </w:tcPr>
          <w:p w14:paraId="2D066AC4" w14:textId="77777777" w:rsidR="00A77B3E" w:rsidRPr="00800D1B" w:rsidRDefault="00A77B3E" w:rsidP="00A26CDD">
            <w:pPr>
              <w:spacing w:before="100" w:after="100"/>
              <w:ind w:left="-72"/>
              <w:rPr>
                <w:color w:val="000000"/>
                <w:sz w:val="20"/>
                <w:lang w:val="sv-SE"/>
              </w:rPr>
            </w:pPr>
          </w:p>
        </w:tc>
        <w:tc>
          <w:tcPr>
            <w:tcW w:w="800" w:type="dxa"/>
            <w:vMerge/>
          </w:tcPr>
          <w:p w14:paraId="2D066AC5" w14:textId="77777777" w:rsidR="00A77B3E" w:rsidRPr="00800D1B" w:rsidRDefault="00A77B3E" w:rsidP="00A26CDD">
            <w:pPr>
              <w:spacing w:before="100" w:after="100"/>
              <w:ind w:left="-72"/>
              <w:rPr>
                <w:color w:val="000000"/>
                <w:sz w:val="20"/>
                <w:lang w:val="sv-SE"/>
              </w:rPr>
            </w:pPr>
          </w:p>
        </w:tc>
        <w:tc>
          <w:tcPr>
            <w:tcW w:w="1600" w:type="dxa"/>
            <w:vMerge/>
          </w:tcPr>
          <w:p w14:paraId="2D066AC6" w14:textId="77777777" w:rsidR="00A77B3E" w:rsidRPr="00800D1B" w:rsidRDefault="00A77B3E" w:rsidP="00A26CDD">
            <w:pPr>
              <w:spacing w:before="100" w:after="100"/>
              <w:ind w:left="-72"/>
              <w:rPr>
                <w:color w:val="000000"/>
                <w:sz w:val="20"/>
                <w:lang w:val="sv-SE"/>
              </w:rPr>
            </w:pPr>
          </w:p>
        </w:tc>
        <w:tc>
          <w:tcPr>
            <w:tcW w:w="1000" w:type="dxa"/>
            <w:vMerge/>
          </w:tcPr>
          <w:p w14:paraId="2D066AC7" w14:textId="77777777" w:rsidR="00A77B3E" w:rsidRPr="00800D1B" w:rsidRDefault="00A77B3E" w:rsidP="00A26CDD">
            <w:pPr>
              <w:spacing w:before="100" w:after="100"/>
              <w:ind w:left="-72"/>
              <w:rPr>
                <w:color w:val="000000"/>
                <w:sz w:val="20"/>
                <w:lang w:val="sv-SE"/>
              </w:rPr>
            </w:pPr>
          </w:p>
        </w:tc>
        <w:tc>
          <w:tcPr>
            <w:tcW w:w="2800" w:type="dxa"/>
          </w:tcPr>
          <w:p w14:paraId="2D066AC8" w14:textId="6F9375C8" w:rsidR="00A77B3E" w:rsidRPr="00800D1B" w:rsidRDefault="00623E14">
            <w:pPr>
              <w:pStyle w:val="Liststycke"/>
              <w:numPr>
                <w:ilvl w:val="0"/>
                <w:numId w:val="82"/>
              </w:numPr>
              <w:tabs>
                <w:tab w:val="left" w:pos="151"/>
              </w:tabs>
              <w:spacing w:before="100" w:after="100"/>
              <w:ind w:left="-72" w:hanging="29"/>
              <w:rPr>
                <w:color w:val="000000"/>
                <w:sz w:val="20"/>
                <w:lang w:val="sv-SE"/>
              </w:rPr>
            </w:pPr>
            <w:r w:rsidRPr="00800D1B">
              <w:rPr>
                <w:color w:val="000000"/>
                <w:sz w:val="20"/>
                <w:lang w:val="sv-SE"/>
              </w:rPr>
              <w:t>Mekanismer för tekniskt bistånd och expertrådgivning, t.ex. ett EU-nätverk för bredbandskompetens, för att öka de lokala berörda aktörernas kapacitet och ge råd till projektansvariga.</w:t>
            </w:r>
          </w:p>
        </w:tc>
        <w:tc>
          <w:tcPr>
            <w:tcW w:w="1000" w:type="dxa"/>
          </w:tcPr>
          <w:p w14:paraId="2D066AC9" w14:textId="77777777" w:rsidR="00A77B3E" w:rsidRPr="00800D1B" w:rsidRDefault="00623E14" w:rsidP="00A26CDD">
            <w:pPr>
              <w:spacing w:before="100" w:after="100"/>
              <w:ind w:left="-72"/>
              <w:jc w:val="center"/>
              <w:rPr>
                <w:color w:val="000000"/>
                <w:sz w:val="20"/>
                <w:lang w:val="sv-SE"/>
              </w:rPr>
            </w:pPr>
            <w:r w:rsidRPr="00800D1B">
              <w:rPr>
                <w:color w:val="000000"/>
                <w:sz w:val="20"/>
                <w:lang w:val="sv-SE"/>
              </w:rPr>
              <w:t>Ja</w:t>
            </w:r>
          </w:p>
        </w:tc>
        <w:tc>
          <w:tcPr>
            <w:tcW w:w="3400" w:type="dxa"/>
          </w:tcPr>
          <w:p w14:paraId="2D066ACA" w14:textId="6AEF54D2" w:rsidR="00A77B3E" w:rsidRPr="00800D1B" w:rsidRDefault="00623E14" w:rsidP="00A26CDD">
            <w:pPr>
              <w:spacing w:before="100" w:after="100"/>
              <w:ind w:left="-72"/>
              <w:rPr>
                <w:color w:val="000000"/>
                <w:sz w:val="20"/>
                <w:lang w:val="sv-SE"/>
              </w:rPr>
            </w:pPr>
            <w:r w:rsidRPr="00800D1B">
              <w:rPr>
                <w:color w:val="000000"/>
                <w:sz w:val="20"/>
                <w:lang w:val="sv-SE"/>
              </w:rPr>
              <w:t>Västerbottens digitala agenda</w:t>
            </w:r>
            <w:r w:rsidR="00CF74CB" w:rsidRPr="00800D1B">
              <w:rPr>
                <w:color w:val="000000"/>
                <w:sz w:val="20"/>
                <w:lang w:val="sv-SE"/>
              </w:rPr>
              <w:t xml:space="preserve"> </w:t>
            </w:r>
          </w:p>
          <w:p w14:paraId="2D066ACB" w14:textId="61A30301" w:rsidR="00A77B3E" w:rsidRPr="00800D1B" w:rsidRDefault="00000000" w:rsidP="00A26CDD">
            <w:pPr>
              <w:spacing w:before="100" w:after="100"/>
              <w:ind w:left="-72"/>
              <w:rPr>
                <w:color w:val="000000"/>
                <w:sz w:val="20"/>
                <w:lang w:val="sv-SE"/>
              </w:rPr>
            </w:pPr>
            <w:hyperlink r:id="rId73" w:history="1">
              <w:r w:rsidR="00623E14" w:rsidRPr="00800D1B">
                <w:rPr>
                  <w:rStyle w:val="Hyperlnk"/>
                  <w:sz w:val="20"/>
                  <w:lang w:val="sv-SE"/>
                </w:rPr>
                <w:t>https://www.regionvasterbotten.se/VLL/Filer/digital_agenda_vasterbotten_141127.pdf</w:t>
              </w:r>
            </w:hyperlink>
            <w:r w:rsidR="00623E14" w:rsidRPr="00800D1B">
              <w:rPr>
                <w:color w:val="000000"/>
                <w:sz w:val="20"/>
                <w:lang w:val="sv-SE"/>
              </w:rPr>
              <w:t xml:space="preserve"> </w:t>
            </w:r>
          </w:p>
          <w:p w14:paraId="2D066ACD" w14:textId="53EBD6F3" w:rsidR="00A77B3E" w:rsidRPr="00800D1B" w:rsidRDefault="00623E14" w:rsidP="001C1AA9">
            <w:pPr>
              <w:spacing w:before="360" w:after="100"/>
              <w:ind w:left="-72"/>
              <w:rPr>
                <w:color w:val="000000"/>
                <w:sz w:val="20"/>
                <w:lang w:val="sv-SE"/>
              </w:rPr>
            </w:pPr>
            <w:r w:rsidRPr="00800D1B">
              <w:rPr>
                <w:color w:val="000000"/>
                <w:sz w:val="20"/>
                <w:lang w:val="sv-SE"/>
              </w:rPr>
              <w:t xml:space="preserve">Norrbottens digitala agenda </w:t>
            </w:r>
          </w:p>
          <w:p w14:paraId="2D066ACE" w14:textId="77B9FF71" w:rsidR="00A77B3E" w:rsidRPr="00800D1B" w:rsidRDefault="00000000" w:rsidP="00A26CDD">
            <w:pPr>
              <w:spacing w:before="100" w:after="100"/>
              <w:ind w:left="-72"/>
              <w:rPr>
                <w:color w:val="000000"/>
                <w:sz w:val="20"/>
                <w:lang w:val="sv-SE"/>
              </w:rPr>
            </w:pPr>
            <w:hyperlink r:id="rId74" w:history="1">
              <w:r w:rsidR="008F36D6" w:rsidRPr="00800D1B">
                <w:rPr>
                  <w:rStyle w:val="Hyperlnk"/>
                  <w:sz w:val="20"/>
                  <w:lang w:val="sv-SE"/>
                </w:rPr>
                <w:t>https://www.norrbotten.se/sv/Utveckling-och-tillvaxt/Regional-utveckling-och-framtid/Samhallsplanering-och-infrastruktur/nyttan-med-bredband/Digitaliseringsstrategier/</w:t>
              </w:r>
            </w:hyperlink>
          </w:p>
          <w:p w14:paraId="2D066AD0" w14:textId="27376FD2" w:rsidR="00A77B3E" w:rsidRPr="00800D1B" w:rsidRDefault="00623E14" w:rsidP="001C1AA9">
            <w:pPr>
              <w:spacing w:before="360" w:after="100"/>
              <w:ind w:left="-72"/>
              <w:rPr>
                <w:color w:val="000000"/>
                <w:sz w:val="20"/>
                <w:lang w:val="sv-SE"/>
              </w:rPr>
            </w:pPr>
            <w:r w:rsidRPr="00800D1B">
              <w:rPr>
                <w:color w:val="000000"/>
                <w:sz w:val="20"/>
                <w:lang w:val="sv-SE"/>
              </w:rPr>
              <w:t xml:space="preserve">Nationell digitaliseringsstrategi: </w:t>
            </w:r>
            <w:hyperlink r:id="rId75" w:history="1">
              <w:r w:rsidRPr="00800D1B">
                <w:rPr>
                  <w:rStyle w:val="Hyperlnk"/>
                  <w:sz w:val="20"/>
                  <w:lang w:val="sv-SE"/>
                </w:rPr>
                <w:t>https://www.regeringen.se/regeringens-politik/digitaliseringsstrategin/</w:t>
              </w:r>
            </w:hyperlink>
          </w:p>
        </w:tc>
        <w:tc>
          <w:tcPr>
            <w:tcW w:w="3400" w:type="dxa"/>
          </w:tcPr>
          <w:p w14:paraId="2D066AD1" w14:textId="77777777" w:rsidR="00A77B3E" w:rsidRPr="00800D1B" w:rsidRDefault="00623E14" w:rsidP="00A26CDD">
            <w:pPr>
              <w:spacing w:before="100" w:after="100"/>
              <w:ind w:left="-72"/>
              <w:rPr>
                <w:color w:val="000000"/>
                <w:sz w:val="20"/>
                <w:lang w:val="sv-SE"/>
              </w:rPr>
            </w:pPr>
            <w:r w:rsidRPr="00800D1B">
              <w:rPr>
                <w:color w:val="000000"/>
                <w:sz w:val="20"/>
                <w:lang w:val="sv-SE"/>
              </w:rPr>
              <w:t xml:space="preserve">Bredbandskoordinatorer finns i Region Norrbotten och i Region Västerbotten. </w:t>
            </w:r>
          </w:p>
          <w:p w14:paraId="2D066AD3" w14:textId="456852DF" w:rsidR="00A77B3E" w:rsidRPr="00800D1B" w:rsidRDefault="00623E14" w:rsidP="00977927">
            <w:pPr>
              <w:spacing w:before="100" w:after="360"/>
              <w:ind w:left="-72"/>
              <w:rPr>
                <w:color w:val="000000"/>
                <w:sz w:val="20"/>
                <w:lang w:val="sv-SE"/>
              </w:rPr>
            </w:pPr>
            <w:r w:rsidRPr="00800D1B">
              <w:rPr>
                <w:color w:val="000000"/>
                <w:sz w:val="20"/>
                <w:lang w:val="sv-SE"/>
              </w:rPr>
              <w:t>De regionala bredbandskoordinatorerna ska, med beaktande av de regionala förutsättningarna, verka för övergripande samordning och samarbete i bredbandsfrågor, när det gäller såväl fast som mobil digital infrastruktur i syfte att bidra till att regeringens bredbandsmål uppnås.</w:t>
            </w:r>
          </w:p>
          <w:p w14:paraId="2D066AD4" w14:textId="572204EF" w:rsidR="00A77B3E" w:rsidRPr="00800D1B" w:rsidRDefault="00623E14" w:rsidP="00A26CDD">
            <w:pPr>
              <w:spacing w:before="100" w:after="100"/>
              <w:ind w:left="-72"/>
              <w:rPr>
                <w:color w:val="000000"/>
                <w:sz w:val="20"/>
                <w:lang w:val="sv-SE"/>
              </w:rPr>
            </w:pPr>
            <w:r w:rsidRPr="00800D1B">
              <w:rPr>
                <w:color w:val="000000"/>
                <w:sz w:val="20"/>
                <w:lang w:val="sv-SE"/>
              </w:rPr>
              <w:t>Region Norrbotten och Region Västerbotten bygger bredband efter kommunala planer.</w:t>
            </w:r>
            <w:r w:rsidR="00CF74CB" w:rsidRPr="00800D1B">
              <w:rPr>
                <w:color w:val="000000"/>
                <w:sz w:val="20"/>
                <w:lang w:val="sv-SE"/>
              </w:rPr>
              <w:t xml:space="preserve"> </w:t>
            </w:r>
          </w:p>
        </w:tc>
      </w:tr>
      <w:tr w:rsidR="003422DB" w:rsidRPr="00BD3045" w14:paraId="2D066AE8" w14:textId="77777777" w:rsidTr="00A26CDD">
        <w:tc>
          <w:tcPr>
            <w:tcW w:w="1600" w:type="dxa"/>
            <w:vMerge/>
          </w:tcPr>
          <w:p w14:paraId="2D066AD6" w14:textId="77777777" w:rsidR="00A77B3E" w:rsidRPr="00800D1B" w:rsidRDefault="00A77B3E" w:rsidP="00A26CDD">
            <w:pPr>
              <w:spacing w:before="100" w:after="100"/>
              <w:ind w:left="-72"/>
              <w:rPr>
                <w:color w:val="000000"/>
                <w:sz w:val="20"/>
                <w:lang w:val="sv-SE"/>
              </w:rPr>
            </w:pPr>
          </w:p>
        </w:tc>
        <w:tc>
          <w:tcPr>
            <w:tcW w:w="800" w:type="dxa"/>
            <w:vMerge/>
          </w:tcPr>
          <w:p w14:paraId="2D066AD7" w14:textId="77777777" w:rsidR="00A77B3E" w:rsidRPr="00800D1B" w:rsidRDefault="00A77B3E" w:rsidP="00A26CDD">
            <w:pPr>
              <w:spacing w:before="100" w:after="100"/>
              <w:ind w:left="-72"/>
              <w:rPr>
                <w:color w:val="000000"/>
                <w:sz w:val="20"/>
                <w:lang w:val="sv-SE"/>
              </w:rPr>
            </w:pPr>
          </w:p>
        </w:tc>
        <w:tc>
          <w:tcPr>
            <w:tcW w:w="1600" w:type="dxa"/>
            <w:vMerge/>
          </w:tcPr>
          <w:p w14:paraId="2D066AD8" w14:textId="77777777" w:rsidR="00A77B3E" w:rsidRPr="00800D1B" w:rsidRDefault="00A77B3E" w:rsidP="00A26CDD">
            <w:pPr>
              <w:spacing w:before="100" w:after="100"/>
              <w:ind w:left="-72"/>
              <w:rPr>
                <w:color w:val="000000"/>
                <w:sz w:val="20"/>
                <w:lang w:val="sv-SE"/>
              </w:rPr>
            </w:pPr>
          </w:p>
        </w:tc>
        <w:tc>
          <w:tcPr>
            <w:tcW w:w="1000" w:type="dxa"/>
            <w:vMerge/>
          </w:tcPr>
          <w:p w14:paraId="2D066AD9" w14:textId="77777777" w:rsidR="00A77B3E" w:rsidRPr="00800D1B" w:rsidRDefault="00A77B3E" w:rsidP="00A26CDD">
            <w:pPr>
              <w:spacing w:before="100" w:after="100"/>
              <w:ind w:left="-72"/>
              <w:rPr>
                <w:color w:val="000000"/>
                <w:sz w:val="20"/>
                <w:lang w:val="sv-SE"/>
              </w:rPr>
            </w:pPr>
          </w:p>
        </w:tc>
        <w:tc>
          <w:tcPr>
            <w:tcW w:w="2800" w:type="dxa"/>
          </w:tcPr>
          <w:p w14:paraId="2D066ADA" w14:textId="3ADCC616" w:rsidR="00A77B3E" w:rsidRPr="00800D1B" w:rsidRDefault="00623E14">
            <w:pPr>
              <w:pStyle w:val="Liststycke"/>
              <w:numPr>
                <w:ilvl w:val="0"/>
                <w:numId w:val="82"/>
              </w:numPr>
              <w:tabs>
                <w:tab w:val="left" w:pos="151"/>
              </w:tabs>
              <w:spacing w:before="100" w:after="100"/>
              <w:ind w:left="-72" w:hanging="29"/>
              <w:rPr>
                <w:color w:val="000000"/>
                <w:sz w:val="20"/>
                <w:lang w:val="sv-SE"/>
              </w:rPr>
            </w:pPr>
            <w:r w:rsidRPr="00800D1B">
              <w:rPr>
                <w:color w:val="000000"/>
                <w:sz w:val="20"/>
                <w:lang w:val="sv-SE"/>
              </w:rPr>
              <w:t>En övervakningsmekanism på grundval av standardiserade indikatorer för bredband.</w:t>
            </w:r>
          </w:p>
        </w:tc>
        <w:tc>
          <w:tcPr>
            <w:tcW w:w="1000" w:type="dxa"/>
          </w:tcPr>
          <w:p w14:paraId="2D066ADB" w14:textId="77777777" w:rsidR="00A77B3E" w:rsidRPr="00800D1B" w:rsidRDefault="00623E14" w:rsidP="00A26CDD">
            <w:pPr>
              <w:spacing w:before="100" w:after="100"/>
              <w:ind w:left="-72"/>
              <w:jc w:val="center"/>
              <w:rPr>
                <w:color w:val="000000"/>
                <w:sz w:val="20"/>
                <w:lang w:val="sv-SE"/>
              </w:rPr>
            </w:pPr>
            <w:r w:rsidRPr="00800D1B">
              <w:rPr>
                <w:color w:val="000000"/>
                <w:sz w:val="20"/>
                <w:lang w:val="sv-SE"/>
              </w:rPr>
              <w:t>Ja</w:t>
            </w:r>
          </w:p>
        </w:tc>
        <w:tc>
          <w:tcPr>
            <w:tcW w:w="3400" w:type="dxa"/>
          </w:tcPr>
          <w:p w14:paraId="2D066ADC" w14:textId="77777777" w:rsidR="00A77B3E" w:rsidRPr="00800D1B" w:rsidRDefault="00623E14" w:rsidP="00A26CDD">
            <w:pPr>
              <w:spacing w:before="100" w:after="100"/>
              <w:ind w:left="-72"/>
              <w:rPr>
                <w:color w:val="000000"/>
                <w:sz w:val="20"/>
                <w:lang w:val="sv-SE"/>
              </w:rPr>
            </w:pPr>
            <w:r w:rsidRPr="00800D1B">
              <w:rPr>
                <w:color w:val="000000"/>
                <w:sz w:val="20"/>
                <w:lang w:val="sv-SE"/>
              </w:rPr>
              <w:t>Förordning (2007-951) med instruktion för Post- och telestyrelsen</w:t>
            </w:r>
          </w:p>
          <w:p w14:paraId="2D066ADE" w14:textId="77777777" w:rsidR="00A77B3E" w:rsidRPr="00800D1B" w:rsidRDefault="00623E14" w:rsidP="001C1AA9">
            <w:pPr>
              <w:spacing w:before="240" w:after="100"/>
              <w:ind w:left="-72"/>
              <w:rPr>
                <w:color w:val="000000"/>
                <w:sz w:val="20"/>
                <w:lang w:val="sv-SE"/>
              </w:rPr>
            </w:pPr>
            <w:r w:rsidRPr="00800D1B">
              <w:rPr>
                <w:color w:val="000000"/>
                <w:sz w:val="20"/>
                <w:lang w:val="sv-SE"/>
              </w:rPr>
              <w:t>PTS mobiltäcknings- och bredbandskartläggning 2019 PTS-ER-2020:15</w:t>
            </w:r>
          </w:p>
          <w:p w14:paraId="2D066AE0" w14:textId="77777777" w:rsidR="00A77B3E" w:rsidRPr="00800D1B" w:rsidRDefault="00623E14" w:rsidP="001C1AA9">
            <w:pPr>
              <w:spacing w:before="360" w:after="100"/>
              <w:ind w:left="-72"/>
              <w:rPr>
                <w:color w:val="000000"/>
                <w:sz w:val="20"/>
                <w:lang w:val="sv-SE"/>
              </w:rPr>
            </w:pPr>
            <w:r w:rsidRPr="00800D1B">
              <w:rPr>
                <w:color w:val="000000"/>
                <w:sz w:val="20"/>
                <w:lang w:val="sv-SE"/>
              </w:rPr>
              <w:t xml:space="preserve">Underlagen utgör grund för PTS uppföljning av regeringens bredbandsstrategi. Underlagen utgör även grund för Sveriges rapporteringar inom t.ex. Broadband coverage in Europe samt European Broadband Mapping. </w:t>
            </w:r>
          </w:p>
          <w:p w14:paraId="2D066AE1" w14:textId="77777777" w:rsidR="00A77B3E" w:rsidRPr="00800D1B" w:rsidRDefault="00623E14" w:rsidP="00A26CDD">
            <w:pPr>
              <w:spacing w:before="100" w:after="100"/>
              <w:ind w:left="-72"/>
              <w:rPr>
                <w:color w:val="000000"/>
                <w:sz w:val="20"/>
                <w:lang w:val="sv-SE"/>
              </w:rPr>
            </w:pPr>
            <w:r w:rsidRPr="00800D1B">
              <w:rPr>
                <w:color w:val="000000"/>
                <w:sz w:val="20"/>
                <w:lang w:val="sv-SE"/>
              </w:rPr>
              <w:t xml:space="preserve">Sverige uppfyller således villkoret om övervakningsmekanism utifrån standardiserade indikatorer för bredband. </w:t>
            </w:r>
          </w:p>
        </w:tc>
        <w:tc>
          <w:tcPr>
            <w:tcW w:w="3400" w:type="dxa"/>
          </w:tcPr>
          <w:p w14:paraId="2D066AE2" w14:textId="03C7B78B" w:rsidR="00A77B3E" w:rsidRPr="00800D1B" w:rsidRDefault="00623E14" w:rsidP="00A26CDD">
            <w:pPr>
              <w:spacing w:before="100" w:after="100"/>
              <w:ind w:left="-72"/>
              <w:rPr>
                <w:color w:val="000000"/>
                <w:sz w:val="20"/>
                <w:lang w:val="sv-SE"/>
              </w:rPr>
            </w:pPr>
            <w:r w:rsidRPr="00800D1B">
              <w:rPr>
                <w:color w:val="000000"/>
                <w:sz w:val="20"/>
                <w:lang w:val="sv-SE"/>
              </w:rPr>
              <w:t>PTS ska enligt förordning (2007:951) med instruktion för PTS främja utbyggnaden av och följa tillgången till bredband och mobiltäckning i alla delar av landet. PTS genomför en årlig geografisk kartläggning av tillgång till IT-infrastruktur i Sverige.</w:t>
            </w:r>
            <w:r w:rsidR="00CF74CB" w:rsidRPr="00800D1B">
              <w:rPr>
                <w:color w:val="000000"/>
                <w:sz w:val="20"/>
                <w:lang w:val="sv-SE"/>
              </w:rPr>
              <w:t xml:space="preserve"> </w:t>
            </w:r>
          </w:p>
          <w:p w14:paraId="2D066AE4" w14:textId="77777777" w:rsidR="00A77B3E" w:rsidRPr="00800D1B" w:rsidRDefault="00623E14" w:rsidP="00A26CDD">
            <w:pPr>
              <w:spacing w:before="360" w:after="100"/>
              <w:ind w:left="-72"/>
              <w:rPr>
                <w:color w:val="000000"/>
                <w:sz w:val="20"/>
                <w:lang w:val="sv-SE"/>
              </w:rPr>
            </w:pPr>
            <w:r w:rsidRPr="00800D1B">
              <w:rPr>
                <w:color w:val="000000"/>
                <w:sz w:val="20"/>
                <w:lang w:val="sv-SE"/>
              </w:rPr>
              <w:t xml:space="preserve">Insamlingen inkluderar aktörer som är verksamma i Sverige och som omfattas av lagen (2003:389) om elektronisk kommunikation. </w:t>
            </w:r>
          </w:p>
          <w:p w14:paraId="2D066AE5" w14:textId="61CCEDB7" w:rsidR="00A77B3E" w:rsidRPr="00800D1B" w:rsidRDefault="00623E14" w:rsidP="00A26CDD">
            <w:pPr>
              <w:spacing w:before="100" w:after="100"/>
              <w:ind w:left="-72"/>
              <w:rPr>
                <w:color w:val="000000"/>
                <w:sz w:val="20"/>
                <w:lang w:val="sv-SE"/>
              </w:rPr>
            </w:pPr>
            <w:r w:rsidRPr="00800D1B">
              <w:rPr>
                <w:color w:val="000000"/>
                <w:sz w:val="20"/>
                <w:lang w:val="sv-SE"/>
              </w:rPr>
              <w:t>Kartläggningen omfattar tillgång till bredband och telefoni vid fasta punkter (hushåll och arbetsställen), tillgång till mobiltäckning där man normalt befinner sig samt yttäckning för mobilt bredband och mobiltelefoni (tillgång till tal- och datatjänster över hela Sveriges yta).</w:t>
            </w:r>
            <w:r w:rsidR="00CF74CB" w:rsidRPr="00800D1B">
              <w:rPr>
                <w:color w:val="000000"/>
                <w:sz w:val="20"/>
                <w:lang w:val="sv-SE"/>
              </w:rPr>
              <w:t xml:space="preserve"> </w:t>
            </w:r>
          </w:p>
          <w:p w14:paraId="2D066AE7" w14:textId="46F2BFC2" w:rsidR="00A77B3E" w:rsidRPr="00800D1B" w:rsidRDefault="00623E14" w:rsidP="00A26CDD">
            <w:pPr>
              <w:spacing w:before="360" w:after="100"/>
              <w:ind w:left="-72"/>
              <w:rPr>
                <w:color w:val="000000"/>
                <w:sz w:val="20"/>
                <w:lang w:val="sv-SE"/>
              </w:rPr>
            </w:pPr>
            <w:r w:rsidRPr="00800D1B">
              <w:rPr>
                <w:color w:val="000000"/>
                <w:sz w:val="20"/>
                <w:lang w:val="sv-SE"/>
              </w:rPr>
              <w:t xml:space="preserve">PTS förslag på nyckelindikatorer samt hur uppföljningen bör hanteras och hur detta arbete relateras till myndighetens befintliga arbete med uppföljning och analys av tillgängligheten till it-infrastruktur är vägledande för Övre Norrlands arbete. </w:t>
            </w:r>
          </w:p>
        </w:tc>
      </w:tr>
      <w:tr w:rsidR="003422DB" w:rsidRPr="00BD3045" w14:paraId="2D066AF5" w14:textId="77777777" w:rsidTr="00A26CDD">
        <w:tc>
          <w:tcPr>
            <w:tcW w:w="1600" w:type="dxa"/>
            <w:vMerge w:val="restart"/>
          </w:tcPr>
          <w:p w14:paraId="2D066AE9" w14:textId="51569EEB" w:rsidR="00A77B3E" w:rsidRPr="00800D1B" w:rsidRDefault="00623E14">
            <w:pPr>
              <w:pStyle w:val="Liststycke"/>
              <w:numPr>
                <w:ilvl w:val="0"/>
                <w:numId w:val="72"/>
              </w:numPr>
              <w:tabs>
                <w:tab w:val="left" w:pos="300"/>
              </w:tabs>
              <w:spacing w:before="100" w:after="100"/>
              <w:ind w:left="-72" w:firstLine="0"/>
              <w:rPr>
                <w:color w:val="000000"/>
                <w:sz w:val="20"/>
                <w:lang w:val="sv-SE"/>
              </w:rPr>
            </w:pPr>
            <w:r w:rsidRPr="00800D1B">
              <w:rPr>
                <w:color w:val="000000"/>
                <w:sz w:val="20"/>
                <w:lang w:val="sv-SE"/>
              </w:rPr>
              <w:t>Styrning av energisektorn</w:t>
            </w:r>
          </w:p>
        </w:tc>
        <w:tc>
          <w:tcPr>
            <w:tcW w:w="800" w:type="dxa"/>
            <w:vMerge w:val="restart"/>
          </w:tcPr>
          <w:p w14:paraId="2D066AEC" w14:textId="37D7D48A" w:rsidR="00A77B3E" w:rsidRPr="00800D1B" w:rsidRDefault="00623E14" w:rsidP="00A52AEE">
            <w:pPr>
              <w:spacing w:before="120" w:after="100"/>
              <w:ind w:left="-72"/>
              <w:rPr>
                <w:color w:val="000000"/>
                <w:sz w:val="20"/>
                <w:lang w:val="sv-SE"/>
              </w:rPr>
            </w:pPr>
            <w:r w:rsidRPr="00800D1B">
              <w:rPr>
                <w:color w:val="000000"/>
                <w:sz w:val="20"/>
                <w:szCs w:val="20"/>
                <w:lang w:val="sv-SE"/>
              </w:rPr>
              <w:t>Eruf</w:t>
            </w:r>
          </w:p>
        </w:tc>
        <w:tc>
          <w:tcPr>
            <w:tcW w:w="1600" w:type="dxa"/>
            <w:vMerge w:val="restart"/>
          </w:tcPr>
          <w:p w14:paraId="2D066AEF" w14:textId="6E01920A" w:rsidR="00A77B3E" w:rsidRPr="00800D1B" w:rsidRDefault="00623E14" w:rsidP="00A52AEE">
            <w:pPr>
              <w:spacing w:before="120" w:after="100"/>
              <w:ind w:left="-72"/>
              <w:rPr>
                <w:color w:val="000000"/>
                <w:sz w:val="20"/>
                <w:lang w:val="sv-SE"/>
              </w:rPr>
            </w:pPr>
            <w:r w:rsidRPr="00800D1B">
              <w:rPr>
                <w:color w:val="000000"/>
                <w:sz w:val="20"/>
                <w:szCs w:val="20"/>
                <w:lang w:val="sv-SE"/>
              </w:rPr>
              <w:t>RSO2.2. Främja förnybar energi i enlighet med direktiv (EU) 2018/2001[1] om förnybar energi, inbegripet de hållbarhetskriterier som anges där</w:t>
            </w:r>
          </w:p>
        </w:tc>
        <w:tc>
          <w:tcPr>
            <w:tcW w:w="1000" w:type="dxa"/>
            <w:vMerge w:val="restart"/>
          </w:tcPr>
          <w:p w14:paraId="2D066AF0" w14:textId="77777777" w:rsidR="00A77B3E" w:rsidRPr="00800D1B" w:rsidRDefault="00623E14" w:rsidP="00A26CDD">
            <w:pPr>
              <w:spacing w:before="100" w:after="100"/>
              <w:ind w:left="-72"/>
              <w:jc w:val="center"/>
              <w:rPr>
                <w:color w:val="000000"/>
                <w:sz w:val="20"/>
                <w:lang w:val="sv-SE"/>
              </w:rPr>
            </w:pPr>
            <w:r w:rsidRPr="00800D1B">
              <w:rPr>
                <w:color w:val="000000"/>
                <w:sz w:val="20"/>
                <w:lang w:val="sv-SE"/>
              </w:rPr>
              <w:t>Ja</w:t>
            </w:r>
          </w:p>
        </w:tc>
        <w:tc>
          <w:tcPr>
            <w:tcW w:w="2800" w:type="dxa"/>
          </w:tcPr>
          <w:p w14:paraId="422245AD" w14:textId="77777777" w:rsidR="00B51E31" w:rsidRPr="00800D1B" w:rsidRDefault="00623E14" w:rsidP="00A26CDD">
            <w:pPr>
              <w:spacing w:before="100" w:after="100"/>
              <w:ind w:left="-72"/>
              <w:rPr>
                <w:color w:val="000000"/>
                <w:sz w:val="20"/>
                <w:lang w:val="sv-SE"/>
              </w:rPr>
            </w:pPr>
            <w:r w:rsidRPr="00800D1B">
              <w:rPr>
                <w:color w:val="000000"/>
                <w:sz w:val="20"/>
                <w:lang w:val="sv-SE"/>
              </w:rPr>
              <w:t>Den integrerade nationella energi- och klimatplanen meddelas till kommissionen i enlighet med artikel 3 i förordning (EU) 2018/1999 och överensstämmer med de långsiktiga målen för minskning av växthusgasutsläppen enligt Parisavtalet, vilket inkluderar följande:</w:t>
            </w:r>
          </w:p>
          <w:p w14:paraId="2D066AF1" w14:textId="6E7ADB11" w:rsidR="00A77B3E" w:rsidRPr="00800D1B" w:rsidRDefault="00623E14">
            <w:pPr>
              <w:pStyle w:val="Liststycke"/>
              <w:numPr>
                <w:ilvl w:val="0"/>
                <w:numId w:val="83"/>
              </w:numPr>
              <w:tabs>
                <w:tab w:val="left" w:pos="151"/>
              </w:tabs>
              <w:spacing w:after="100"/>
              <w:ind w:left="-72" w:hanging="29"/>
              <w:rPr>
                <w:color w:val="000000"/>
                <w:sz w:val="20"/>
                <w:lang w:val="sv-SE"/>
              </w:rPr>
            </w:pPr>
            <w:r w:rsidRPr="00800D1B">
              <w:rPr>
                <w:color w:val="000000"/>
                <w:sz w:val="20"/>
                <w:lang w:val="sv-SE"/>
              </w:rPr>
              <w:t>Alla delar som krävs enligt mallen i bilaga I till förordning (EU) 2018/1999.</w:t>
            </w:r>
          </w:p>
        </w:tc>
        <w:tc>
          <w:tcPr>
            <w:tcW w:w="1000" w:type="dxa"/>
          </w:tcPr>
          <w:p w14:paraId="2D066AF2" w14:textId="77777777" w:rsidR="00A77B3E" w:rsidRPr="00800D1B" w:rsidRDefault="00623E14" w:rsidP="00A26CDD">
            <w:pPr>
              <w:spacing w:before="100" w:after="100"/>
              <w:ind w:left="-72"/>
              <w:jc w:val="center"/>
              <w:rPr>
                <w:color w:val="000000"/>
                <w:sz w:val="20"/>
                <w:lang w:val="sv-SE"/>
              </w:rPr>
            </w:pPr>
            <w:r w:rsidRPr="00800D1B">
              <w:rPr>
                <w:color w:val="000000"/>
                <w:sz w:val="20"/>
                <w:lang w:val="sv-SE"/>
              </w:rPr>
              <w:t>Ja</w:t>
            </w:r>
          </w:p>
        </w:tc>
        <w:tc>
          <w:tcPr>
            <w:tcW w:w="3400" w:type="dxa"/>
          </w:tcPr>
          <w:p w14:paraId="2D066AF3" w14:textId="2B81F9DE" w:rsidR="00A77B3E" w:rsidRPr="00800D1B" w:rsidRDefault="00000000" w:rsidP="00A26CDD">
            <w:pPr>
              <w:spacing w:before="100" w:after="100"/>
              <w:ind w:left="-72"/>
              <w:rPr>
                <w:color w:val="000000"/>
                <w:sz w:val="20"/>
                <w:lang w:val="sv-SE"/>
              </w:rPr>
            </w:pPr>
            <w:hyperlink r:id="rId76" w:history="1">
              <w:r w:rsidR="00623E14" w:rsidRPr="00800D1B">
                <w:rPr>
                  <w:rStyle w:val="Hyperlnk"/>
                  <w:sz w:val="20"/>
                  <w:lang w:val="sv-SE"/>
                </w:rPr>
                <w:t>https://ec.europa.eu/energy/sites/ener/files/documents/se_final_necp_main_se.pdf</w:t>
              </w:r>
            </w:hyperlink>
            <w:r w:rsidR="00623E14" w:rsidRPr="00800D1B">
              <w:rPr>
                <w:color w:val="000000"/>
                <w:sz w:val="20"/>
                <w:lang w:val="sv-SE"/>
              </w:rPr>
              <w:t xml:space="preserve"> </w:t>
            </w:r>
          </w:p>
        </w:tc>
        <w:tc>
          <w:tcPr>
            <w:tcW w:w="3400" w:type="dxa"/>
          </w:tcPr>
          <w:p w14:paraId="2D066AF4" w14:textId="36ADDD75" w:rsidR="00A77B3E" w:rsidRPr="00800D1B" w:rsidRDefault="00623E14" w:rsidP="00A26CDD">
            <w:pPr>
              <w:spacing w:before="100" w:after="100"/>
              <w:ind w:left="-72"/>
              <w:rPr>
                <w:color w:val="000000"/>
                <w:sz w:val="20"/>
                <w:lang w:val="sv-SE"/>
              </w:rPr>
            </w:pPr>
            <w:r w:rsidRPr="00800D1B">
              <w:rPr>
                <w:color w:val="000000"/>
                <w:sz w:val="20"/>
                <w:lang w:val="sv-SE"/>
              </w:rPr>
              <w:t>Den integrerade energi- och klimatplanen är framtagen enligt mallen i bilaga I till förordningen om styrningen av energiunionen. Planen utgår från Sveriges befintliga mål och beslutade styrmedel och åtgärder för energi- och klimatområdet och scenarier baserade på dessa.</w:t>
            </w:r>
            <w:r w:rsidR="00CF74CB" w:rsidRPr="00800D1B">
              <w:rPr>
                <w:color w:val="000000"/>
                <w:sz w:val="20"/>
                <w:lang w:val="sv-SE"/>
              </w:rPr>
              <w:t xml:space="preserve"> </w:t>
            </w:r>
          </w:p>
        </w:tc>
      </w:tr>
      <w:tr w:rsidR="003422DB" w:rsidRPr="00BD3045" w14:paraId="2D066AFE" w14:textId="77777777" w:rsidTr="00A26CDD">
        <w:tc>
          <w:tcPr>
            <w:tcW w:w="1600" w:type="dxa"/>
            <w:vMerge/>
          </w:tcPr>
          <w:p w14:paraId="2D066AF6" w14:textId="77777777" w:rsidR="00A77B3E" w:rsidRPr="00800D1B" w:rsidRDefault="00A77B3E" w:rsidP="00A26CDD">
            <w:pPr>
              <w:spacing w:before="100" w:after="100"/>
              <w:ind w:left="-72"/>
              <w:rPr>
                <w:color w:val="000000"/>
                <w:sz w:val="20"/>
                <w:lang w:val="sv-SE"/>
              </w:rPr>
            </w:pPr>
          </w:p>
        </w:tc>
        <w:tc>
          <w:tcPr>
            <w:tcW w:w="800" w:type="dxa"/>
            <w:vMerge/>
          </w:tcPr>
          <w:p w14:paraId="2D066AF7" w14:textId="77777777" w:rsidR="00A77B3E" w:rsidRPr="00800D1B" w:rsidRDefault="00A77B3E" w:rsidP="00A26CDD">
            <w:pPr>
              <w:spacing w:before="100" w:after="100"/>
              <w:ind w:left="-72"/>
              <w:rPr>
                <w:color w:val="000000"/>
                <w:sz w:val="20"/>
                <w:lang w:val="sv-SE"/>
              </w:rPr>
            </w:pPr>
          </w:p>
        </w:tc>
        <w:tc>
          <w:tcPr>
            <w:tcW w:w="1600" w:type="dxa"/>
            <w:vMerge/>
          </w:tcPr>
          <w:p w14:paraId="2D066AF8" w14:textId="77777777" w:rsidR="00A77B3E" w:rsidRPr="00800D1B" w:rsidRDefault="00A77B3E" w:rsidP="00A26CDD">
            <w:pPr>
              <w:spacing w:before="100" w:after="100"/>
              <w:ind w:left="-72"/>
              <w:rPr>
                <w:color w:val="000000"/>
                <w:sz w:val="20"/>
                <w:lang w:val="sv-SE"/>
              </w:rPr>
            </w:pPr>
          </w:p>
        </w:tc>
        <w:tc>
          <w:tcPr>
            <w:tcW w:w="1000" w:type="dxa"/>
            <w:vMerge/>
          </w:tcPr>
          <w:p w14:paraId="2D066AF9" w14:textId="77777777" w:rsidR="00A77B3E" w:rsidRPr="00800D1B" w:rsidRDefault="00A77B3E" w:rsidP="00A26CDD">
            <w:pPr>
              <w:spacing w:before="100" w:after="100"/>
              <w:ind w:left="-72"/>
              <w:rPr>
                <w:color w:val="000000"/>
                <w:sz w:val="20"/>
                <w:lang w:val="sv-SE"/>
              </w:rPr>
            </w:pPr>
          </w:p>
        </w:tc>
        <w:tc>
          <w:tcPr>
            <w:tcW w:w="2800" w:type="dxa"/>
          </w:tcPr>
          <w:p w14:paraId="2D066AFA" w14:textId="4895220C" w:rsidR="00A77B3E" w:rsidRPr="00800D1B" w:rsidRDefault="00623E14">
            <w:pPr>
              <w:pStyle w:val="Liststycke"/>
              <w:numPr>
                <w:ilvl w:val="0"/>
                <w:numId w:val="83"/>
              </w:numPr>
              <w:tabs>
                <w:tab w:val="left" w:pos="151"/>
              </w:tabs>
              <w:spacing w:before="100" w:after="100"/>
              <w:ind w:left="-72" w:hanging="29"/>
              <w:rPr>
                <w:color w:val="000000"/>
                <w:sz w:val="20"/>
                <w:lang w:val="sv-SE"/>
              </w:rPr>
            </w:pPr>
            <w:r w:rsidRPr="00800D1B">
              <w:rPr>
                <w:color w:val="000000"/>
                <w:sz w:val="20"/>
                <w:lang w:val="sv-SE"/>
              </w:rPr>
              <w:t xml:space="preserve">En beskrivning av planerade ekonomiska resurser och mekanismer för åtgärder som främjar koldioxidsnål energi. </w:t>
            </w:r>
          </w:p>
        </w:tc>
        <w:tc>
          <w:tcPr>
            <w:tcW w:w="1000" w:type="dxa"/>
          </w:tcPr>
          <w:p w14:paraId="2D066AFB" w14:textId="77777777" w:rsidR="00A77B3E" w:rsidRPr="00800D1B" w:rsidRDefault="00623E14" w:rsidP="00A26CDD">
            <w:pPr>
              <w:spacing w:before="100" w:after="100"/>
              <w:ind w:left="-72"/>
              <w:jc w:val="center"/>
              <w:rPr>
                <w:color w:val="000000"/>
                <w:sz w:val="20"/>
                <w:lang w:val="sv-SE"/>
              </w:rPr>
            </w:pPr>
            <w:r w:rsidRPr="00800D1B">
              <w:rPr>
                <w:color w:val="000000"/>
                <w:sz w:val="20"/>
                <w:lang w:val="sv-SE"/>
              </w:rPr>
              <w:t>Ja</w:t>
            </w:r>
          </w:p>
        </w:tc>
        <w:tc>
          <w:tcPr>
            <w:tcW w:w="3400" w:type="dxa"/>
          </w:tcPr>
          <w:p w14:paraId="2D066AFC" w14:textId="642ACE19" w:rsidR="00A77B3E" w:rsidRPr="00800D1B" w:rsidRDefault="00000000" w:rsidP="00A26CDD">
            <w:pPr>
              <w:spacing w:before="100" w:after="100"/>
              <w:ind w:left="-72"/>
              <w:rPr>
                <w:color w:val="000000"/>
                <w:sz w:val="20"/>
                <w:lang w:val="sv-SE"/>
              </w:rPr>
            </w:pPr>
            <w:hyperlink r:id="rId77" w:history="1">
              <w:r w:rsidR="008F36D6" w:rsidRPr="00800D1B">
                <w:rPr>
                  <w:rStyle w:val="Hyperlnk"/>
                  <w:sz w:val="20"/>
                  <w:lang w:val="sv-SE"/>
                </w:rPr>
                <w:t>https://ec.europa.eu/energy/sites/ener/files/documents/se_final_necp_main_se.pdf</w:t>
              </w:r>
            </w:hyperlink>
            <w:r w:rsidR="00623E14" w:rsidRPr="00800D1B">
              <w:rPr>
                <w:color w:val="000000"/>
                <w:sz w:val="20"/>
                <w:lang w:val="sv-SE"/>
              </w:rPr>
              <w:t xml:space="preserve">Styrmedel och åtgärder beskrivs i avsnitt 3. </w:t>
            </w:r>
          </w:p>
        </w:tc>
        <w:tc>
          <w:tcPr>
            <w:tcW w:w="3400" w:type="dxa"/>
          </w:tcPr>
          <w:p w14:paraId="2D066AFD" w14:textId="77777777" w:rsidR="00A77B3E" w:rsidRPr="00800D1B" w:rsidRDefault="00623E14" w:rsidP="00A26CDD">
            <w:pPr>
              <w:spacing w:before="100" w:after="100"/>
              <w:ind w:left="-72"/>
              <w:rPr>
                <w:color w:val="000000"/>
                <w:sz w:val="20"/>
                <w:lang w:val="sv-SE"/>
              </w:rPr>
            </w:pPr>
            <w:r w:rsidRPr="00800D1B">
              <w:rPr>
                <w:color w:val="000000"/>
                <w:sz w:val="20"/>
                <w:lang w:val="sv-SE"/>
              </w:rPr>
              <w:t xml:space="preserve">Sverige har flera styrmedel och åtgärder som främjar förnybar energi och minskade utsläpp av växthusgaser. </w:t>
            </w:r>
          </w:p>
        </w:tc>
      </w:tr>
      <w:tr w:rsidR="003422DB" w:rsidRPr="00BD3045" w14:paraId="2D066B0B" w14:textId="77777777" w:rsidTr="00A26CDD">
        <w:tc>
          <w:tcPr>
            <w:tcW w:w="1600" w:type="dxa"/>
            <w:vMerge w:val="restart"/>
          </w:tcPr>
          <w:p w14:paraId="2D066AFF" w14:textId="1076D4EC" w:rsidR="00A77B3E" w:rsidRPr="00800D1B" w:rsidRDefault="00623E14">
            <w:pPr>
              <w:pStyle w:val="Liststycke"/>
              <w:numPr>
                <w:ilvl w:val="0"/>
                <w:numId w:val="73"/>
              </w:numPr>
              <w:tabs>
                <w:tab w:val="left" w:pos="300"/>
              </w:tabs>
              <w:spacing w:before="100" w:after="100"/>
              <w:ind w:left="-72" w:firstLine="0"/>
              <w:rPr>
                <w:color w:val="000000"/>
                <w:sz w:val="20"/>
                <w:lang w:val="sv-SE"/>
              </w:rPr>
            </w:pPr>
            <w:r w:rsidRPr="00800D1B">
              <w:rPr>
                <w:color w:val="000000"/>
                <w:sz w:val="20"/>
                <w:lang w:val="sv-SE"/>
              </w:rPr>
              <w:t>Effektivt främja användning av förnybar energi inom alla sektorer och över hela EU</w:t>
            </w:r>
          </w:p>
        </w:tc>
        <w:tc>
          <w:tcPr>
            <w:tcW w:w="800" w:type="dxa"/>
            <w:vMerge w:val="restart"/>
          </w:tcPr>
          <w:p w14:paraId="2D066B02" w14:textId="39D32B51" w:rsidR="00A77B3E" w:rsidRPr="00800D1B" w:rsidRDefault="00623E14" w:rsidP="00A52AEE">
            <w:pPr>
              <w:spacing w:before="120" w:after="100"/>
              <w:ind w:left="-72"/>
              <w:rPr>
                <w:color w:val="000000"/>
                <w:sz w:val="20"/>
                <w:lang w:val="sv-SE"/>
              </w:rPr>
            </w:pPr>
            <w:r w:rsidRPr="00800D1B">
              <w:rPr>
                <w:color w:val="000000"/>
                <w:sz w:val="20"/>
                <w:szCs w:val="20"/>
                <w:lang w:val="sv-SE"/>
              </w:rPr>
              <w:t>Eruf</w:t>
            </w:r>
          </w:p>
        </w:tc>
        <w:tc>
          <w:tcPr>
            <w:tcW w:w="1600" w:type="dxa"/>
            <w:vMerge w:val="restart"/>
          </w:tcPr>
          <w:p w14:paraId="2D066B05" w14:textId="75319B23" w:rsidR="00A77B3E" w:rsidRPr="00800D1B" w:rsidRDefault="00623E14" w:rsidP="00A52AEE">
            <w:pPr>
              <w:spacing w:before="120" w:after="100"/>
              <w:ind w:left="-72"/>
              <w:rPr>
                <w:color w:val="000000"/>
                <w:sz w:val="20"/>
                <w:lang w:val="sv-SE"/>
              </w:rPr>
            </w:pPr>
            <w:r w:rsidRPr="00800D1B">
              <w:rPr>
                <w:color w:val="000000"/>
                <w:sz w:val="20"/>
                <w:szCs w:val="20"/>
                <w:lang w:val="sv-SE"/>
              </w:rPr>
              <w:t>RSO2.2. Främja förnybar energi i enlighet med direktiv (EU) 2018/2001[1] om förnybar energi, inbegripet de hållbarhetskriterier som anges där</w:t>
            </w:r>
          </w:p>
        </w:tc>
        <w:tc>
          <w:tcPr>
            <w:tcW w:w="1000" w:type="dxa"/>
            <w:vMerge w:val="restart"/>
          </w:tcPr>
          <w:p w14:paraId="2D066B06" w14:textId="77777777" w:rsidR="00A77B3E" w:rsidRPr="00800D1B" w:rsidRDefault="00623E14" w:rsidP="00A26CDD">
            <w:pPr>
              <w:spacing w:before="100" w:after="100"/>
              <w:ind w:left="-72"/>
              <w:jc w:val="center"/>
              <w:rPr>
                <w:color w:val="000000"/>
                <w:sz w:val="20"/>
                <w:lang w:val="sv-SE"/>
              </w:rPr>
            </w:pPr>
            <w:r w:rsidRPr="00800D1B">
              <w:rPr>
                <w:color w:val="000000"/>
                <w:sz w:val="20"/>
                <w:lang w:val="sv-SE"/>
              </w:rPr>
              <w:t>Ja</w:t>
            </w:r>
          </w:p>
        </w:tc>
        <w:tc>
          <w:tcPr>
            <w:tcW w:w="2800" w:type="dxa"/>
          </w:tcPr>
          <w:p w14:paraId="42859CF4" w14:textId="77777777" w:rsidR="005316EE" w:rsidRPr="00800D1B" w:rsidRDefault="00623E14" w:rsidP="00A26CDD">
            <w:pPr>
              <w:spacing w:before="100" w:after="100"/>
              <w:ind w:left="-72"/>
              <w:rPr>
                <w:color w:val="000000"/>
                <w:sz w:val="20"/>
                <w:lang w:val="sv-SE"/>
              </w:rPr>
            </w:pPr>
            <w:r w:rsidRPr="00800D1B">
              <w:rPr>
                <w:color w:val="000000"/>
                <w:sz w:val="20"/>
                <w:lang w:val="sv-SE"/>
              </w:rPr>
              <w:t>Åtgärder har vidtagits för att säkerställa följande:</w:t>
            </w:r>
          </w:p>
          <w:p w14:paraId="2D066B07" w14:textId="0DDF78FA" w:rsidR="00A77B3E" w:rsidRPr="00800D1B" w:rsidRDefault="00623E14">
            <w:pPr>
              <w:pStyle w:val="Liststycke"/>
              <w:numPr>
                <w:ilvl w:val="0"/>
                <w:numId w:val="84"/>
              </w:numPr>
              <w:tabs>
                <w:tab w:val="left" w:pos="241"/>
              </w:tabs>
              <w:spacing w:after="100"/>
              <w:ind w:left="-72" w:hanging="29"/>
              <w:rPr>
                <w:color w:val="000000"/>
                <w:sz w:val="20"/>
                <w:lang w:val="sv-SE"/>
              </w:rPr>
            </w:pPr>
            <w:r w:rsidRPr="00800D1B">
              <w:rPr>
                <w:color w:val="000000"/>
                <w:sz w:val="20"/>
                <w:lang w:val="sv-SE"/>
              </w:rPr>
              <w:t>Efterlevnad av det bindande nationella målet för förnybar energi 2020 och med denna andel förnybar energi som ett referensscenario fram till 2030 eller vidtagande av ytterligare åtgärder om referensscenariot inte upprätthålls under en ettårsperiod i enlighet med direktiv (EU) 2018/2001 och förordning (EU) 2018/1999.</w:t>
            </w:r>
          </w:p>
        </w:tc>
        <w:tc>
          <w:tcPr>
            <w:tcW w:w="1000" w:type="dxa"/>
          </w:tcPr>
          <w:p w14:paraId="2D066B08" w14:textId="77777777" w:rsidR="00A77B3E" w:rsidRPr="00800D1B" w:rsidRDefault="00623E14" w:rsidP="00A26CDD">
            <w:pPr>
              <w:spacing w:before="100" w:after="100"/>
              <w:ind w:left="-72"/>
              <w:jc w:val="center"/>
              <w:rPr>
                <w:color w:val="000000"/>
                <w:sz w:val="20"/>
                <w:lang w:val="sv-SE"/>
              </w:rPr>
            </w:pPr>
            <w:r w:rsidRPr="00800D1B">
              <w:rPr>
                <w:color w:val="000000"/>
                <w:sz w:val="20"/>
                <w:lang w:val="sv-SE"/>
              </w:rPr>
              <w:t>Ja</w:t>
            </w:r>
          </w:p>
        </w:tc>
        <w:tc>
          <w:tcPr>
            <w:tcW w:w="3400" w:type="dxa"/>
          </w:tcPr>
          <w:p w14:paraId="103565A7" w14:textId="77777777" w:rsidR="00BB34C4" w:rsidRPr="00800D1B" w:rsidRDefault="00623E14" w:rsidP="00A26CDD">
            <w:pPr>
              <w:spacing w:before="100" w:after="100"/>
              <w:ind w:left="-72" w:right="-6"/>
              <w:rPr>
                <w:color w:val="000000"/>
                <w:sz w:val="20"/>
                <w:lang w:val="sv-SE"/>
              </w:rPr>
            </w:pPr>
            <w:r w:rsidRPr="00800D1B">
              <w:rPr>
                <w:color w:val="000000"/>
                <w:sz w:val="20"/>
                <w:lang w:val="sv-SE"/>
              </w:rPr>
              <w:t>Att båda mål nåddes redan 2012 visas i Shares, EU:s beräkningsverktyg för andelen förnybar energi:</w:t>
            </w:r>
            <w:r w:rsidR="00CF74CB" w:rsidRPr="00800D1B">
              <w:rPr>
                <w:color w:val="000000"/>
                <w:sz w:val="20"/>
                <w:lang w:val="sv-SE"/>
              </w:rPr>
              <w:t xml:space="preserve"> </w:t>
            </w:r>
            <w:hyperlink r:id="rId78" w:history="1">
              <w:r w:rsidR="00BB34C4" w:rsidRPr="00800D1B">
                <w:rPr>
                  <w:rStyle w:val="Hyperlnk"/>
                  <w:sz w:val="20"/>
                  <w:lang w:val="sv-SE"/>
                </w:rPr>
                <w:t>https://ec.europa.eu/eurostat/documents/38154/4956088/SUMMARY+partial+provisional+results+SHARES+2018/25ce9f29-7053-17c5-12a6-8efe878b6031</w:t>
              </w:r>
            </w:hyperlink>
          </w:p>
          <w:p w14:paraId="2D066B09" w14:textId="4C9F2403" w:rsidR="00A77B3E" w:rsidRPr="00800D1B" w:rsidRDefault="00623E14" w:rsidP="00A26CDD">
            <w:pPr>
              <w:spacing w:after="100"/>
              <w:ind w:left="-72" w:right="-6"/>
              <w:rPr>
                <w:color w:val="000000"/>
                <w:sz w:val="20"/>
                <w:lang w:val="sv-SE"/>
              </w:rPr>
            </w:pPr>
            <w:r w:rsidRPr="00800D1B">
              <w:rPr>
                <w:color w:val="000000"/>
                <w:sz w:val="20"/>
                <w:lang w:val="sv-SE"/>
              </w:rPr>
              <w:t xml:space="preserve">Bedömning av andel förnybar energi görs med utgångspunkt från de två senast gjorda långsiktiga scenarier från 2016 och 2018 och finns sammanfattat i Sveriges energi- och klimatplan: </w:t>
            </w:r>
            <w:hyperlink r:id="rId79" w:history="1">
              <w:r w:rsidR="00BB34C4" w:rsidRPr="00800D1B">
                <w:rPr>
                  <w:rStyle w:val="Hyperlnk"/>
                  <w:sz w:val="20"/>
                  <w:lang w:val="sv-SE"/>
                </w:rPr>
                <w:t>https://ec.europa.eu/energy/sites/ener/files/documents/se_final_necp_main_se.pdf</w:t>
              </w:r>
            </w:hyperlink>
          </w:p>
        </w:tc>
        <w:tc>
          <w:tcPr>
            <w:tcW w:w="3400" w:type="dxa"/>
          </w:tcPr>
          <w:p w14:paraId="2D066B0A" w14:textId="77777777" w:rsidR="00A77B3E" w:rsidRPr="00800D1B" w:rsidRDefault="00623E14" w:rsidP="00A26CDD">
            <w:pPr>
              <w:spacing w:before="100" w:after="100"/>
              <w:ind w:left="-72"/>
              <w:rPr>
                <w:color w:val="000000"/>
                <w:sz w:val="20"/>
                <w:lang w:val="sv-SE"/>
              </w:rPr>
            </w:pPr>
            <w:r w:rsidRPr="00800D1B">
              <w:rPr>
                <w:color w:val="000000"/>
                <w:sz w:val="20"/>
                <w:lang w:val="sv-SE"/>
              </w:rPr>
              <w:t xml:space="preserve">Målet till år 2020 för Sverige enligt EU:s är fördelning på 49 procent och nationellt mål är 50 procent förnybar energi. Båda dessa målnivåer passerades redan år 2012 och andelen förnybar energi uppgick till 56,4 procent under år 2019. Sverige har inget nationellt fastställt mål för år 2030 men anger i NECP ett nationellt bidrag på 65 procent förnybar energi till det gemensamma EU-målet. </w:t>
            </w:r>
          </w:p>
        </w:tc>
      </w:tr>
      <w:tr w:rsidR="003422DB" w:rsidRPr="00BD3045" w14:paraId="2D066B14" w14:textId="77777777" w:rsidTr="00A26CDD">
        <w:tc>
          <w:tcPr>
            <w:tcW w:w="1600" w:type="dxa"/>
            <w:vMerge/>
          </w:tcPr>
          <w:p w14:paraId="2D066B0C" w14:textId="77777777" w:rsidR="00A77B3E" w:rsidRPr="00800D1B" w:rsidRDefault="00A77B3E" w:rsidP="00A26CDD">
            <w:pPr>
              <w:spacing w:before="100" w:after="100"/>
              <w:ind w:left="-72"/>
              <w:rPr>
                <w:color w:val="000000"/>
                <w:sz w:val="20"/>
                <w:lang w:val="sv-SE"/>
              </w:rPr>
            </w:pPr>
          </w:p>
        </w:tc>
        <w:tc>
          <w:tcPr>
            <w:tcW w:w="800" w:type="dxa"/>
            <w:vMerge/>
          </w:tcPr>
          <w:p w14:paraId="2D066B0D" w14:textId="77777777" w:rsidR="00A77B3E" w:rsidRPr="00800D1B" w:rsidRDefault="00A77B3E" w:rsidP="00A26CDD">
            <w:pPr>
              <w:spacing w:before="100" w:after="100"/>
              <w:ind w:left="-72"/>
              <w:rPr>
                <w:color w:val="000000"/>
                <w:sz w:val="20"/>
                <w:lang w:val="sv-SE"/>
              </w:rPr>
            </w:pPr>
          </w:p>
        </w:tc>
        <w:tc>
          <w:tcPr>
            <w:tcW w:w="1600" w:type="dxa"/>
            <w:vMerge/>
          </w:tcPr>
          <w:p w14:paraId="2D066B0E" w14:textId="77777777" w:rsidR="00A77B3E" w:rsidRPr="00800D1B" w:rsidRDefault="00A77B3E" w:rsidP="00A26CDD">
            <w:pPr>
              <w:spacing w:before="100" w:after="100"/>
              <w:ind w:left="-72"/>
              <w:rPr>
                <w:color w:val="000000"/>
                <w:sz w:val="20"/>
                <w:lang w:val="sv-SE"/>
              </w:rPr>
            </w:pPr>
          </w:p>
        </w:tc>
        <w:tc>
          <w:tcPr>
            <w:tcW w:w="1000" w:type="dxa"/>
            <w:vMerge/>
          </w:tcPr>
          <w:p w14:paraId="2D066B0F" w14:textId="77777777" w:rsidR="00A77B3E" w:rsidRPr="00800D1B" w:rsidRDefault="00A77B3E" w:rsidP="00A26CDD">
            <w:pPr>
              <w:spacing w:before="100" w:after="100"/>
              <w:ind w:left="-72"/>
              <w:rPr>
                <w:color w:val="000000"/>
                <w:sz w:val="20"/>
                <w:lang w:val="sv-SE"/>
              </w:rPr>
            </w:pPr>
          </w:p>
        </w:tc>
        <w:tc>
          <w:tcPr>
            <w:tcW w:w="2800" w:type="dxa"/>
          </w:tcPr>
          <w:p w14:paraId="2D066B10" w14:textId="0C0A9DA2" w:rsidR="00A77B3E" w:rsidRPr="00800D1B" w:rsidRDefault="00623E14">
            <w:pPr>
              <w:pStyle w:val="Liststycke"/>
              <w:numPr>
                <w:ilvl w:val="0"/>
                <w:numId w:val="84"/>
              </w:numPr>
              <w:tabs>
                <w:tab w:val="left" w:pos="241"/>
              </w:tabs>
              <w:spacing w:before="100" w:after="100"/>
              <w:ind w:left="-72" w:hanging="29"/>
              <w:rPr>
                <w:color w:val="000000"/>
                <w:sz w:val="20"/>
                <w:lang w:val="sv-SE"/>
              </w:rPr>
            </w:pPr>
            <w:r w:rsidRPr="00800D1B">
              <w:rPr>
                <w:color w:val="000000"/>
                <w:sz w:val="20"/>
                <w:lang w:val="sv-SE"/>
              </w:rPr>
              <w:t>I enlighet med kraven i direktiv (EU) 2018/2001 och förordning (EU) 2018/1999, en ökning av andelen förnybar energi inom värme- och kylsektorn i linje med artikel 23 i direktiv (EU) 2018/2001.</w:t>
            </w:r>
          </w:p>
        </w:tc>
        <w:tc>
          <w:tcPr>
            <w:tcW w:w="1000" w:type="dxa"/>
          </w:tcPr>
          <w:p w14:paraId="2D066B11" w14:textId="77777777" w:rsidR="00A77B3E" w:rsidRPr="00800D1B" w:rsidRDefault="00623E14" w:rsidP="00A26CDD">
            <w:pPr>
              <w:spacing w:before="100" w:after="100"/>
              <w:ind w:left="-72"/>
              <w:jc w:val="center"/>
              <w:rPr>
                <w:color w:val="000000"/>
                <w:sz w:val="20"/>
                <w:lang w:val="sv-SE"/>
              </w:rPr>
            </w:pPr>
            <w:r w:rsidRPr="00800D1B">
              <w:rPr>
                <w:color w:val="000000"/>
                <w:sz w:val="20"/>
                <w:lang w:val="sv-SE"/>
              </w:rPr>
              <w:t>Ja</w:t>
            </w:r>
          </w:p>
        </w:tc>
        <w:tc>
          <w:tcPr>
            <w:tcW w:w="3400" w:type="dxa"/>
          </w:tcPr>
          <w:p w14:paraId="4FE2D8AC" w14:textId="77777777" w:rsidR="00BB34C4" w:rsidRPr="00800D1B" w:rsidRDefault="00000000" w:rsidP="00A26CDD">
            <w:pPr>
              <w:spacing w:before="100" w:after="100"/>
              <w:ind w:left="-72"/>
              <w:rPr>
                <w:color w:val="000000"/>
                <w:sz w:val="20"/>
                <w:lang w:val="sv-SE"/>
              </w:rPr>
            </w:pPr>
            <w:hyperlink r:id="rId80" w:history="1">
              <w:r w:rsidR="00BB34C4" w:rsidRPr="00800D1B">
                <w:rPr>
                  <w:rStyle w:val="Hyperlnk"/>
                  <w:sz w:val="20"/>
                  <w:lang w:val="sv-SE"/>
                </w:rPr>
                <w:t>https://ec.europa.eu/eurostat/documents/38154/4956088/SUMMARY+partial+provisional+results+SHARES+2018/25ce9f29-7053-17c5-12a6-8efe878b6031</w:t>
              </w:r>
            </w:hyperlink>
          </w:p>
          <w:p w14:paraId="39177174" w14:textId="77777777" w:rsidR="00BB34C4" w:rsidRPr="00800D1B" w:rsidRDefault="00623E14" w:rsidP="00A26CDD">
            <w:pPr>
              <w:spacing w:after="100"/>
              <w:ind w:left="-72"/>
              <w:rPr>
                <w:color w:val="000000"/>
                <w:sz w:val="20"/>
                <w:lang w:val="sv-SE"/>
              </w:rPr>
            </w:pPr>
            <w:r w:rsidRPr="00800D1B">
              <w:rPr>
                <w:color w:val="000000"/>
                <w:sz w:val="20"/>
                <w:lang w:val="sv-SE"/>
              </w:rPr>
              <w:t xml:space="preserve">Sveriges energi- och klimatplan: </w:t>
            </w:r>
            <w:hyperlink r:id="rId81" w:history="1">
              <w:r w:rsidR="00BB34C4" w:rsidRPr="00800D1B">
                <w:rPr>
                  <w:rStyle w:val="Hyperlnk"/>
                  <w:sz w:val="20"/>
                  <w:lang w:val="sv-SE"/>
                </w:rPr>
                <w:t>https://ec.europa.eu/eurostat/documents/38154/4956088/SUMMARY+partial+provisional+results+SHARES+2018/25ce9f29-7053-17c5-12a6-8efe878b6031</w:t>
              </w:r>
            </w:hyperlink>
          </w:p>
          <w:p w14:paraId="2D066B12" w14:textId="38369DE0" w:rsidR="00A77B3E" w:rsidRPr="00800D1B" w:rsidRDefault="00623E14" w:rsidP="00A26CDD">
            <w:pPr>
              <w:spacing w:after="100"/>
              <w:ind w:left="-72"/>
              <w:rPr>
                <w:color w:val="000000"/>
                <w:sz w:val="20"/>
                <w:lang w:val="sv-SE"/>
              </w:rPr>
            </w:pPr>
            <w:r w:rsidRPr="00800D1B">
              <w:rPr>
                <w:color w:val="000000"/>
                <w:sz w:val="20"/>
                <w:lang w:val="sv-SE"/>
              </w:rPr>
              <w:t xml:space="preserve">EUROPAPARLAMENTETS OCH RÅDETS DIREKTIV (EU) 2018/2001: </w:t>
            </w:r>
            <w:hyperlink r:id="rId82" w:history="1">
              <w:r w:rsidRPr="00800D1B">
                <w:rPr>
                  <w:rStyle w:val="Hyperlnk"/>
                  <w:sz w:val="20"/>
                  <w:lang w:val="sv-SE"/>
                </w:rPr>
                <w:t>https://eur-lex.europa.eu/legal-content/SV/TXT/PDF/?uri=CELEX:32018L2001&amp;from=EN</w:t>
              </w:r>
            </w:hyperlink>
            <w:r w:rsidRPr="00800D1B">
              <w:rPr>
                <w:color w:val="000000"/>
                <w:sz w:val="20"/>
                <w:lang w:val="sv-SE"/>
              </w:rPr>
              <w:t xml:space="preserve"> Se artikel 24, punkt 4a </w:t>
            </w:r>
          </w:p>
        </w:tc>
        <w:tc>
          <w:tcPr>
            <w:tcW w:w="3400" w:type="dxa"/>
          </w:tcPr>
          <w:p w14:paraId="2D066B13" w14:textId="77777777" w:rsidR="00A77B3E" w:rsidRPr="00800D1B" w:rsidRDefault="00623E14" w:rsidP="00A26CDD">
            <w:pPr>
              <w:spacing w:before="100" w:after="100"/>
              <w:ind w:left="-72"/>
              <w:rPr>
                <w:color w:val="000000"/>
                <w:sz w:val="20"/>
                <w:lang w:val="sv-SE"/>
              </w:rPr>
            </w:pPr>
            <w:r w:rsidRPr="00800D1B">
              <w:rPr>
                <w:color w:val="000000"/>
                <w:sz w:val="20"/>
                <w:lang w:val="sv-SE"/>
              </w:rPr>
              <w:t xml:space="preserve">I Sverige är andelen förnybart i sektorn värme och kyla 66,1 procent under år 2019 enligt Shares. För år 2030 görs bedömningen att andelen ökat till 72 procent på redan beslutade styrmedel, vilket redovisas i Sveriges energi- och klimatplan. Länder som redan har en andel förnybart på över 60 procent får dock räkna av sitt överskott från målet om årlig ökning av andelen förnybart i värmesektorn. </w:t>
            </w:r>
          </w:p>
        </w:tc>
      </w:tr>
      <w:tr w:rsidR="003422DB" w:rsidRPr="00800D1B" w14:paraId="2D066B24" w14:textId="77777777" w:rsidTr="00A26CDD">
        <w:tc>
          <w:tcPr>
            <w:tcW w:w="1600" w:type="dxa"/>
            <w:vMerge w:val="restart"/>
          </w:tcPr>
          <w:p w14:paraId="2D066B15" w14:textId="458ABC4A" w:rsidR="00A77B3E" w:rsidRPr="00800D1B" w:rsidRDefault="00623E14">
            <w:pPr>
              <w:pStyle w:val="Liststycke"/>
              <w:numPr>
                <w:ilvl w:val="0"/>
                <w:numId w:val="74"/>
              </w:numPr>
              <w:tabs>
                <w:tab w:val="left" w:pos="300"/>
              </w:tabs>
              <w:spacing w:before="100" w:after="100"/>
              <w:ind w:left="-72" w:firstLine="0"/>
              <w:rPr>
                <w:color w:val="000000"/>
                <w:sz w:val="20"/>
                <w:lang w:val="sv-SE"/>
              </w:rPr>
            </w:pPr>
            <w:r w:rsidRPr="00800D1B">
              <w:rPr>
                <w:color w:val="000000"/>
                <w:sz w:val="20"/>
                <w:lang w:val="sv-SE"/>
              </w:rPr>
              <w:t>Effektiv ram för riskhantering vad gäller katastrofer</w:t>
            </w:r>
          </w:p>
        </w:tc>
        <w:tc>
          <w:tcPr>
            <w:tcW w:w="800" w:type="dxa"/>
            <w:vMerge w:val="restart"/>
          </w:tcPr>
          <w:p w14:paraId="2D066B18" w14:textId="56099EF3" w:rsidR="00A77B3E" w:rsidRPr="00800D1B" w:rsidRDefault="00623E14" w:rsidP="00A52AEE">
            <w:pPr>
              <w:spacing w:before="120" w:after="100"/>
              <w:ind w:left="-72"/>
              <w:rPr>
                <w:color w:val="000000"/>
                <w:sz w:val="20"/>
                <w:lang w:val="sv-SE"/>
              </w:rPr>
            </w:pPr>
            <w:r w:rsidRPr="00800D1B">
              <w:rPr>
                <w:color w:val="000000"/>
                <w:sz w:val="20"/>
                <w:szCs w:val="20"/>
                <w:lang w:val="sv-SE"/>
              </w:rPr>
              <w:t>Eruf</w:t>
            </w:r>
          </w:p>
        </w:tc>
        <w:tc>
          <w:tcPr>
            <w:tcW w:w="1600" w:type="dxa"/>
            <w:vMerge w:val="restart"/>
          </w:tcPr>
          <w:p w14:paraId="2D066B1B" w14:textId="636204C5" w:rsidR="00A77B3E" w:rsidRPr="00800D1B" w:rsidRDefault="00623E14" w:rsidP="00A52AEE">
            <w:pPr>
              <w:spacing w:before="120" w:after="100"/>
              <w:ind w:left="-72"/>
              <w:rPr>
                <w:color w:val="000000"/>
                <w:sz w:val="20"/>
                <w:lang w:val="sv-SE"/>
              </w:rPr>
            </w:pPr>
            <w:r w:rsidRPr="00800D1B">
              <w:rPr>
                <w:color w:val="000000"/>
                <w:sz w:val="20"/>
                <w:szCs w:val="20"/>
                <w:lang w:val="sv-SE"/>
              </w:rPr>
              <w:t>RSO2.4. Främja klimatanpassning, förebyggande av katastrofrisker och motståndskraft, med beaktande av ekosystembaserade tillvägagångssätt</w:t>
            </w:r>
          </w:p>
        </w:tc>
        <w:tc>
          <w:tcPr>
            <w:tcW w:w="1000" w:type="dxa"/>
            <w:vMerge w:val="restart"/>
          </w:tcPr>
          <w:p w14:paraId="2D066B1C" w14:textId="77777777" w:rsidR="00A77B3E" w:rsidRPr="00800D1B" w:rsidRDefault="00623E14" w:rsidP="00A26CDD">
            <w:pPr>
              <w:spacing w:before="100" w:after="100"/>
              <w:ind w:left="-72"/>
              <w:jc w:val="center"/>
              <w:rPr>
                <w:color w:val="000000"/>
                <w:sz w:val="20"/>
                <w:lang w:val="sv-SE"/>
              </w:rPr>
            </w:pPr>
            <w:r w:rsidRPr="00800D1B">
              <w:rPr>
                <w:color w:val="000000"/>
                <w:sz w:val="20"/>
                <w:lang w:val="sv-SE"/>
              </w:rPr>
              <w:t>Ja</w:t>
            </w:r>
          </w:p>
        </w:tc>
        <w:tc>
          <w:tcPr>
            <w:tcW w:w="2800" w:type="dxa"/>
          </w:tcPr>
          <w:p w14:paraId="63B14A5D" w14:textId="77777777" w:rsidR="005316EE" w:rsidRPr="00800D1B" w:rsidRDefault="00623E14" w:rsidP="00A26CDD">
            <w:pPr>
              <w:spacing w:before="100" w:after="100"/>
              <w:ind w:left="-72"/>
              <w:rPr>
                <w:color w:val="000000"/>
                <w:sz w:val="20"/>
                <w:lang w:val="sv-SE"/>
              </w:rPr>
            </w:pPr>
            <w:r w:rsidRPr="00800D1B">
              <w:rPr>
                <w:color w:val="000000"/>
                <w:sz w:val="20"/>
                <w:lang w:val="sv-SE"/>
              </w:rPr>
              <w:t>En nationell eller regional plan för katastrofriskhantering, som upprättats på grundval av riskbedömningar, med vederbörlig hänsyn till de sannolika effekterna av klimatförändringarna och de befintliga klimatanpassningsstrategierna, har införts och innehåller följande delar:</w:t>
            </w:r>
          </w:p>
          <w:p w14:paraId="2D066B1D" w14:textId="7AA33C72" w:rsidR="00A77B3E" w:rsidRPr="00800D1B" w:rsidRDefault="00623E14">
            <w:pPr>
              <w:pStyle w:val="Liststycke"/>
              <w:numPr>
                <w:ilvl w:val="0"/>
                <w:numId w:val="85"/>
              </w:numPr>
              <w:tabs>
                <w:tab w:val="left" w:pos="151"/>
              </w:tabs>
              <w:spacing w:after="100"/>
              <w:ind w:left="-72" w:hanging="29"/>
              <w:rPr>
                <w:color w:val="000000"/>
                <w:sz w:val="20"/>
                <w:lang w:val="sv-SE"/>
              </w:rPr>
            </w:pPr>
            <w:r w:rsidRPr="00800D1B">
              <w:rPr>
                <w:color w:val="000000"/>
                <w:sz w:val="20"/>
                <w:lang w:val="sv-SE"/>
              </w:rPr>
              <w:t>En beskrivning av de centrala riskerna, bedömda i enlighet med artikel 6.1 i Europaparlamentets och rådets beslut nr 1313/2013/EU, som återspeglar den nuvarande och framtida riskprofilen med ett preliminärt tidsspann på 25–35 år. Bedömningen ska för klimatrelaterade risker bygga på prognoser och scenarier för klimatförändringar.</w:t>
            </w:r>
          </w:p>
        </w:tc>
        <w:tc>
          <w:tcPr>
            <w:tcW w:w="1000" w:type="dxa"/>
          </w:tcPr>
          <w:p w14:paraId="2D066B1E" w14:textId="77777777" w:rsidR="00A77B3E" w:rsidRPr="00800D1B" w:rsidRDefault="00623E14" w:rsidP="00A26CDD">
            <w:pPr>
              <w:spacing w:before="100" w:after="100"/>
              <w:ind w:left="-72"/>
              <w:jc w:val="center"/>
              <w:rPr>
                <w:color w:val="000000"/>
                <w:sz w:val="20"/>
                <w:lang w:val="sv-SE"/>
              </w:rPr>
            </w:pPr>
            <w:r w:rsidRPr="00800D1B">
              <w:rPr>
                <w:color w:val="000000"/>
                <w:sz w:val="20"/>
                <w:lang w:val="sv-SE"/>
              </w:rPr>
              <w:t>Ja</w:t>
            </w:r>
          </w:p>
        </w:tc>
        <w:tc>
          <w:tcPr>
            <w:tcW w:w="3400" w:type="dxa"/>
          </w:tcPr>
          <w:p w14:paraId="2D066B1F" w14:textId="72C3A975" w:rsidR="00A77B3E" w:rsidRPr="00800D1B" w:rsidRDefault="00623E14" w:rsidP="00A26CDD">
            <w:pPr>
              <w:spacing w:before="100" w:after="100"/>
              <w:ind w:left="-72"/>
              <w:rPr>
                <w:color w:val="000000"/>
                <w:sz w:val="20"/>
                <w:lang w:val="sv-SE"/>
              </w:rPr>
            </w:pPr>
            <w:r w:rsidRPr="00800D1B">
              <w:rPr>
                <w:color w:val="000000"/>
                <w:sz w:val="20"/>
                <w:lang w:val="sv-SE"/>
              </w:rPr>
              <w:t>Regeringen: Prop. 2017/18:163 Nationell strategi för klimatanpassning;</w:t>
            </w:r>
            <w:r w:rsidR="00CF74CB" w:rsidRPr="00800D1B">
              <w:rPr>
                <w:color w:val="000000"/>
                <w:sz w:val="20"/>
                <w:lang w:val="sv-SE"/>
              </w:rPr>
              <w:t xml:space="preserve"> </w:t>
            </w:r>
          </w:p>
          <w:p w14:paraId="2D066B20" w14:textId="1F929B71" w:rsidR="00A77B3E" w:rsidRPr="00800D1B" w:rsidRDefault="00623E14" w:rsidP="00A26CDD">
            <w:pPr>
              <w:spacing w:before="100" w:after="100"/>
              <w:ind w:left="-72"/>
              <w:rPr>
                <w:color w:val="000000"/>
                <w:sz w:val="20"/>
                <w:lang w:val="sv-SE"/>
              </w:rPr>
            </w:pPr>
            <w:r w:rsidRPr="00800D1B">
              <w:rPr>
                <w:color w:val="000000"/>
                <w:sz w:val="20"/>
                <w:lang w:val="sv-SE"/>
              </w:rPr>
              <w:t>Ju-SSK: Redovisning avseende riskbedömning och riskhanteringsförmåga 2020 i enlighet med civilskyddsmekanismen.</w:t>
            </w:r>
            <w:r w:rsidR="00CF74CB" w:rsidRPr="00800D1B">
              <w:rPr>
                <w:color w:val="000000"/>
                <w:sz w:val="20"/>
                <w:lang w:val="sv-SE"/>
              </w:rPr>
              <w:t xml:space="preserve"> </w:t>
            </w:r>
          </w:p>
          <w:p w14:paraId="2D066B21" w14:textId="77777777" w:rsidR="00A77B3E" w:rsidRPr="00800D1B" w:rsidRDefault="00623E14" w:rsidP="00A26CDD">
            <w:pPr>
              <w:spacing w:before="100" w:after="100"/>
              <w:ind w:left="-72"/>
              <w:rPr>
                <w:color w:val="000000"/>
                <w:sz w:val="20"/>
                <w:lang w:val="sv-SE"/>
              </w:rPr>
            </w:pPr>
            <w:r w:rsidRPr="00800D1B">
              <w:rPr>
                <w:color w:val="000000"/>
                <w:sz w:val="20"/>
                <w:lang w:val="sv-SE"/>
              </w:rPr>
              <w:t xml:space="preserve">MSB: Sammanfattande redovisning under artikel 6.1(d) civilskyddsmekanismen som underlag till Sveriges rapportering till Europeiska kommissionen /…/. Dnr. 2019-04556-12; Nationell risk- och förmågebedömning 2019. MSB1392; Förordningen om översvämningsrisker– Sveriges genomförande av EU:s översvämningsdirektiv. MSB1657. </w:t>
            </w:r>
          </w:p>
          <w:p w14:paraId="2D066B22" w14:textId="468D7F8A" w:rsidR="00A77B3E" w:rsidRPr="00800D1B" w:rsidRDefault="00623E14" w:rsidP="00A26CDD">
            <w:pPr>
              <w:spacing w:before="100" w:after="100"/>
              <w:ind w:left="-72"/>
              <w:rPr>
                <w:color w:val="000000"/>
                <w:sz w:val="20"/>
                <w:lang w:val="sv-SE"/>
              </w:rPr>
            </w:pPr>
            <w:r w:rsidRPr="00800D1B">
              <w:rPr>
                <w:color w:val="000000"/>
                <w:sz w:val="20"/>
                <w:lang w:val="sv-SE"/>
              </w:rPr>
              <w:t xml:space="preserve">SMHI: Klimatologi nr 54-55; </w:t>
            </w:r>
            <w:hyperlink r:id="rId83" w:history="1">
              <w:r w:rsidRPr="00800D1B">
                <w:rPr>
                  <w:rStyle w:val="Hyperlnk"/>
                  <w:sz w:val="20"/>
                  <w:lang w:val="sv-SE"/>
                </w:rPr>
                <w:t>Klimatanpassning.se</w:t>
              </w:r>
            </w:hyperlink>
            <w:r w:rsidRPr="00800D1B">
              <w:rPr>
                <w:color w:val="000000"/>
                <w:sz w:val="20"/>
                <w:lang w:val="sv-SE"/>
              </w:rPr>
              <w:t xml:space="preserve">. </w:t>
            </w:r>
          </w:p>
        </w:tc>
        <w:tc>
          <w:tcPr>
            <w:tcW w:w="3400" w:type="dxa"/>
          </w:tcPr>
          <w:p w14:paraId="2D066B23" w14:textId="77777777" w:rsidR="00A77B3E" w:rsidRPr="00800D1B" w:rsidRDefault="00623E14" w:rsidP="00A26CDD">
            <w:pPr>
              <w:spacing w:before="100" w:after="100"/>
              <w:ind w:left="-72"/>
              <w:rPr>
                <w:color w:val="000000"/>
                <w:sz w:val="20"/>
                <w:lang w:val="sv-SE"/>
              </w:rPr>
            </w:pPr>
            <w:r w:rsidRPr="00800D1B">
              <w:rPr>
                <w:color w:val="000000"/>
                <w:sz w:val="20"/>
                <w:lang w:val="sv-SE"/>
              </w:rPr>
              <w:t>Sverige har skickat in en sammanfattning i enlighet med artikel 6.1(d) som anger att MS ska tillhandahålla KOM en sammanfattning av relevanta delar av de bedömningar som avses med fokus på centrala risker senast den 31 december 2020 och därefter vart tredje år. Sammanfattningen baseras sig på MSB:s rapporter som finns tillgängliga i MSB:s diarium och kan begäras ut via registraturen. Vartannat år lämnar MSB en nationell risk- och förmågebedömning (NRFB) till regeringen. Det är en analys som beskriver hot och risker samt utvecklingsbehov vad gäller samhällets förmåga att förebygga och hantera kriser och förmåga att stärka det civila försvaret. Den senaste redovisningen skedde i maj 2021.</w:t>
            </w:r>
          </w:p>
        </w:tc>
      </w:tr>
      <w:tr w:rsidR="003422DB" w:rsidRPr="00BD3045" w14:paraId="2D066B30" w14:textId="77777777" w:rsidTr="00A26CDD">
        <w:tc>
          <w:tcPr>
            <w:tcW w:w="1600" w:type="dxa"/>
            <w:vMerge/>
          </w:tcPr>
          <w:p w14:paraId="2D066B25" w14:textId="77777777" w:rsidR="00A77B3E" w:rsidRPr="00800D1B" w:rsidRDefault="00A77B3E" w:rsidP="00A26CDD">
            <w:pPr>
              <w:spacing w:before="100" w:after="100"/>
              <w:ind w:left="-72"/>
              <w:rPr>
                <w:color w:val="000000"/>
                <w:sz w:val="20"/>
                <w:lang w:val="sv-SE"/>
              </w:rPr>
            </w:pPr>
          </w:p>
        </w:tc>
        <w:tc>
          <w:tcPr>
            <w:tcW w:w="800" w:type="dxa"/>
            <w:vMerge/>
          </w:tcPr>
          <w:p w14:paraId="2D066B26" w14:textId="77777777" w:rsidR="00A77B3E" w:rsidRPr="00800D1B" w:rsidRDefault="00A77B3E" w:rsidP="00A26CDD">
            <w:pPr>
              <w:spacing w:before="100" w:after="100"/>
              <w:ind w:left="-72"/>
              <w:rPr>
                <w:color w:val="000000"/>
                <w:sz w:val="20"/>
                <w:lang w:val="sv-SE"/>
              </w:rPr>
            </w:pPr>
          </w:p>
        </w:tc>
        <w:tc>
          <w:tcPr>
            <w:tcW w:w="1600" w:type="dxa"/>
            <w:vMerge/>
          </w:tcPr>
          <w:p w14:paraId="2D066B27" w14:textId="77777777" w:rsidR="00A77B3E" w:rsidRPr="00800D1B" w:rsidRDefault="00A77B3E" w:rsidP="00A26CDD">
            <w:pPr>
              <w:spacing w:before="100" w:after="100"/>
              <w:ind w:left="-72"/>
              <w:rPr>
                <w:color w:val="000000"/>
                <w:sz w:val="20"/>
                <w:lang w:val="sv-SE"/>
              </w:rPr>
            </w:pPr>
          </w:p>
        </w:tc>
        <w:tc>
          <w:tcPr>
            <w:tcW w:w="1000" w:type="dxa"/>
            <w:vMerge/>
          </w:tcPr>
          <w:p w14:paraId="2D066B28" w14:textId="77777777" w:rsidR="00A77B3E" w:rsidRPr="00800D1B" w:rsidRDefault="00A77B3E" w:rsidP="00A26CDD">
            <w:pPr>
              <w:spacing w:before="100" w:after="100"/>
              <w:ind w:left="-72"/>
              <w:rPr>
                <w:color w:val="000000"/>
                <w:sz w:val="20"/>
                <w:lang w:val="sv-SE"/>
              </w:rPr>
            </w:pPr>
          </w:p>
        </w:tc>
        <w:tc>
          <w:tcPr>
            <w:tcW w:w="2800" w:type="dxa"/>
          </w:tcPr>
          <w:p w14:paraId="2D066B29" w14:textId="13BC6A50" w:rsidR="00A77B3E" w:rsidRPr="00800D1B" w:rsidRDefault="00623E14">
            <w:pPr>
              <w:pStyle w:val="Liststycke"/>
              <w:numPr>
                <w:ilvl w:val="0"/>
                <w:numId w:val="85"/>
              </w:numPr>
              <w:tabs>
                <w:tab w:val="left" w:pos="151"/>
              </w:tabs>
              <w:spacing w:before="100" w:after="100"/>
              <w:ind w:left="-72" w:hanging="29"/>
              <w:rPr>
                <w:color w:val="000000"/>
                <w:sz w:val="20"/>
                <w:lang w:val="sv-SE"/>
              </w:rPr>
            </w:pPr>
            <w:r w:rsidRPr="00800D1B">
              <w:rPr>
                <w:color w:val="000000"/>
                <w:sz w:val="20"/>
                <w:lang w:val="sv-SE"/>
              </w:rPr>
              <w:t>En beskrivning av åtgärder för förebyggande, beredskap och hantering av katastrofer för att hantera de risker som identifierats. Åtgärderna ska prioriteras i förhållande till riskerna och deras ekonomiska effekter, kapacitetsbrister, effektivitet och ändamålsenlighet, med beaktande av möjliga alternativ.</w:t>
            </w:r>
          </w:p>
        </w:tc>
        <w:tc>
          <w:tcPr>
            <w:tcW w:w="1000" w:type="dxa"/>
          </w:tcPr>
          <w:p w14:paraId="2D066B2A" w14:textId="77777777" w:rsidR="00A77B3E" w:rsidRPr="00800D1B" w:rsidRDefault="00623E14" w:rsidP="00A26CDD">
            <w:pPr>
              <w:spacing w:before="100" w:after="100"/>
              <w:ind w:left="-72"/>
              <w:jc w:val="center"/>
              <w:rPr>
                <w:color w:val="000000"/>
                <w:sz w:val="20"/>
                <w:lang w:val="sv-SE"/>
              </w:rPr>
            </w:pPr>
            <w:r w:rsidRPr="00800D1B">
              <w:rPr>
                <w:color w:val="000000"/>
                <w:sz w:val="20"/>
                <w:lang w:val="sv-SE"/>
              </w:rPr>
              <w:t>Ja</w:t>
            </w:r>
          </w:p>
        </w:tc>
        <w:tc>
          <w:tcPr>
            <w:tcW w:w="3400" w:type="dxa"/>
          </w:tcPr>
          <w:p w14:paraId="2D066B2B" w14:textId="5F9CBB3B" w:rsidR="00A77B3E" w:rsidRPr="00800D1B" w:rsidRDefault="00623E14" w:rsidP="00A26CDD">
            <w:pPr>
              <w:spacing w:before="100" w:after="100"/>
              <w:ind w:left="-72"/>
              <w:rPr>
                <w:color w:val="000000"/>
                <w:sz w:val="20"/>
                <w:lang w:val="sv-SE"/>
              </w:rPr>
            </w:pPr>
            <w:r w:rsidRPr="00800D1B">
              <w:rPr>
                <w:color w:val="000000"/>
                <w:sz w:val="20"/>
                <w:lang w:val="sv-SE"/>
              </w:rPr>
              <w:t>Samma som kriterium 1, samt Myndigheters risk- och sårbarhetsanalyser (RSA) och årsredovisningar; MSB: Anslag 2:4 Krisberedskap – Uppföljning 2019/…/. MSB1544; Nationella strategier inom oljeskadeskydd och CBRNE; Nationell strategi för arbetet med samma samhällsviktig verksamhet och handlingsplaner: Ett fungerande samhälle i en föränderlig värld: nationell strategi för skydd av samhällsviktig verksamhet (</w:t>
            </w:r>
            <w:hyperlink r:id="rId84" w:history="1">
              <w:r w:rsidRPr="00800D1B">
                <w:rPr>
                  <w:rStyle w:val="Hyperlnk"/>
                  <w:sz w:val="20"/>
                  <w:lang w:val="sv-SE"/>
                </w:rPr>
                <w:t>msb.se</w:t>
              </w:r>
            </w:hyperlink>
            <w:r w:rsidRPr="00800D1B">
              <w:rPr>
                <w:color w:val="000000"/>
                <w:sz w:val="20"/>
                <w:lang w:val="sv-SE"/>
              </w:rPr>
              <w:t>) - Handlingsplan för skydd av samhällsviktig verksamhet (</w:t>
            </w:r>
            <w:hyperlink r:id="rId85" w:history="1">
              <w:r w:rsidRPr="00800D1B">
                <w:rPr>
                  <w:rStyle w:val="Hyperlnk"/>
                  <w:sz w:val="20"/>
                  <w:lang w:val="sv-SE"/>
                </w:rPr>
                <w:t>msb.se</w:t>
              </w:r>
            </w:hyperlink>
            <w:r w:rsidRPr="00800D1B">
              <w:rPr>
                <w:color w:val="000000"/>
                <w:sz w:val="20"/>
                <w:lang w:val="sv-SE"/>
              </w:rPr>
              <w:t>)</w:t>
            </w:r>
          </w:p>
        </w:tc>
        <w:tc>
          <w:tcPr>
            <w:tcW w:w="3400" w:type="dxa"/>
          </w:tcPr>
          <w:p w14:paraId="2D066B2C" w14:textId="77777777" w:rsidR="00A77B3E" w:rsidRPr="00800D1B" w:rsidRDefault="00623E14" w:rsidP="00A26CDD">
            <w:pPr>
              <w:spacing w:before="100" w:after="100"/>
              <w:ind w:left="-72"/>
              <w:rPr>
                <w:color w:val="000000"/>
                <w:sz w:val="20"/>
                <w:lang w:val="sv-SE"/>
              </w:rPr>
            </w:pPr>
            <w:r w:rsidRPr="00800D1B">
              <w:rPr>
                <w:color w:val="000000"/>
                <w:sz w:val="20"/>
                <w:lang w:val="sv-SE"/>
              </w:rPr>
              <w:t>RSA görs av alla myndigheter, regioner och kommuner. I enlighet med förordningen (2015:1052) ska varje myndighet analysera om det finns sådan sårbarhet eller hot och risker som synnerligen allvarligt kan försämra förmågan till verksamhet inom området. I enlighet lagen (2006:544) ska kommuner och regioner analysera vilka extraordinära händelser i fredstid som kan inträffa i kommunen respektive regionen och hur dessa händelser kan påverka den egna verksamheten.</w:t>
            </w:r>
          </w:p>
          <w:p w14:paraId="2D066B2D" w14:textId="77777777" w:rsidR="00A77B3E" w:rsidRPr="00800D1B" w:rsidRDefault="00623E14" w:rsidP="00A26CDD">
            <w:pPr>
              <w:spacing w:before="100" w:after="100"/>
              <w:ind w:left="-72"/>
              <w:rPr>
                <w:color w:val="000000"/>
                <w:sz w:val="20"/>
                <w:lang w:val="sv-SE"/>
              </w:rPr>
            </w:pPr>
            <w:r w:rsidRPr="00800D1B">
              <w:rPr>
                <w:color w:val="000000"/>
                <w:sz w:val="20"/>
                <w:lang w:val="sv-SE"/>
              </w:rPr>
              <w:t xml:space="preserve">Uppföljningsrapport för anslag 2:4 Krisberedskap redovisar vilka projekt som finansierats och valts ut i en prioriteringsprocess. </w:t>
            </w:r>
          </w:p>
          <w:p w14:paraId="2D066B2E" w14:textId="77777777" w:rsidR="00A77B3E" w:rsidRPr="00800D1B" w:rsidRDefault="00623E14" w:rsidP="00A26CDD">
            <w:pPr>
              <w:spacing w:before="100" w:after="100"/>
              <w:ind w:left="-72"/>
              <w:rPr>
                <w:color w:val="000000"/>
                <w:sz w:val="20"/>
                <w:lang w:val="sv-SE"/>
              </w:rPr>
            </w:pPr>
            <w:r w:rsidRPr="00800D1B">
              <w:rPr>
                <w:color w:val="000000"/>
                <w:sz w:val="20"/>
                <w:lang w:val="sv-SE"/>
              </w:rPr>
              <w:t>I den svenska redovisningen under kriterium 1 finns generella beskrivningar av finansieringsprinciper och förfaranden. I MSB:s underlagsrapport under art. 6.1(d) finns sammanfattande beskrivningar av RSA-processen och finansieringskällor</w:t>
            </w:r>
          </w:p>
          <w:p w14:paraId="2D066B2F" w14:textId="77777777" w:rsidR="00A77B3E" w:rsidRPr="00800D1B" w:rsidRDefault="00623E14" w:rsidP="00A26CDD">
            <w:pPr>
              <w:spacing w:before="100" w:after="100"/>
              <w:ind w:left="-72"/>
              <w:rPr>
                <w:color w:val="000000"/>
                <w:sz w:val="20"/>
                <w:lang w:val="sv-SE"/>
              </w:rPr>
            </w:pPr>
            <w:r w:rsidRPr="00800D1B">
              <w:rPr>
                <w:color w:val="000000"/>
                <w:sz w:val="20"/>
                <w:lang w:val="sv-SE"/>
              </w:rPr>
              <w:t xml:space="preserve">MSB tog 2011 fram en nationell strategi för arbetet med samhällsviktig verksamhet med målet att verka för ett fungerande samhälle i en föränderlig värld. Strategin konkretiserades i en handlingsplan 2014. Dessa dokument visar att Sverige vidtar förebyggande och förberedande åtgärder på nationell, regional och lokal nivå. </w:t>
            </w:r>
          </w:p>
        </w:tc>
      </w:tr>
      <w:tr w:rsidR="003422DB" w:rsidRPr="00800D1B" w14:paraId="2D066B3C" w14:textId="77777777" w:rsidTr="00A26CDD">
        <w:tc>
          <w:tcPr>
            <w:tcW w:w="1600" w:type="dxa"/>
            <w:vMerge/>
          </w:tcPr>
          <w:p w14:paraId="2D066B31" w14:textId="77777777" w:rsidR="00A77B3E" w:rsidRPr="00800D1B" w:rsidRDefault="00A77B3E" w:rsidP="00A26CDD">
            <w:pPr>
              <w:spacing w:before="100" w:after="100"/>
              <w:ind w:left="-72"/>
              <w:rPr>
                <w:color w:val="000000"/>
                <w:sz w:val="20"/>
                <w:lang w:val="sv-SE"/>
              </w:rPr>
            </w:pPr>
          </w:p>
        </w:tc>
        <w:tc>
          <w:tcPr>
            <w:tcW w:w="800" w:type="dxa"/>
            <w:vMerge/>
          </w:tcPr>
          <w:p w14:paraId="2D066B32" w14:textId="77777777" w:rsidR="00A77B3E" w:rsidRPr="00800D1B" w:rsidRDefault="00A77B3E" w:rsidP="00A26CDD">
            <w:pPr>
              <w:spacing w:before="100" w:after="100"/>
              <w:ind w:left="-72"/>
              <w:rPr>
                <w:color w:val="000000"/>
                <w:sz w:val="20"/>
                <w:lang w:val="sv-SE"/>
              </w:rPr>
            </w:pPr>
          </w:p>
        </w:tc>
        <w:tc>
          <w:tcPr>
            <w:tcW w:w="1600" w:type="dxa"/>
            <w:vMerge/>
          </w:tcPr>
          <w:p w14:paraId="2D066B33" w14:textId="77777777" w:rsidR="00A77B3E" w:rsidRPr="00800D1B" w:rsidRDefault="00A77B3E" w:rsidP="00A26CDD">
            <w:pPr>
              <w:spacing w:before="100" w:after="100"/>
              <w:ind w:left="-72"/>
              <w:rPr>
                <w:color w:val="000000"/>
                <w:sz w:val="20"/>
                <w:lang w:val="sv-SE"/>
              </w:rPr>
            </w:pPr>
          </w:p>
        </w:tc>
        <w:tc>
          <w:tcPr>
            <w:tcW w:w="1000" w:type="dxa"/>
            <w:vMerge/>
          </w:tcPr>
          <w:p w14:paraId="2D066B34" w14:textId="77777777" w:rsidR="00A77B3E" w:rsidRPr="00800D1B" w:rsidRDefault="00A77B3E" w:rsidP="00A26CDD">
            <w:pPr>
              <w:spacing w:before="100" w:after="100"/>
              <w:ind w:left="-72"/>
              <w:rPr>
                <w:color w:val="000000"/>
                <w:sz w:val="20"/>
                <w:lang w:val="sv-SE"/>
              </w:rPr>
            </w:pPr>
          </w:p>
        </w:tc>
        <w:tc>
          <w:tcPr>
            <w:tcW w:w="2800" w:type="dxa"/>
          </w:tcPr>
          <w:p w14:paraId="2D066B35" w14:textId="6C773CAC" w:rsidR="00A77B3E" w:rsidRPr="00800D1B" w:rsidRDefault="00623E14">
            <w:pPr>
              <w:pStyle w:val="Liststycke"/>
              <w:numPr>
                <w:ilvl w:val="0"/>
                <w:numId w:val="85"/>
              </w:numPr>
              <w:tabs>
                <w:tab w:val="left" w:pos="151"/>
              </w:tabs>
              <w:spacing w:before="100" w:after="100"/>
              <w:ind w:left="-72" w:hanging="29"/>
              <w:rPr>
                <w:color w:val="000000"/>
                <w:sz w:val="20"/>
                <w:lang w:val="sv-SE"/>
              </w:rPr>
            </w:pPr>
            <w:r w:rsidRPr="00800D1B">
              <w:rPr>
                <w:color w:val="000000"/>
                <w:sz w:val="20"/>
                <w:lang w:val="sv-SE"/>
              </w:rPr>
              <w:t>Information om finansiella medel och mekanismer som finns tillgängliga för att täcka drifts- och underhållskostnaderna i samband med förebyggande, beredskap och insatser.</w:t>
            </w:r>
          </w:p>
        </w:tc>
        <w:tc>
          <w:tcPr>
            <w:tcW w:w="1000" w:type="dxa"/>
          </w:tcPr>
          <w:p w14:paraId="2D066B36" w14:textId="77777777" w:rsidR="00A77B3E" w:rsidRPr="00800D1B" w:rsidRDefault="00623E14" w:rsidP="00A26CDD">
            <w:pPr>
              <w:spacing w:before="100" w:after="100"/>
              <w:ind w:left="-72"/>
              <w:jc w:val="center"/>
              <w:rPr>
                <w:color w:val="000000"/>
                <w:sz w:val="20"/>
                <w:lang w:val="sv-SE"/>
              </w:rPr>
            </w:pPr>
            <w:r w:rsidRPr="00800D1B">
              <w:rPr>
                <w:color w:val="000000"/>
                <w:sz w:val="20"/>
                <w:lang w:val="sv-SE"/>
              </w:rPr>
              <w:t>Ja</w:t>
            </w:r>
          </w:p>
        </w:tc>
        <w:tc>
          <w:tcPr>
            <w:tcW w:w="3400" w:type="dxa"/>
          </w:tcPr>
          <w:p w14:paraId="2D066B37" w14:textId="0A838B4A" w:rsidR="00A77B3E" w:rsidRPr="00800D1B" w:rsidRDefault="00623E14" w:rsidP="00A26CDD">
            <w:pPr>
              <w:spacing w:before="100" w:after="100"/>
              <w:ind w:left="-72"/>
              <w:rPr>
                <w:color w:val="000000"/>
                <w:sz w:val="20"/>
                <w:lang w:val="sv-SE"/>
              </w:rPr>
            </w:pPr>
            <w:r w:rsidRPr="00800D1B">
              <w:rPr>
                <w:color w:val="000000"/>
                <w:sz w:val="20"/>
                <w:lang w:val="sv-SE"/>
              </w:rPr>
              <w:t>Myndigheters risk- och sårbarhetsanalyser (RSA).</w:t>
            </w:r>
            <w:r w:rsidR="00CF74CB" w:rsidRPr="00800D1B">
              <w:rPr>
                <w:color w:val="000000"/>
                <w:sz w:val="20"/>
                <w:lang w:val="sv-SE"/>
              </w:rPr>
              <w:t xml:space="preserve"> </w:t>
            </w:r>
          </w:p>
          <w:p w14:paraId="2D066B38" w14:textId="77777777" w:rsidR="00A77B3E" w:rsidRPr="00800D1B" w:rsidRDefault="00623E14" w:rsidP="00A26CDD">
            <w:pPr>
              <w:spacing w:before="100" w:after="100"/>
              <w:ind w:left="-72"/>
              <w:rPr>
                <w:color w:val="000000"/>
                <w:sz w:val="20"/>
                <w:lang w:val="sv-SE"/>
              </w:rPr>
            </w:pPr>
            <w:r w:rsidRPr="00800D1B">
              <w:rPr>
                <w:color w:val="000000"/>
                <w:sz w:val="20"/>
                <w:lang w:val="sv-SE"/>
              </w:rPr>
              <w:t xml:space="preserve">För mer information se: Anslag 2:4, Anslag 2:2, Anslag 2:3, Anslag 1:10, avgifter för Sevesotillsyn. </w:t>
            </w:r>
          </w:p>
        </w:tc>
        <w:tc>
          <w:tcPr>
            <w:tcW w:w="3400" w:type="dxa"/>
          </w:tcPr>
          <w:p w14:paraId="2D066B39" w14:textId="77777777" w:rsidR="00A77B3E" w:rsidRPr="00800D1B" w:rsidRDefault="00623E14" w:rsidP="00A26CDD">
            <w:pPr>
              <w:spacing w:before="100" w:after="100"/>
              <w:ind w:left="-72"/>
              <w:rPr>
                <w:color w:val="000000"/>
                <w:sz w:val="20"/>
                <w:lang w:val="sv-SE"/>
              </w:rPr>
            </w:pPr>
            <w:r w:rsidRPr="00800D1B">
              <w:rPr>
                <w:color w:val="000000"/>
                <w:sz w:val="20"/>
                <w:lang w:val="sv-SE"/>
              </w:rPr>
              <w:t>RSA innehåller information om vilka åtgärder som aktörerna avser företa sig, som är pågående eller har genomfört. I den nationella risk- och förmågebedömningen föreslås också åtgärdsbehov till regeringen. Majoriteten av RSA:erna innehåller säkerhetsskyddsklassificerade uppgifter vilket innebär att de inte finns publikt tillgängliga.</w:t>
            </w:r>
          </w:p>
          <w:p w14:paraId="2D066B3A" w14:textId="77777777" w:rsidR="00A77B3E" w:rsidRPr="00800D1B" w:rsidRDefault="00623E14" w:rsidP="00A26CDD">
            <w:pPr>
              <w:spacing w:before="100" w:after="100"/>
              <w:ind w:left="-72"/>
              <w:rPr>
                <w:color w:val="000000"/>
                <w:sz w:val="20"/>
                <w:lang w:val="sv-SE"/>
              </w:rPr>
            </w:pPr>
            <w:r w:rsidRPr="00800D1B">
              <w:rPr>
                <w:color w:val="000000"/>
                <w:sz w:val="20"/>
                <w:lang w:val="sv-SE"/>
              </w:rPr>
              <w:t xml:space="preserve">Sverige har ett distribuerat krisberedskapssystem som bygger på bl.a. ansvarsprincipen. </w:t>
            </w:r>
          </w:p>
          <w:p w14:paraId="2D066B3B" w14:textId="77777777" w:rsidR="00A77B3E" w:rsidRPr="00800D1B" w:rsidRDefault="00623E14" w:rsidP="00A26CDD">
            <w:pPr>
              <w:spacing w:before="100" w:after="100"/>
              <w:ind w:left="-72"/>
              <w:rPr>
                <w:color w:val="000000"/>
                <w:sz w:val="20"/>
                <w:lang w:val="sv-SE"/>
              </w:rPr>
            </w:pPr>
            <w:r w:rsidRPr="00800D1B">
              <w:rPr>
                <w:color w:val="000000"/>
                <w:sz w:val="20"/>
                <w:lang w:val="sv-SE"/>
              </w:rPr>
              <w:t xml:space="preserve">För myndigheter tilldelade anslag från regeringen och statsbudgeten eller finansiering genom avgifter från tjänster. Kommuner och regioner fördelar ekonomiska resurser från skatteintäkter. </w:t>
            </w:r>
          </w:p>
        </w:tc>
      </w:tr>
      <w:tr w:rsidR="003422DB" w:rsidRPr="00BD3045" w14:paraId="2D066B49" w14:textId="77777777" w:rsidTr="00A26CDD">
        <w:tc>
          <w:tcPr>
            <w:tcW w:w="1600" w:type="dxa"/>
            <w:vMerge w:val="restart"/>
          </w:tcPr>
          <w:p w14:paraId="2D066B3D" w14:textId="742A8450" w:rsidR="00A77B3E" w:rsidRPr="00800D1B" w:rsidRDefault="00623E14">
            <w:pPr>
              <w:pStyle w:val="Liststycke"/>
              <w:numPr>
                <w:ilvl w:val="0"/>
                <w:numId w:val="75"/>
              </w:numPr>
              <w:tabs>
                <w:tab w:val="left" w:pos="300"/>
              </w:tabs>
              <w:spacing w:before="100" w:after="100"/>
              <w:ind w:left="-72" w:firstLine="0"/>
              <w:rPr>
                <w:color w:val="000000"/>
                <w:sz w:val="20"/>
                <w:lang w:val="sv-SE"/>
              </w:rPr>
            </w:pPr>
            <w:r w:rsidRPr="00800D1B">
              <w:rPr>
                <w:color w:val="000000"/>
                <w:sz w:val="20"/>
                <w:lang w:val="sv-SE"/>
              </w:rPr>
              <w:t>Uppdaterad planering för avfallshantering</w:t>
            </w:r>
          </w:p>
        </w:tc>
        <w:tc>
          <w:tcPr>
            <w:tcW w:w="800" w:type="dxa"/>
            <w:vMerge w:val="restart"/>
          </w:tcPr>
          <w:p w14:paraId="2D066B40" w14:textId="22537CC2" w:rsidR="00A77B3E" w:rsidRPr="00800D1B" w:rsidRDefault="00623E14" w:rsidP="00BC60BE">
            <w:pPr>
              <w:spacing w:before="120" w:after="100"/>
              <w:ind w:left="-72"/>
              <w:rPr>
                <w:color w:val="000000"/>
                <w:sz w:val="20"/>
                <w:szCs w:val="20"/>
                <w:lang w:val="sv-SE"/>
              </w:rPr>
            </w:pPr>
            <w:r w:rsidRPr="00800D1B">
              <w:rPr>
                <w:color w:val="000000"/>
                <w:sz w:val="20"/>
                <w:szCs w:val="20"/>
                <w:lang w:val="sv-SE"/>
              </w:rPr>
              <w:t>Eruf</w:t>
            </w:r>
          </w:p>
        </w:tc>
        <w:tc>
          <w:tcPr>
            <w:tcW w:w="1600" w:type="dxa"/>
            <w:vMerge w:val="restart"/>
          </w:tcPr>
          <w:p w14:paraId="2D066B43" w14:textId="2ED80062" w:rsidR="00A77B3E" w:rsidRPr="00800D1B" w:rsidRDefault="00623E14" w:rsidP="00BC60BE">
            <w:pPr>
              <w:spacing w:before="120" w:after="100"/>
              <w:ind w:left="-72"/>
              <w:rPr>
                <w:color w:val="000000"/>
                <w:sz w:val="20"/>
                <w:lang w:val="sv-SE"/>
              </w:rPr>
            </w:pPr>
            <w:r w:rsidRPr="00800D1B">
              <w:rPr>
                <w:color w:val="000000"/>
                <w:sz w:val="20"/>
                <w:szCs w:val="20"/>
                <w:lang w:val="sv-SE"/>
              </w:rPr>
              <w:t>RSO2.6. Främja övergången till en cirkulär och resurseffektiv ekonomi</w:t>
            </w:r>
          </w:p>
        </w:tc>
        <w:tc>
          <w:tcPr>
            <w:tcW w:w="1000" w:type="dxa"/>
            <w:vMerge w:val="restart"/>
          </w:tcPr>
          <w:p w14:paraId="2D066B44" w14:textId="77777777" w:rsidR="00A77B3E" w:rsidRPr="00800D1B" w:rsidRDefault="00623E14" w:rsidP="00A26CDD">
            <w:pPr>
              <w:spacing w:before="100" w:after="100"/>
              <w:ind w:left="-72"/>
              <w:jc w:val="center"/>
              <w:rPr>
                <w:color w:val="000000"/>
                <w:sz w:val="20"/>
                <w:lang w:val="sv-SE"/>
              </w:rPr>
            </w:pPr>
            <w:r w:rsidRPr="00800D1B">
              <w:rPr>
                <w:color w:val="000000"/>
                <w:sz w:val="20"/>
                <w:lang w:val="sv-SE"/>
              </w:rPr>
              <w:t>Ja</w:t>
            </w:r>
          </w:p>
        </w:tc>
        <w:tc>
          <w:tcPr>
            <w:tcW w:w="2800" w:type="dxa"/>
          </w:tcPr>
          <w:p w14:paraId="2C5AB4D4" w14:textId="77777777" w:rsidR="005316EE" w:rsidRPr="00800D1B" w:rsidRDefault="00623E14" w:rsidP="00A26CDD">
            <w:pPr>
              <w:spacing w:before="100" w:after="100"/>
              <w:ind w:left="-72"/>
              <w:rPr>
                <w:color w:val="000000"/>
                <w:sz w:val="20"/>
                <w:lang w:val="sv-SE"/>
              </w:rPr>
            </w:pPr>
            <w:r w:rsidRPr="00800D1B">
              <w:rPr>
                <w:color w:val="000000"/>
                <w:sz w:val="20"/>
                <w:lang w:val="sv-SE"/>
              </w:rPr>
              <w:t>En eller flera avfallsplan(er) i enlighet med artikel 28 i Europaparlamentets och rådets direktiv 2008/98/EG har införts, de omfattar hela medlemsstatens territorium och inkluderar följande:</w:t>
            </w:r>
          </w:p>
          <w:p w14:paraId="2D066B45" w14:textId="377E7070" w:rsidR="00A77B3E" w:rsidRPr="00800D1B" w:rsidRDefault="00623E14">
            <w:pPr>
              <w:pStyle w:val="Liststycke"/>
              <w:numPr>
                <w:ilvl w:val="0"/>
                <w:numId w:val="86"/>
              </w:numPr>
              <w:tabs>
                <w:tab w:val="left" w:pos="151"/>
              </w:tabs>
              <w:spacing w:before="100" w:after="100"/>
              <w:ind w:left="-72" w:hanging="29"/>
              <w:rPr>
                <w:color w:val="000000"/>
                <w:sz w:val="20"/>
                <w:lang w:val="sv-SE"/>
              </w:rPr>
            </w:pPr>
            <w:r w:rsidRPr="00800D1B">
              <w:rPr>
                <w:color w:val="000000"/>
                <w:sz w:val="20"/>
                <w:lang w:val="sv-SE"/>
              </w:rPr>
              <w:t>En analys av den nuvarande situationen när det gäller avfallshantering i det berörda geografiska området, inbegripet avfallets typ, mängd och källa, och en utvärdering av den framtida utveckling med hänsyn till de förväntade effekterna av åtgärderna som anges i de avfallsförebyggande program som utarbetas i enlighet med artikel 29 i direktiv 2008/98/EG.</w:t>
            </w:r>
          </w:p>
        </w:tc>
        <w:tc>
          <w:tcPr>
            <w:tcW w:w="1000" w:type="dxa"/>
          </w:tcPr>
          <w:p w14:paraId="2D066B46" w14:textId="77777777" w:rsidR="00A77B3E" w:rsidRPr="00800D1B" w:rsidRDefault="00623E14" w:rsidP="00A26CDD">
            <w:pPr>
              <w:spacing w:before="100" w:after="100"/>
              <w:ind w:left="-72"/>
              <w:jc w:val="center"/>
              <w:rPr>
                <w:color w:val="000000"/>
                <w:sz w:val="20"/>
                <w:lang w:val="sv-SE"/>
              </w:rPr>
            </w:pPr>
            <w:r w:rsidRPr="00800D1B">
              <w:rPr>
                <w:color w:val="000000"/>
                <w:sz w:val="20"/>
                <w:lang w:val="sv-SE"/>
              </w:rPr>
              <w:t>Ja</w:t>
            </w:r>
          </w:p>
        </w:tc>
        <w:tc>
          <w:tcPr>
            <w:tcW w:w="3400" w:type="dxa"/>
          </w:tcPr>
          <w:p w14:paraId="2D066B47" w14:textId="40E57554" w:rsidR="00A77B3E" w:rsidRPr="00800D1B" w:rsidRDefault="00623E14" w:rsidP="00A26CDD">
            <w:pPr>
              <w:spacing w:before="100" w:after="100"/>
              <w:ind w:left="-72"/>
              <w:rPr>
                <w:color w:val="000000"/>
                <w:sz w:val="20"/>
                <w:lang w:val="sv-SE"/>
              </w:rPr>
            </w:pPr>
            <w:r w:rsidRPr="00800D1B">
              <w:rPr>
                <w:color w:val="000000"/>
                <w:sz w:val="20"/>
                <w:lang w:val="sv-SE"/>
              </w:rPr>
              <w:t xml:space="preserve">Sveriges nationella avfallsplan och avfallsförebyggande program </w:t>
            </w:r>
            <w:hyperlink r:id="rId86" w:history="1">
              <w:r w:rsidR="0017331B" w:rsidRPr="00800D1B">
                <w:rPr>
                  <w:rStyle w:val="Hyperlnk"/>
                  <w:sz w:val="20"/>
                  <w:lang w:val="sv-SE"/>
                </w:rPr>
                <w:t>http://www.naturvardsverket.se/Miljoarbete-i-samhallet/Miljoarbete-i-Sverige/Uppdelat-efter-omrade/Avfall/Avfallsplanen/</w:t>
              </w:r>
            </w:hyperlink>
          </w:p>
        </w:tc>
        <w:tc>
          <w:tcPr>
            <w:tcW w:w="3400" w:type="dxa"/>
          </w:tcPr>
          <w:p w14:paraId="2D066B48" w14:textId="77777777" w:rsidR="00A77B3E" w:rsidRPr="00800D1B" w:rsidRDefault="00623E14" w:rsidP="00A26CDD">
            <w:pPr>
              <w:spacing w:before="100" w:after="100"/>
              <w:ind w:left="-72"/>
              <w:rPr>
                <w:color w:val="000000"/>
                <w:sz w:val="20"/>
                <w:lang w:val="sv-SE"/>
              </w:rPr>
            </w:pPr>
            <w:r w:rsidRPr="00800D1B">
              <w:rPr>
                <w:color w:val="000000"/>
                <w:sz w:val="20"/>
                <w:lang w:val="sv-SE"/>
              </w:rPr>
              <w:t xml:space="preserve">En beskrivning av Sveriges avfallsmängder, typ och ursprung inklusive import och export finns under kapitel 6 Avfallsmängder i Sverige. I kapitel 12 görs en bedömning av hur framtida avfallsflöden kan komma att utvecklas fram till år 2035. I kapitel 10 beskrivs de avfallsförebyggande styrmedel och åtgärder som beslutats nationell och hur de bidrar till avfallsförebyggandet. I bilaga 3 beskrivs de nationella åtgärder som finns kopplade till exemplen på åtgärder i bilaga IV Exempel på avfallsförebyggande åtgärder enligt artikel 29. En nyhet är bidragen från avfallsförebyggande åtgärder som finns i den nya bilagan Bilaga IVa ger Exempel på ekonomiska styrmedel och andra åtgärder för att ge incitament till tillämpningen av den avfallshierarki som avses i artikel 4.3 ska beskrivas. En ny bilaga Bilaga 4 Åtgärder kopplade till avfallsdirektivets bilaga IVa och artikel 9.1 (a-m) har tagits fram där de svenska åtgärderna för att förebygga avfallsgenerering beskrivs kopplat till åtgärderna enligt artikel 9.1. I bilagan beskrivs även åtgärdernas förväntade bidrag till att verka avfallsförebyggande. </w:t>
            </w:r>
          </w:p>
        </w:tc>
      </w:tr>
      <w:tr w:rsidR="003422DB" w:rsidRPr="00BD3045" w14:paraId="2D066B52" w14:textId="77777777" w:rsidTr="00A26CDD">
        <w:tc>
          <w:tcPr>
            <w:tcW w:w="1600" w:type="dxa"/>
            <w:vMerge/>
          </w:tcPr>
          <w:p w14:paraId="2D066B4A" w14:textId="77777777" w:rsidR="00A77B3E" w:rsidRPr="00800D1B" w:rsidRDefault="00A77B3E" w:rsidP="00A26CDD">
            <w:pPr>
              <w:spacing w:before="100" w:after="100"/>
              <w:ind w:left="-72"/>
              <w:rPr>
                <w:color w:val="000000"/>
                <w:sz w:val="20"/>
                <w:lang w:val="sv-SE"/>
              </w:rPr>
            </w:pPr>
          </w:p>
        </w:tc>
        <w:tc>
          <w:tcPr>
            <w:tcW w:w="800" w:type="dxa"/>
            <w:vMerge/>
          </w:tcPr>
          <w:p w14:paraId="2D066B4B" w14:textId="77777777" w:rsidR="00A77B3E" w:rsidRPr="00800D1B" w:rsidRDefault="00A77B3E" w:rsidP="00A26CDD">
            <w:pPr>
              <w:spacing w:before="100" w:after="100"/>
              <w:ind w:left="-72"/>
              <w:rPr>
                <w:color w:val="000000"/>
                <w:sz w:val="20"/>
                <w:lang w:val="sv-SE"/>
              </w:rPr>
            </w:pPr>
          </w:p>
        </w:tc>
        <w:tc>
          <w:tcPr>
            <w:tcW w:w="1600" w:type="dxa"/>
            <w:vMerge/>
          </w:tcPr>
          <w:p w14:paraId="2D066B4C" w14:textId="77777777" w:rsidR="00A77B3E" w:rsidRPr="00800D1B" w:rsidRDefault="00A77B3E" w:rsidP="00A26CDD">
            <w:pPr>
              <w:spacing w:before="100" w:after="100"/>
              <w:ind w:left="-72"/>
              <w:rPr>
                <w:color w:val="000000"/>
                <w:sz w:val="20"/>
                <w:lang w:val="sv-SE"/>
              </w:rPr>
            </w:pPr>
          </w:p>
        </w:tc>
        <w:tc>
          <w:tcPr>
            <w:tcW w:w="1000" w:type="dxa"/>
            <w:vMerge/>
          </w:tcPr>
          <w:p w14:paraId="2D066B4D" w14:textId="77777777" w:rsidR="00A77B3E" w:rsidRPr="00800D1B" w:rsidRDefault="00A77B3E" w:rsidP="00A26CDD">
            <w:pPr>
              <w:spacing w:before="100" w:after="100"/>
              <w:ind w:left="-72"/>
              <w:rPr>
                <w:color w:val="000000"/>
                <w:sz w:val="20"/>
                <w:lang w:val="sv-SE"/>
              </w:rPr>
            </w:pPr>
          </w:p>
        </w:tc>
        <w:tc>
          <w:tcPr>
            <w:tcW w:w="2800" w:type="dxa"/>
          </w:tcPr>
          <w:p w14:paraId="2D066B4E" w14:textId="01DCBD24" w:rsidR="00A77B3E" w:rsidRPr="00800D1B" w:rsidRDefault="00623E14">
            <w:pPr>
              <w:pStyle w:val="Liststycke"/>
              <w:numPr>
                <w:ilvl w:val="0"/>
                <w:numId w:val="86"/>
              </w:numPr>
              <w:tabs>
                <w:tab w:val="left" w:pos="151"/>
              </w:tabs>
              <w:spacing w:before="100" w:after="100"/>
              <w:ind w:left="-72" w:hanging="29"/>
              <w:rPr>
                <w:color w:val="000000"/>
                <w:sz w:val="20"/>
                <w:lang w:val="sv-SE"/>
              </w:rPr>
            </w:pPr>
            <w:r w:rsidRPr="00800D1B">
              <w:rPr>
                <w:color w:val="000000"/>
                <w:sz w:val="20"/>
                <w:lang w:val="sv-SE"/>
              </w:rPr>
              <w:t>En bedömning av befintliga system för insamling av avfall, inbegripet den materiella och territoriella täckningen av separat insamling och åtgärder för att förbättra deras funktion, samt behovet av nya insamlingssystem.</w:t>
            </w:r>
          </w:p>
        </w:tc>
        <w:tc>
          <w:tcPr>
            <w:tcW w:w="1000" w:type="dxa"/>
          </w:tcPr>
          <w:p w14:paraId="2D066B4F" w14:textId="77777777" w:rsidR="00A77B3E" w:rsidRPr="00800D1B" w:rsidRDefault="00623E14" w:rsidP="00A26CDD">
            <w:pPr>
              <w:spacing w:before="100" w:after="100"/>
              <w:ind w:left="-72"/>
              <w:jc w:val="center"/>
              <w:rPr>
                <w:color w:val="000000"/>
                <w:sz w:val="20"/>
                <w:lang w:val="sv-SE"/>
              </w:rPr>
            </w:pPr>
            <w:r w:rsidRPr="00800D1B">
              <w:rPr>
                <w:color w:val="000000"/>
                <w:sz w:val="20"/>
                <w:lang w:val="sv-SE"/>
              </w:rPr>
              <w:t>Ja</w:t>
            </w:r>
          </w:p>
        </w:tc>
        <w:tc>
          <w:tcPr>
            <w:tcW w:w="3400" w:type="dxa"/>
          </w:tcPr>
          <w:p w14:paraId="2D066B50" w14:textId="1EB93184" w:rsidR="00A77B3E" w:rsidRPr="00800D1B" w:rsidRDefault="00623E14" w:rsidP="00A26CDD">
            <w:pPr>
              <w:spacing w:before="100" w:after="100"/>
              <w:ind w:left="-72"/>
              <w:rPr>
                <w:color w:val="000000"/>
                <w:sz w:val="20"/>
                <w:lang w:val="sv-SE"/>
              </w:rPr>
            </w:pPr>
            <w:r w:rsidRPr="00800D1B">
              <w:rPr>
                <w:color w:val="000000"/>
                <w:sz w:val="20"/>
                <w:lang w:val="sv-SE"/>
              </w:rPr>
              <w:t xml:space="preserve">Sveriges nationella avfallsplan och avfallsförebyggande program </w:t>
            </w:r>
            <w:hyperlink r:id="rId87" w:history="1">
              <w:r w:rsidR="00BB34C4" w:rsidRPr="00800D1B">
                <w:rPr>
                  <w:rStyle w:val="Hyperlnk"/>
                  <w:sz w:val="20"/>
                  <w:lang w:val="sv-SE"/>
                </w:rPr>
                <w:t>http://www.naturvardsverket.se/Miljoarbete-i-samhallet/Miljoarbete-i-Sverige/Uppdelat-efter-omrade/Avfall/Avfallsplanen/</w:t>
              </w:r>
            </w:hyperlink>
          </w:p>
        </w:tc>
        <w:tc>
          <w:tcPr>
            <w:tcW w:w="3400" w:type="dxa"/>
          </w:tcPr>
          <w:p w14:paraId="2D066B51" w14:textId="77777777" w:rsidR="00A77B3E" w:rsidRPr="00800D1B" w:rsidRDefault="00623E14" w:rsidP="00A26CDD">
            <w:pPr>
              <w:spacing w:before="100" w:after="100"/>
              <w:ind w:left="-72"/>
              <w:rPr>
                <w:color w:val="000000"/>
                <w:sz w:val="20"/>
                <w:lang w:val="sv-SE"/>
              </w:rPr>
            </w:pPr>
            <w:r w:rsidRPr="00800D1B">
              <w:rPr>
                <w:color w:val="000000"/>
                <w:sz w:val="20"/>
                <w:lang w:val="sv-SE"/>
              </w:rPr>
              <w:t xml:space="preserve">I kapitel 4 Lagstiftning beskrivs det svenska avfallsregelverket som har betydelse för insamling, transport och behandling av avfall. I kapitel 5 Aktörer inom avfallssektorn beskrivs befintliga system för insamling av avfall. I kapitel 8 Behandling av avfall beskrivs avfallsbehandlingen i Sverige utifrån avfallshierarkin. </w:t>
            </w:r>
          </w:p>
        </w:tc>
      </w:tr>
      <w:tr w:rsidR="003422DB" w:rsidRPr="00BD3045" w14:paraId="2D066B62" w14:textId="77777777" w:rsidTr="00A26CDD">
        <w:tc>
          <w:tcPr>
            <w:tcW w:w="1600" w:type="dxa"/>
            <w:vMerge/>
          </w:tcPr>
          <w:p w14:paraId="2D066B53" w14:textId="77777777" w:rsidR="00A77B3E" w:rsidRPr="00800D1B" w:rsidRDefault="00A77B3E" w:rsidP="00A26CDD">
            <w:pPr>
              <w:spacing w:before="100" w:after="100"/>
              <w:ind w:left="-72"/>
              <w:rPr>
                <w:color w:val="000000"/>
                <w:sz w:val="20"/>
                <w:lang w:val="sv-SE"/>
              </w:rPr>
            </w:pPr>
          </w:p>
        </w:tc>
        <w:tc>
          <w:tcPr>
            <w:tcW w:w="800" w:type="dxa"/>
            <w:vMerge/>
          </w:tcPr>
          <w:p w14:paraId="2D066B54" w14:textId="77777777" w:rsidR="00A77B3E" w:rsidRPr="00800D1B" w:rsidRDefault="00A77B3E" w:rsidP="00A26CDD">
            <w:pPr>
              <w:spacing w:before="100" w:after="100"/>
              <w:ind w:left="-72"/>
              <w:rPr>
                <w:color w:val="000000"/>
                <w:sz w:val="20"/>
                <w:lang w:val="sv-SE"/>
              </w:rPr>
            </w:pPr>
          </w:p>
        </w:tc>
        <w:tc>
          <w:tcPr>
            <w:tcW w:w="1600" w:type="dxa"/>
            <w:vMerge/>
          </w:tcPr>
          <w:p w14:paraId="2D066B55" w14:textId="77777777" w:rsidR="00A77B3E" w:rsidRPr="00800D1B" w:rsidRDefault="00A77B3E" w:rsidP="00A26CDD">
            <w:pPr>
              <w:spacing w:before="100" w:after="100"/>
              <w:ind w:left="-72"/>
              <w:rPr>
                <w:color w:val="000000"/>
                <w:sz w:val="20"/>
                <w:lang w:val="sv-SE"/>
              </w:rPr>
            </w:pPr>
          </w:p>
        </w:tc>
        <w:tc>
          <w:tcPr>
            <w:tcW w:w="1000" w:type="dxa"/>
            <w:vMerge/>
          </w:tcPr>
          <w:p w14:paraId="2D066B56" w14:textId="77777777" w:rsidR="00A77B3E" w:rsidRPr="00800D1B" w:rsidRDefault="00A77B3E" w:rsidP="00A26CDD">
            <w:pPr>
              <w:spacing w:before="100" w:after="100"/>
              <w:ind w:left="-72"/>
              <w:rPr>
                <w:color w:val="000000"/>
                <w:sz w:val="20"/>
                <w:lang w:val="sv-SE"/>
              </w:rPr>
            </w:pPr>
          </w:p>
        </w:tc>
        <w:tc>
          <w:tcPr>
            <w:tcW w:w="2800" w:type="dxa"/>
          </w:tcPr>
          <w:p w14:paraId="2D066B57" w14:textId="30F7977F" w:rsidR="00A77B3E" w:rsidRPr="00800D1B" w:rsidRDefault="00623E14">
            <w:pPr>
              <w:pStyle w:val="Liststycke"/>
              <w:numPr>
                <w:ilvl w:val="0"/>
                <w:numId w:val="86"/>
              </w:numPr>
              <w:tabs>
                <w:tab w:val="left" w:pos="151"/>
              </w:tabs>
              <w:spacing w:before="100" w:after="100"/>
              <w:ind w:left="-72" w:hanging="29"/>
              <w:rPr>
                <w:color w:val="000000"/>
                <w:sz w:val="20"/>
                <w:lang w:val="sv-SE"/>
              </w:rPr>
            </w:pPr>
            <w:r w:rsidRPr="00800D1B">
              <w:rPr>
                <w:color w:val="000000"/>
                <w:sz w:val="20"/>
                <w:lang w:val="sv-SE"/>
              </w:rPr>
              <w:t>En bedömning av investeringsgapet som motiverar behovet av att lägga ned befintliga avfallsanläggningar samt behovet av ytterligare eller uppgraderad avfallsinfrastruktur, med uppgifter om tillgängliga inkomstkällor för att täcka drifts- och underhållskostnaderna.</w:t>
            </w:r>
          </w:p>
        </w:tc>
        <w:tc>
          <w:tcPr>
            <w:tcW w:w="1000" w:type="dxa"/>
          </w:tcPr>
          <w:p w14:paraId="2D066B58" w14:textId="77777777" w:rsidR="00A77B3E" w:rsidRPr="00800D1B" w:rsidRDefault="00623E14" w:rsidP="00A26CDD">
            <w:pPr>
              <w:spacing w:before="100" w:after="100"/>
              <w:ind w:left="-72"/>
              <w:jc w:val="center"/>
              <w:rPr>
                <w:color w:val="000000"/>
                <w:sz w:val="20"/>
                <w:lang w:val="sv-SE"/>
              </w:rPr>
            </w:pPr>
            <w:r w:rsidRPr="00800D1B">
              <w:rPr>
                <w:color w:val="000000"/>
                <w:sz w:val="20"/>
                <w:lang w:val="sv-SE"/>
              </w:rPr>
              <w:t>Ja</w:t>
            </w:r>
          </w:p>
        </w:tc>
        <w:tc>
          <w:tcPr>
            <w:tcW w:w="3400" w:type="dxa"/>
          </w:tcPr>
          <w:p w14:paraId="2D066B59" w14:textId="77777777" w:rsidR="00A77B3E" w:rsidRPr="00800D1B" w:rsidRDefault="00623E14" w:rsidP="00A26CDD">
            <w:pPr>
              <w:spacing w:before="100" w:after="100"/>
              <w:ind w:left="-72"/>
              <w:rPr>
                <w:color w:val="000000"/>
                <w:sz w:val="20"/>
                <w:lang w:val="sv-SE"/>
              </w:rPr>
            </w:pPr>
            <w:r w:rsidRPr="00800D1B">
              <w:rPr>
                <w:color w:val="000000"/>
                <w:sz w:val="20"/>
                <w:lang w:val="sv-SE"/>
              </w:rPr>
              <w:t xml:space="preserve">Sveriges nationella avfallsplan och avfallsförebyggande program (se ovan) </w:t>
            </w:r>
          </w:p>
          <w:p w14:paraId="2D066B5A" w14:textId="77777777" w:rsidR="00A77B3E" w:rsidRPr="00800D1B" w:rsidRDefault="00623E14" w:rsidP="00A26CDD">
            <w:pPr>
              <w:spacing w:before="100" w:after="100"/>
              <w:ind w:left="-72"/>
              <w:rPr>
                <w:color w:val="000000"/>
                <w:sz w:val="20"/>
                <w:lang w:val="sv-SE"/>
              </w:rPr>
            </w:pPr>
            <w:r w:rsidRPr="00800D1B">
              <w:rPr>
                <w:color w:val="000000"/>
                <w:sz w:val="20"/>
                <w:lang w:val="sv-SE"/>
              </w:rPr>
              <w:t>Bilaga 6 som kompletterar planen</w:t>
            </w:r>
          </w:p>
          <w:p w14:paraId="2D066B5B" w14:textId="77777777" w:rsidR="00A77B3E" w:rsidRPr="00800D1B" w:rsidRDefault="00623E14" w:rsidP="00A26CDD">
            <w:pPr>
              <w:spacing w:before="100" w:after="100"/>
              <w:ind w:left="-72"/>
              <w:rPr>
                <w:color w:val="000000"/>
                <w:sz w:val="20"/>
                <w:lang w:val="sv-SE"/>
              </w:rPr>
            </w:pPr>
            <w:r w:rsidRPr="00800D1B">
              <w:rPr>
                <w:color w:val="000000"/>
                <w:sz w:val="20"/>
                <w:lang w:val="sv-SE"/>
              </w:rPr>
              <w:t>(daterad 25.3.2022)</w:t>
            </w:r>
          </w:p>
        </w:tc>
        <w:tc>
          <w:tcPr>
            <w:tcW w:w="3400" w:type="dxa"/>
          </w:tcPr>
          <w:p w14:paraId="2D066B5C" w14:textId="77777777" w:rsidR="00A77B3E" w:rsidRPr="00800D1B" w:rsidRDefault="00623E14" w:rsidP="00A26CDD">
            <w:pPr>
              <w:spacing w:before="100" w:after="100"/>
              <w:ind w:left="-72"/>
              <w:rPr>
                <w:color w:val="000000"/>
                <w:sz w:val="20"/>
                <w:lang w:val="sv-SE"/>
              </w:rPr>
            </w:pPr>
            <w:r w:rsidRPr="00800D1B">
              <w:rPr>
                <w:color w:val="000000"/>
                <w:sz w:val="20"/>
                <w:lang w:val="sv-SE"/>
              </w:rPr>
              <w:t>I kapitel 5 Aktörer inom avfallssektorn beskrivs olika aktörer inom avfallssektorn och deras ansvarsfördelningen. Där beskrivs även kommunernas avfallsavgift och för hantering av kommunalt avfall. I kapitel 8 Behandling av avfall finns beskrivning av nuvarande kapacitet och en bedömning av framtida kapacitetsbehov för olika avfallsbehandlingar. Uppgifter om bland annat kommunernas avfallsavgift och finansiering av avfallshantering har utvecklats i kapitel 5. Bilaga 6 innehåller kompletteringar</w:t>
            </w:r>
          </w:p>
          <w:p w14:paraId="2D066B5D" w14:textId="77777777" w:rsidR="00A77B3E" w:rsidRPr="00800D1B" w:rsidRDefault="00623E14" w:rsidP="00A26CDD">
            <w:pPr>
              <w:spacing w:before="60" w:after="100"/>
              <w:ind w:left="-72"/>
              <w:rPr>
                <w:color w:val="000000"/>
                <w:sz w:val="20"/>
                <w:lang w:val="sv-SE"/>
              </w:rPr>
            </w:pPr>
            <w:r w:rsidRPr="00800D1B">
              <w:rPr>
                <w:color w:val="000000"/>
                <w:sz w:val="20"/>
                <w:lang w:val="sv-SE"/>
              </w:rPr>
              <w:t>till den nationella avfallsplanen med</w:t>
            </w:r>
          </w:p>
          <w:p w14:paraId="2D066B5E" w14:textId="77777777" w:rsidR="00A77B3E" w:rsidRPr="00800D1B" w:rsidRDefault="00623E14" w:rsidP="00A26CDD">
            <w:pPr>
              <w:spacing w:before="60" w:after="100"/>
              <w:ind w:left="-72"/>
              <w:rPr>
                <w:color w:val="000000"/>
                <w:sz w:val="20"/>
                <w:lang w:val="sv-SE"/>
              </w:rPr>
            </w:pPr>
            <w:r w:rsidRPr="00800D1B">
              <w:rPr>
                <w:color w:val="000000"/>
                <w:sz w:val="20"/>
                <w:lang w:val="sv-SE"/>
              </w:rPr>
              <w:t>information om nuvarande och framtida</w:t>
            </w:r>
          </w:p>
          <w:p w14:paraId="2D066B5F" w14:textId="77777777" w:rsidR="00A77B3E" w:rsidRPr="00800D1B" w:rsidRDefault="00623E14" w:rsidP="00A26CDD">
            <w:pPr>
              <w:spacing w:before="60" w:after="100"/>
              <w:ind w:left="-72"/>
              <w:rPr>
                <w:color w:val="000000"/>
                <w:sz w:val="20"/>
                <w:lang w:val="sv-SE"/>
              </w:rPr>
            </w:pPr>
            <w:r w:rsidRPr="00800D1B">
              <w:rPr>
                <w:color w:val="000000"/>
                <w:sz w:val="20"/>
                <w:lang w:val="sv-SE"/>
              </w:rPr>
              <w:t>avfallsbehandlingskapaciteter,</w:t>
            </w:r>
          </w:p>
          <w:p w14:paraId="2D066B60" w14:textId="77777777" w:rsidR="00A77B3E" w:rsidRPr="00800D1B" w:rsidRDefault="00623E14" w:rsidP="00A26CDD">
            <w:pPr>
              <w:spacing w:before="60" w:after="100"/>
              <w:ind w:left="-72"/>
              <w:rPr>
                <w:color w:val="000000"/>
                <w:sz w:val="20"/>
                <w:lang w:val="sv-SE"/>
              </w:rPr>
            </w:pPr>
            <w:r w:rsidRPr="00800D1B">
              <w:rPr>
                <w:color w:val="000000"/>
                <w:sz w:val="20"/>
                <w:lang w:val="sv-SE"/>
              </w:rPr>
              <w:t>lokaliseringsprinciper,</w:t>
            </w:r>
          </w:p>
          <w:p w14:paraId="2D066B61" w14:textId="1111E408" w:rsidR="00A77B3E" w:rsidRPr="00800D1B" w:rsidRDefault="00623E14" w:rsidP="00A26CDD">
            <w:pPr>
              <w:spacing w:before="60" w:after="100"/>
              <w:ind w:left="-72"/>
              <w:rPr>
                <w:color w:val="000000"/>
                <w:sz w:val="20"/>
                <w:lang w:val="sv-SE"/>
              </w:rPr>
            </w:pPr>
            <w:r w:rsidRPr="00800D1B">
              <w:rPr>
                <w:color w:val="000000"/>
                <w:sz w:val="20"/>
                <w:lang w:val="sv-SE"/>
              </w:rPr>
              <w:t>finansieringsmöjligheter och behov.</w:t>
            </w:r>
            <w:r w:rsidR="00CF74CB" w:rsidRPr="00800D1B">
              <w:rPr>
                <w:color w:val="000000"/>
                <w:sz w:val="20"/>
                <w:lang w:val="sv-SE"/>
              </w:rPr>
              <w:t xml:space="preserve"> </w:t>
            </w:r>
          </w:p>
        </w:tc>
      </w:tr>
      <w:tr w:rsidR="003422DB" w:rsidRPr="00BD3045" w14:paraId="2D066B73" w14:textId="77777777" w:rsidTr="00A26CDD">
        <w:tc>
          <w:tcPr>
            <w:tcW w:w="1600" w:type="dxa"/>
            <w:vMerge/>
          </w:tcPr>
          <w:p w14:paraId="2D066B63" w14:textId="77777777" w:rsidR="00A77B3E" w:rsidRPr="00800D1B" w:rsidRDefault="00A77B3E" w:rsidP="00A26CDD">
            <w:pPr>
              <w:spacing w:before="100" w:after="100"/>
              <w:ind w:left="-72"/>
              <w:rPr>
                <w:color w:val="000000"/>
                <w:sz w:val="20"/>
                <w:lang w:val="sv-SE"/>
              </w:rPr>
            </w:pPr>
          </w:p>
        </w:tc>
        <w:tc>
          <w:tcPr>
            <w:tcW w:w="800" w:type="dxa"/>
            <w:vMerge/>
          </w:tcPr>
          <w:p w14:paraId="2D066B64" w14:textId="77777777" w:rsidR="00A77B3E" w:rsidRPr="00800D1B" w:rsidRDefault="00A77B3E" w:rsidP="00A26CDD">
            <w:pPr>
              <w:spacing w:before="100" w:after="100"/>
              <w:ind w:left="-72"/>
              <w:rPr>
                <w:color w:val="000000"/>
                <w:sz w:val="20"/>
                <w:lang w:val="sv-SE"/>
              </w:rPr>
            </w:pPr>
          </w:p>
        </w:tc>
        <w:tc>
          <w:tcPr>
            <w:tcW w:w="1600" w:type="dxa"/>
            <w:vMerge/>
          </w:tcPr>
          <w:p w14:paraId="2D066B65" w14:textId="77777777" w:rsidR="00A77B3E" w:rsidRPr="00800D1B" w:rsidRDefault="00A77B3E" w:rsidP="00A26CDD">
            <w:pPr>
              <w:spacing w:before="100" w:after="100"/>
              <w:ind w:left="-72"/>
              <w:rPr>
                <w:color w:val="000000"/>
                <w:sz w:val="20"/>
                <w:lang w:val="sv-SE"/>
              </w:rPr>
            </w:pPr>
          </w:p>
        </w:tc>
        <w:tc>
          <w:tcPr>
            <w:tcW w:w="1000" w:type="dxa"/>
            <w:vMerge/>
          </w:tcPr>
          <w:p w14:paraId="2D066B66" w14:textId="77777777" w:rsidR="00A77B3E" w:rsidRPr="00800D1B" w:rsidRDefault="00A77B3E" w:rsidP="00A26CDD">
            <w:pPr>
              <w:spacing w:before="100" w:after="100"/>
              <w:ind w:left="-72"/>
              <w:rPr>
                <w:color w:val="000000"/>
                <w:sz w:val="20"/>
                <w:lang w:val="sv-SE"/>
              </w:rPr>
            </w:pPr>
          </w:p>
        </w:tc>
        <w:tc>
          <w:tcPr>
            <w:tcW w:w="2800" w:type="dxa"/>
          </w:tcPr>
          <w:p w14:paraId="2D066B67" w14:textId="101E20EC" w:rsidR="00A77B3E" w:rsidRPr="00800D1B" w:rsidRDefault="00623E14">
            <w:pPr>
              <w:pStyle w:val="Liststycke"/>
              <w:numPr>
                <w:ilvl w:val="0"/>
                <w:numId w:val="86"/>
              </w:numPr>
              <w:tabs>
                <w:tab w:val="left" w:pos="151"/>
              </w:tabs>
              <w:spacing w:before="100" w:after="100"/>
              <w:ind w:left="-72" w:hanging="29"/>
              <w:rPr>
                <w:color w:val="000000"/>
                <w:sz w:val="20"/>
                <w:lang w:val="sv-SE"/>
              </w:rPr>
            </w:pPr>
            <w:r w:rsidRPr="00800D1B">
              <w:rPr>
                <w:color w:val="000000"/>
                <w:sz w:val="20"/>
                <w:lang w:val="sv-SE"/>
              </w:rPr>
              <w:t>Information om kriterierna för hur placeringen av framtida anläggningar ska fastställas och om kapaciteten för framtida anläggningar för avfallsbehandling.</w:t>
            </w:r>
          </w:p>
        </w:tc>
        <w:tc>
          <w:tcPr>
            <w:tcW w:w="1000" w:type="dxa"/>
          </w:tcPr>
          <w:p w14:paraId="2D066B68" w14:textId="77777777" w:rsidR="00A77B3E" w:rsidRPr="00800D1B" w:rsidRDefault="00623E14" w:rsidP="00A26CDD">
            <w:pPr>
              <w:spacing w:before="100" w:after="100"/>
              <w:ind w:left="-72"/>
              <w:jc w:val="center"/>
              <w:rPr>
                <w:color w:val="000000"/>
                <w:sz w:val="20"/>
                <w:lang w:val="sv-SE"/>
              </w:rPr>
            </w:pPr>
            <w:r w:rsidRPr="00800D1B">
              <w:rPr>
                <w:color w:val="000000"/>
                <w:sz w:val="20"/>
                <w:lang w:val="sv-SE"/>
              </w:rPr>
              <w:t>Ja</w:t>
            </w:r>
          </w:p>
        </w:tc>
        <w:tc>
          <w:tcPr>
            <w:tcW w:w="3400" w:type="dxa"/>
          </w:tcPr>
          <w:p w14:paraId="2D066B69" w14:textId="77777777" w:rsidR="00A77B3E" w:rsidRPr="00800D1B" w:rsidRDefault="00623E14" w:rsidP="00A26CDD">
            <w:pPr>
              <w:spacing w:before="100" w:after="100"/>
              <w:ind w:left="-72"/>
              <w:rPr>
                <w:color w:val="000000"/>
                <w:sz w:val="20"/>
                <w:lang w:val="sv-SE"/>
              </w:rPr>
            </w:pPr>
            <w:r w:rsidRPr="00800D1B">
              <w:rPr>
                <w:color w:val="000000"/>
                <w:sz w:val="20"/>
                <w:lang w:val="sv-SE"/>
              </w:rPr>
              <w:t xml:space="preserve">Sveriges nationella avfallsplan och avfallsförebyggande program (se ovan) </w:t>
            </w:r>
          </w:p>
          <w:p w14:paraId="2D066B6A" w14:textId="77777777" w:rsidR="00A77B3E" w:rsidRPr="00800D1B" w:rsidRDefault="00623E14" w:rsidP="00A26CDD">
            <w:pPr>
              <w:spacing w:before="100" w:after="100"/>
              <w:ind w:left="-72"/>
              <w:rPr>
                <w:color w:val="000000"/>
                <w:sz w:val="20"/>
                <w:lang w:val="sv-SE"/>
              </w:rPr>
            </w:pPr>
            <w:r w:rsidRPr="00800D1B">
              <w:rPr>
                <w:color w:val="000000"/>
                <w:sz w:val="20"/>
                <w:lang w:val="sv-SE"/>
              </w:rPr>
              <w:t>Bilaga 6 som kompletterar planen</w:t>
            </w:r>
          </w:p>
          <w:p w14:paraId="2D066B6B" w14:textId="77777777" w:rsidR="00A77B3E" w:rsidRPr="00800D1B" w:rsidRDefault="00623E14" w:rsidP="00A26CDD">
            <w:pPr>
              <w:spacing w:before="100" w:after="100"/>
              <w:ind w:left="-72"/>
              <w:rPr>
                <w:color w:val="000000"/>
                <w:sz w:val="20"/>
                <w:lang w:val="sv-SE"/>
              </w:rPr>
            </w:pPr>
            <w:r w:rsidRPr="00800D1B">
              <w:rPr>
                <w:color w:val="000000"/>
                <w:sz w:val="20"/>
                <w:lang w:val="sv-SE"/>
              </w:rPr>
              <w:t>(daterad 25.3.2022)</w:t>
            </w:r>
          </w:p>
        </w:tc>
        <w:tc>
          <w:tcPr>
            <w:tcW w:w="3400" w:type="dxa"/>
          </w:tcPr>
          <w:p w14:paraId="2D066B6C" w14:textId="77777777" w:rsidR="00A77B3E" w:rsidRPr="00800D1B" w:rsidRDefault="00623E14" w:rsidP="00A26CDD">
            <w:pPr>
              <w:spacing w:before="60" w:after="100"/>
              <w:ind w:left="-72"/>
              <w:rPr>
                <w:color w:val="000000"/>
                <w:sz w:val="20"/>
                <w:lang w:val="sv-SE"/>
              </w:rPr>
            </w:pPr>
            <w:r w:rsidRPr="00800D1B">
              <w:rPr>
                <w:color w:val="000000"/>
                <w:sz w:val="20"/>
                <w:lang w:val="sv-SE"/>
              </w:rPr>
              <w:t xml:space="preserve"> I kapitel 8 Behandling av avfall finns beskrivning av nuvarande kapacitet och en bedömning av framtida kapacitetsbehov för olika avfallsbehandlingar. En lista med samtliga avfallsbehandlingsanläggningar och deras geografiska placering finns i bilaga 2 Avfallsbehandlingsanläggningar. Bilaga</w:t>
            </w:r>
          </w:p>
          <w:p w14:paraId="2D066B6D" w14:textId="77777777" w:rsidR="00A77B3E" w:rsidRPr="00800D1B" w:rsidRDefault="00623E14" w:rsidP="00A26CDD">
            <w:pPr>
              <w:spacing w:before="60" w:after="100"/>
              <w:ind w:left="-72"/>
              <w:rPr>
                <w:color w:val="000000"/>
                <w:sz w:val="20"/>
                <w:lang w:val="sv-SE"/>
              </w:rPr>
            </w:pPr>
            <w:r w:rsidRPr="00800D1B">
              <w:rPr>
                <w:color w:val="000000"/>
                <w:sz w:val="20"/>
                <w:lang w:val="sv-SE"/>
              </w:rPr>
              <w:t>6 innehåller kompletteringar till den</w:t>
            </w:r>
          </w:p>
          <w:p w14:paraId="2D066B6E" w14:textId="77777777" w:rsidR="00A77B3E" w:rsidRPr="00800D1B" w:rsidRDefault="00623E14" w:rsidP="00A26CDD">
            <w:pPr>
              <w:spacing w:before="60" w:after="100"/>
              <w:ind w:left="-72"/>
              <w:rPr>
                <w:color w:val="000000"/>
                <w:sz w:val="20"/>
                <w:lang w:val="sv-SE"/>
              </w:rPr>
            </w:pPr>
            <w:r w:rsidRPr="00800D1B">
              <w:rPr>
                <w:color w:val="000000"/>
                <w:sz w:val="20"/>
                <w:lang w:val="sv-SE"/>
              </w:rPr>
              <w:t>nationella avfallsplanen med</w:t>
            </w:r>
          </w:p>
          <w:p w14:paraId="2D066B6F" w14:textId="77777777" w:rsidR="00A77B3E" w:rsidRPr="00800D1B" w:rsidRDefault="00623E14" w:rsidP="00A26CDD">
            <w:pPr>
              <w:spacing w:before="60" w:after="100"/>
              <w:ind w:left="-72"/>
              <w:rPr>
                <w:color w:val="000000"/>
                <w:sz w:val="20"/>
                <w:lang w:val="sv-SE"/>
              </w:rPr>
            </w:pPr>
            <w:r w:rsidRPr="00800D1B">
              <w:rPr>
                <w:color w:val="000000"/>
                <w:sz w:val="20"/>
                <w:lang w:val="sv-SE"/>
              </w:rPr>
              <w:t>information om nuvarande och framtida</w:t>
            </w:r>
          </w:p>
          <w:p w14:paraId="2D066B70" w14:textId="77777777" w:rsidR="00A77B3E" w:rsidRPr="00800D1B" w:rsidRDefault="00623E14" w:rsidP="00A26CDD">
            <w:pPr>
              <w:spacing w:before="60" w:after="100"/>
              <w:ind w:left="-72"/>
              <w:rPr>
                <w:color w:val="000000"/>
                <w:sz w:val="20"/>
                <w:lang w:val="sv-SE"/>
              </w:rPr>
            </w:pPr>
            <w:r w:rsidRPr="00800D1B">
              <w:rPr>
                <w:color w:val="000000"/>
                <w:sz w:val="20"/>
                <w:lang w:val="sv-SE"/>
              </w:rPr>
              <w:t>avfallsbehandlingskapaciteter,</w:t>
            </w:r>
          </w:p>
          <w:p w14:paraId="2D066B71" w14:textId="77777777" w:rsidR="00A77B3E" w:rsidRPr="00800D1B" w:rsidRDefault="00623E14" w:rsidP="00A26CDD">
            <w:pPr>
              <w:spacing w:before="60" w:after="100"/>
              <w:ind w:left="-72"/>
              <w:rPr>
                <w:color w:val="000000"/>
                <w:sz w:val="20"/>
                <w:lang w:val="sv-SE"/>
              </w:rPr>
            </w:pPr>
            <w:r w:rsidRPr="00800D1B">
              <w:rPr>
                <w:color w:val="000000"/>
                <w:sz w:val="20"/>
                <w:lang w:val="sv-SE"/>
              </w:rPr>
              <w:t>lokaliseringsprinciper,</w:t>
            </w:r>
          </w:p>
          <w:p w14:paraId="2D066B72" w14:textId="47AE3560" w:rsidR="00A77B3E" w:rsidRPr="00800D1B" w:rsidRDefault="00623E14" w:rsidP="00A26CDD">
            <w:pPr>
              <w:spacing w:before="60" w:after="100"/>
              <w:ind w:left="-72"/>
              <w:rPr>
                <w:color w:val="000000"/>
                <w:sz w:val="20"/>
                <w:lang w:val="sv-SE"/>
              </w:rPr>
            </w:pPr>
            <w:r w:rsidRPr="00800D1B">
              <w:rPr>
                <w:color w:val="000000"/>
                <w:sz w:val="20"/>
                <w:lang w:val="sv-SE"/>
              </w:rPr>
              <w:t>finansieringsmöjligheter och behov.</w:t>
            </w:r>
            <w:r w:rsidR="00CF74CB" w:rsidRPr="00800D1B">
              <w:rPr>
                <w:color w:val="000000"/>
                <w:sz w:val="20"/>
                <w:lang w:val="sv-SE"/>
              </w:rPr>
              <w:t xml:space="preserve"> </w:t>
            </w:r>
          </w:p>
        </w:tc>
      </w:tr>
      <w:tr w:rsidR="003422DB" w:rsidRPr="00BD3045" w14:paraId="2D066B89" w14:textId="77777777" w:rsidTr="00A26CDD">
        <w:tc>
          <w:tcPr>
            <w:tcW w:w="1600" w:type="dxa"/>
            <w:vMerge w:val="restart"/>
          </w:tcPr>
          <w:p w14:paraId="2D066B74" w14:textId="1B93929E" w:rsidR="00A77B3E" w:rsidRPr="00800D1B" w:rsidRDefault="00623E14">
            <w:pPr>
              <w:pStyle w:val="Liststycke"/>
              <w:numPr>
                <w:ilvl w:val="0"/>
                <w:numId w:val="76"/>
              </w:numPr>
              <w:tabs>
                <w:tab w:val="left" w:pos="252"/>
              </w:tabs>
              <w:spacing w:before="100" w:after="100"/>
              <w:ind w:left="-72" w:right="-120" w:firstLine="0"/>
              <w:rPr>
                <w:color w:val="000000"/>
                <w:sz w:val="20"/>
                <w:lang w:val="sv-SE"/>
              </w:rPr>
            </w:pPr>
            <w:r w:rsidRPr="00800D1B">
              <w:rPr>
                <w:color w:val="000000"/>
                <w:sz w:val="20"/>
                <w:lang w:val="sv-SE"/>
              </w:rPr>
              <w:t xml:space="preserve"> Övergripande transportplanering på lämplig nivå</w:t>
            </w:r>
          </w:p>
        </w:tc>
        <w:tc>
          <w:tcPr>
            <w:tcW w:w="800" w:type="dxa"/>
            <w:vMerge w:val="restart"/>
          </w:tcPr>
          <w:p w14:paraId="2D066B77" w14:textId="41AD6953" w:rsidR="00A77B3E" w:rsidRPr="00800D1B" w:rsidRDefault="00623E14" w:rsidP="001C1AA9">
            <w:pPr>
              <w:spacing w:before="100" w:after="100"/>
              <w:ind w:left="-72"/>
              <w:rPr>
                <w:color w:val="000000"/>
                <w:sz w:val="20"/>
                <w:lang w:val="sv-SE"/>
              </w:rPr>
            </w:pPr>
            <w:r w:rsidRPr="00800D1B">
              <w:rPr>
                <w:color w:val="000000"/>
                <w:sz w:val="20"/>
                <w:szCs w:val="20"/>
                <w:lang w:val="sv-SE"/>
              </w:rPr>
              <w:t>Eruf</w:t>
            </w:r>
          </w:p>
        </w:tc>
        <w:tc>
          <w:tcPr>
            <w:tcW w:w="1600" w:type="dxa"/>
            <w:vMerge w:val="restart"/>
          </w:tcPr>
          <w:p w14:paraId="2D066B7A" w14:textId="07E82861" w:rsidR="00A77B3E" w:rsidRPr="00800D1B" w:rsidRDefault="00623E14" w:rsidP="00E97156">
            <w:pPr>
              <w:spacing w:before="100" w:after="100"/>
              <w:ind w:left="-72" w:right="-60"/>
              <w:rPr>
                <w:color w:val="000000"/>
                <w:sz w:val="20"/>
                <w:lang w:val="sv-SE"/>
              </w:rPr>
            </w:pPr>
            <w:r w:rsidRPr="00800D1B">
              <w:rPr>
                <w:color w:val="000000"/>
                <w:sz w:val="20"/>
                <w:szCs w:val="20"/>
                <w:lang w:val="sv-SE"/>
              </w:rPr>
              <w:t>RSO3.1. Utveckla ett hållbart, klimattåligt, intelligent, säkert, hållbart och intermodalt TEN-TRSO3.2. Utveckla och förbättra hållbar, klimatresilient, smart och intermodal mobilitet på nationell, regional och lokal nivå, inbegripet förbättrad tillgång till TEN-T och mobilitet över gränserna</w:t>
            </w:r>
          </w:p>
        </w:tc>
        <w:tc>
          <w:tcPr>
            <w:tcW w:w="1000" w:type="dxa"/>
            <w:vMerge w:val="restart"/>
          </w:tcPr>
          <w:p w14:paraId="2D066B7B" w14:textId="77777777" w:rsidR="00A77B3E" w:rsidRPr="00800D1B" w:rsidRDefault="00623E14" w:rsidP="001C1AA9">
            <w:pPr>
              <w:spacing w:before="100" w:after="100"/>
              <w:ind w:left="-72"/>
              <w:jc w:val="center"/>
              <w:rPr>
                <w:color w:val="000000"/>
                <w:sz w:val="20"/>
                <w:lang w:val="sv-SE"/>
              </w:rPr>
            </w:pPr>
            <w:r w:rsidRPr="00800D1B">
              <w:rPr>
                <w:color w:val="000000"/>
                <w:sz w:val="20"/>
                <w:lang w:val="sv-SE"/>
              </w:rPr>
              <w:t>Ja</w:t>
            </w:r>
          </w:p>
        </w:tc>
        <w:tc>
          <w:tcPr>
            <w:tcW w:w="2800" w:type="dxa"/>
          </w:tcPr>
          <w:p w14:paraId="13AAF838" w14:textId="77777777" w:rsidR="00FB6A67" w:rsidRPr="00800D1B" w:rsidRDefault="00623E14" w:rsidP="001C1AA9">
            <w:pPr>
              <w:spacing w:before="100" w:after="100"/>
              <w:ind w:left="-72"/>
              <w:rPr>
                <w:color w:val="000000"/>
                <w:sz w:val="20"/>
                <w:lang w:val="sv-SE"/>
              </w:rPr>
            </w:pPr>
            <w:r w:rsidRPr="00800D1B">
              <w:rPr>
                <w:color w:val="000000"/>
                <w:sz w:val="20"/>
                <w:lang w:val="sv-SE"/>
              </w:rPr>
              <w:t>En multimodal kartläggning av befintliga och planerade infrastrukturer, förutom på lokal nivå, till och med 2030 som</w:t>
            </w:r>
          </w:p>
          <w:p w14:paraId="2D066B7C" w14:textId="15362FFD" w:rsidR="00A77B3E" w:rsidRPr="00800D1B" w:rsidRDefault="00623E14">
            <w:pPr>
              <w:pStyle w:val="Liststycke"/>
              <w:numPr>
                <w:ilvl w:val="0"/>
                <w:numId w:val="87"/>
              </w:numPr>
              <w:tabs>
                <w:tab w:val="left" w:pos="151"/>
              </w:tabs>
              <w:spacing w:before="100" w:after="100"/>
              <w:ind w:left="-72" w:hanging="29"/>
              <w:rPr>
                <w:color w:val="000000"/>
                <w:sz w:val="20"/>
                <w:lang w:val="sv-SE"/>
              </w:rPr>
            </w:pPr>
            <w:r w:rsidRPr="00800D1B">
              <w:rPr>
                <w:color w:val="000000"/>
                <w:sz w:val="20"/>
                <w:lang w:val="sv-SE"/>
              </w:rPr>
              <w:t>omfattar en ekonomisk bedömning av de planerade investeringarna, understödd av en efterfrågeanalys och trafikmodellering, som bör ta hänsyn till de förväntade effekterna av öppnandet av marknaderna för järnvägstjänster,</w:t>
            </w:r>
          </w:p>
        </w:tc>
        <w:tc>
          <w:tcPr>
            <w:tcW w:w="1000" w:type="dxa"/>
          </w:tcPr>
          <w:p w14:paraId="2D066B7D" w14:textId="77777777" w:rsidR="00A77B3E" w:rsidRPr="00800D1B" w:rsidRDefault="00623E14" w:rsidP="001C1AA9">
            <w:pPr>
              <w:spacing w:before="100" w:after="100"/>
              <w:ind w:left="-72"/>
              <w:jc w:val="center"/>
              <w:rPr>
                <w:color w:val="000000"/>
                <w:sz w:val="20"/>
                <w:lang w:val="sv-SE"/>
              </w:rPr>
            </w:pPr>
            <w:r w:rsidRPr="00800D1B">
              <w:rPr>
                <w:color w:val="000000"/>
                <w:sz w:val="20"/>
                <w:lang w:val="sv-SE"/>
              </w:rPr>
              <w:t>Ja</w:t>
            </w:r>
          </w:p>
        </w:tc>
        <w:tc>
          <w:tcPr>
            <w:tcW w:w="3400" w:type="dxa"/>
          </w:tcPr>
          <w:p w14:paraId="2D066B7E" w14:textId="524F35D1" w:rsidR="00A77B3E" w:rsidRPr="00800D1B" w:rsidRDefault="00623E14" w:rsidP="001C1AA9">
            <w:pPr>
              <w:spacing w:before="100" w:after="100"/>
              <w:ind w:left="-72"/>
              <w:rPr>
                <w:color w:val="000000"/>
                <w:sz w:val="20"/>
                <w:lang w:val="sv-SE"/>
              </w:rPr>
            </w:pPr>
            <w:r w:rsidRPr="00800D1B">
              <w:rPr>
                <w:color w:val="000000"/>
                <w:sz w:val="20"/>
                <w:lang w:val="sv-SE"/>
              </w:rPr>
              <w:t>NTP 2018-2029</w:t>
            </w:r>
            <w:r w:rsidR="00CF74CB" w:rsidRPr="00800D1B">
              <w:rPr>
                <w:color w:val="000000"/>
                <w:sz w:val="20"/>
                <w:lang w:val="sv-SE"/>
              </w:rPr>
              <w:t xml:space="preserve"> </w:t>
            </w:r>
            <w:r w:rsidRPr="00800D1B">
              <w:rPr>
                <w:color w:val="000000"/>
                <w:sz w:val="20"/>
                <w:lang w:val="sv-SE"/>
              </w:rPr>
              <w:t xml:space="preserve">Nationell plan för transportsystemet 2018-2029 </w:t>
            </w:r>
          </w:p>
          <w:p w14:paraId="2D066B81" w14:textId="77777777" w:rsidR="00A77B3E" w:rsidRPr="00800D1B" w:rsidRDefault="00623E14" w:rsidP="001C1AA9">
            <w:pPr>
              <w:spacing w:before="360" w:after="100"/>
              <w:ind w:left="-72"/>
              <w:rPr>
                <w:color w:val="000000"/>
                <w:sz w:val="20"/>
                <w:lang w:val="sv-SE"/>
              </w:rPr>
            </w:pPr>
            <w:r w:rsidRPr="00800D1B">
              <w:rPr>
                <w:color w:val="000000"/>
                <w:sz w:val="20"/>
                <w:lang w:val="sv-SE"/>
              </w:rPr>
              <w:t xml:space="preserve">Regional trafikstrategi </w:t>
            </w:r>
          </w:p>
          <w:p w14:paraId="2D066B83" w14:textId="01AD1EC4" w:rsidR="00A77B3E" w:rsidRPr="00800D1B" w:rsidRDefault="00623E14" w:rsidP="001C1AA9">
            <w:pPr>
              <w:spacing w:before="360" w:after="100"/>
              <w:ind w:left="-72"/>
              <w:rPr>
                <w:color w:val="000000"/>
                <w:sz w:val="20"/>
                <w:lang w:val="sv-SE"/>
              </w:rPr>
            </w:pPr>
            <w:r w:rsidRPr="00800D1B">
              <w:rPr>
                <w:color w:val="000000"/>
                <w:sz w:val="20"/>
                <w:lang w:val="sv-SE"/>
              </w:rPr>
              <w:t xml:space="preserve">Trafikförsörjningsprogram </w:t>
            </w:r>
          </w:p>
          <w:p w14:paraId="2D066B85" w14:textId="3C1986C5" w:rsidR="00A77B3E" w:rsidRPr="00800D1B" w:rsidRDefault="00623E14" w:rsidP="001C1AA9">
            <w:pPr>
              <w:spacing w:before="360" w:after="100"/>
              <w:ind w:left="-72"/>
              <w:rPr>
                <w:color w:val="000000"/>
                <w:sz w:val="20"/>
                <w:lang w:val="sv-SE"/>
              </w:rPr>
            </w:pPr>
            <w:r w:rsidRPr="00800D1B">
              <w:rPr>
                <w:color w:val="000000"/>
                <w:sz w:val="20"/>
                <w:lang w:val="sv-SE"/>
              </w:rPr>
              <w:t xml:space="preserve">E12 transportstrategi </w:t>
            </w:r>
          </w:p>
          <w:p w14:paraId="2D066B87" w14:textId="77777777" w:rsidR="00A77B3E" w:rsidRPr="00800D1B" w:rsidRDefault="00623E14" w:rsidP="001C1AA9">
            <w:pPr>
              <w:spacing w:before="360" w:after="100"/>
              <w:ind w:left="-72"/>
              <w:rPr>
                <w:color w:val="000000"/>
                <w:sz w:val="20"/>
                <w:lang w:val="sv-SE"/>
              </w:rPr>
            </w:pPr>
            <w:r w:rsidRPr="00800D1B">
              <w:rPr>
                <w:color w:val="000000"/>
                <w:sz w:val="20"/>
                <w:lang w:val="sv-SE"/>
              </w:rPr>
              <w:t xml:space="preserve">Trafikverkets genomförandeplan för åren 2019–2024 </w:t>
            </w:r>
          </w:p>
        </w:tc>
        <w:tc>
          <w:tcPr>
            <w:tcW w:w="3400" w:type="dxa"/>
          </w:tcPr>
          <w:p w14:paraId="2D066B88" w14:textId="77777777" w:rsidR="00A77B3E" w:rsidRPr="00800D1B" w:rsidRDefault="00623E14" w:rsidP="001C1AA9">
            <w:pPr>
              <w:spacing w:before="100" w:after="100"/>
              <w:ind w:left="-72"/>
              <w:rPr>
                <w:color w:val="000000"/>
                <w:sz w:val="20"/>
                <w:lang w:val="sv-SE"/>
              </w:rPr>
            </w:pPr>
            <w:r w:rsidRPr="00800D1B">
              <w:rPr>
                <w:color w:val="000000"/>
                <w:sz w:val="20"/>
                <w:lang w:val="sv-SE"/>
              </w:rPr>
              <w:t>Norrbotten och Västerbotten har tagit fram regionala systemanalyser utifrån Trafikverkets vägledning. De nationella målen tillsammans med länens regionala mål har varit utgångspunkten för att i bred samverkan formulera de högst prioriterade funktionerna inom transportsystemet. Övre Norrlands utmaning berör på och söker hantera regionens glesa befolkningsstruktur och långa avstånd. Både de regionala planerna och den nationella transportplanen är 12-åriga men revideras var 4:e år. Gällande planer löper från 2018-2029 och har reviderats för perioden 2022—2033. De regionala planerna ska enligt planen godkännas av respektive fullmäktige under hösten 2022. Den nationella planen för perioden 2022-2033 är under beredning och en formell beslut planeras innan hösten 2022.</w:t>
            </w:r>
          </w:p>
        </w:tc>
      </w:tr>
      <w:tr w:rsidR="003422DB" w:rsidRPr="00BD3045" w14:paraId="2D066B9F" w14:textId="77777777" w:rsidTr="00A26CDD">
        <w:tc>
          <w:tcPr>
            <w:tcW w:w="1600" w:type="dxa"/>
            <w:vMerge/>
          </w:tcPr>
          <w:p w14:paraId="2D066B8A" w14:textId="77777777" w:rsidR="00A77B3E" w:rsidRPr="00800D1B" w:rsidRDefault="00A77B3E" w:rsidP="00A26CDD">
            <w:pPr>
              <w:spacing w:before="100" w:after="100"/>
              <w:ind w:left="-72"/>
              <w:rPr>
                <w:color w:val="000000"/>
                <w:sz w:val="20"/>
                <w:lang w:val="sv-SE"/>
              </w:rPr>
            </w:pPr>
          </w:p>
        </w:tc>
        <w:tc>
          <w:tcPr>
            <w:tcW w:w="800" w:type="dxa"/>
            <w:vMerge/>
          </w:tcPr>
          <w:p w14:paraId="2D066B8B" w14:textId="77777777" w:rsidR="00A77B3E" w:rsidRPr="00800D1B" w:rsidRDefault="00A77B3E" w:rsidP="00A26CDD">
            <w:pPr>
              <w:spacing w:before="100" w:after="100"/>
              <w:ind w:left="-72"/>
              <w:rPr>
                <w:color w:val="000000"/>
                <w:sz w:val="20"/>
                <w:lang w:val="sv-SE"/>
              </w:rPr>
            </w:pPr>
          </w:p>
        </w:tc>
        <w:tc>
          <w:tcPr>
            <w:tcW w:w="1600" w:type="dxa"/>
            <w:vMerge/>
          </w:tcPr>
          <w:p w14:paraId="2D066B8C" w14:textId="77777777" w:rsidR="00A77B3E" w:rsidRPr="00800D1B" w:rsidRDefault="00A77B3E" w:rsidP="00A26CDD">
            <w:pPr>
              <w:spacing w:before="100" w:after="100"/>
              <w:ind w:left="-72"/>
              <w:rPr>
                <w:color w:val="000000"/>
                <w:sz w:val="20"/>
                <w:lang w:val="sv-SE"/>
              </w:rPr>
            </w:pPr>
          </w:p>
        </w:tc>
        <w:tc>
          <w:tcPr>
            <w:tcW w:w="1000" w:type="dxa"/>
            <w:vMerge/>
          </w:tcPr>
          <w:p w14:paraId="2D066B8D" w14:textId="77777777" w:rsidR="00A77B3E" w:rsidRPr="00800D1B" w:rsidRDefault="00A77B3E" w:rsidP="00A26CDD">
            <w:pPr>
              <w:spacing w:before="100" w:after="100"/>
              <w:ind w:left="-72"/>
              <w:rPr>
                <w:color w:val="000000"/>
                <w:sz w:val="20"/>
                <w:lang w:val="sv-SE"/>
              </w:rPr>
            </w:pPr>
          </w:p>
        </w:tc>
        <w:tc>
          <w:tcPr>
            <w:tcW w:w="2800" w:type="dxa"/>
          </w:tcPr>
          <w:p w14:paraId="2D066B8E" w14:textId="623FB261" w:rsidR="00A77B3E" w:rsidRPr="00800D1B" w:rsidRDefault="00623E14">
            <w:pPr>
              <w:pStyle w:val="Liststycke"/>
              <w:numPr>
                <w:ilvl w:val="0"/>
                <w:numId w:val="87"/>
              </w:numPr>
              <w:tabs>
                <w:tab w:val="left" w:pos="151"/>
              </w:tabs>
              <w:spacing w:before="100" w:after="100"/>
              <w:ind w:left="-72" w:hanging="29"/>
              <w:rPr>
                <w:color w:val="000000"/>
                <w:sz w:val="20"/>
                <w:lang w:val="sv-SE"/>
              </w:rPr>
            </w:pPr>
            <w:r w:rsidRPr="00800D1B">
              <w:rPr>
                <w:color w:val="000000"/>
                <w:sz w:val="20"/>
                <w:lang w:val="sv-SE"/>
              </w:rPr>
              <w:t>överensstämmer med de transportrelaterade inslagen i den integrerade nationella energi- och klimatplanen,</w:t>
            </w:r>
          </w:p>
        </w:tc>
        <w:tc>
          <w:tcPr>
            <w:tcW w:w="1000" w:type="dxa"/>
          </w:tcPr>
          <w:p w14:paraId="2D066B8F" w14:textId="77777777" w:rsidR="00A77B3E" w:rsidRPr="00800D1B" w:rsidRDefault="00623E14" w:rsidP="00A26CDD">
            <w:pPr>
              <w:spacing w:before="100" w:after="100"/>
              <w:ind w:left="-72"/>
              <w:jc w:val="center"/>
              <w:rPr>
                <w:color w:val="000000"/>
                <w:sz w:val="20"/>
                <w:lang w:val="sv-SE"/>
              </w:rPr>
            </w:pPr>
            <w:r w:rsidRPr="00800D1B">
              <w:rPr>
                <w:color w:val="000000"/>
                <w:sz w:val="20"/>
                <w:lang w:val="sv-SE"/>
              </w:rPr>
              <w:t>Ja</w:t>
            </w:r>
          </w:p>
        </w:tc>
        <w:tc>
          <w:tcPr>
            <w:tcW w:w="3400" w:type="dxa"/>
          </w:tcPr>
          <w:p w14:paraId="2D066B90" w14:textId="77777777" w:rsidR="00A77B3E" w:rsidRPr="00800D1B" w:rsidRDefault="00623E14" w:rsidP="00A26CDD">
            <w:pPr>
              <w:spacing w:before="100" w:after="100"/>
              <w:ind w:left="-72"/>
              <w:rPr>
                <w:color w:val="000000"/>
                <w:sz w:val="20"/>
                <w:lang w:val="sv-SE"/>
              </w:rPr>
            </w:pPr>
            <w:r w:rsidRPr="00800D1B">
              <w:rPr>
                <w:color w:val="000000"/>
                <w:sz w:val="20"/>
                <w:lang w:val="sv-SE"/>
              </w:rPr>
              <w:t xml:space="preserve">Norrbottens klimat- och energistrategi </w:t>
            </w:r>
          </w:p>
          <w:p w14:paraId="2D066B92" w14:textId="77777777" w:rsidR="00A77B3E" w:rsidRPr="00800D1B" w:rsidRDefault="00623E14" w:rsidP="001C1AA9">
            <w:pPr>
              <w:spacing w:before="360" w:after="100"/>
              <w:ind w:left="-72"/>
              <w:rPr>
                <w:color w:val="000000"/>
                <w:sz w:val="20"/>
                <w:lang w:val="sv-SE"/>
              </w:rPr>
            </w:pPr>
            <w:r w:rsidRPr="00800D1B">
              <w:rPr>
                <w:color w:val="000000"/>
                <w:sz w:val="20"/>
                <w:lang w:val="sv-SE"/>
              </w:rPr>
              <w:t xml:space="preserve">Klimat- och energistrategi för Västerbottens län 2020 </w:t>
            </w:r>
          </w:p>
          <w:p w14:paraId="2D066B94" w14:textId="77777777" w:rsidR="00A77B3E" w:rsidRPr="00800D1B" w:rsidRDefault="00623E14" w:rsidP="001C1AA9">
            <w:pPr>
              <w:spacing w:before="360" w:after="100"/>
              <w:ind w:left="-72"/>
              <w:rPr>
                <w:color w:val="000000"/>
                <w:sz w:val="20"/>
                <w:lang w:val="sv-SE"/>
              </w:rPr>
            </w:pPr>
            <w:r w:rsidRPr="00800D1B">
              <w:rPr>
                <w:color w:val="000000"/>
                <w:sz w:val="20"/>
                <w:lang w:val="sv-SE"/>
              </w:rPr>
              <w:t xml:space="preserve">Regional trafikstrategi </w:t>
            </w:r>
          </w:p>
          <w:p w14:paraId="2D066B96" w14:textId="77777777" w:rsidR="00A77B3E" w:rsidRPr="00800D1B" w:rsidRDefault="00623E14" w:rsidP="001C1AA9">
            <w:pPr>
              <w:spacing w:before="200" w:after="100"/>
              <w:ind w:left="-72"/>
              <w:rPr>
                <w:color w:val="000000"/>
                <w:sz w:val="20"/>
                <w:lang w:val="sv-SE"/>
              </w:rPr>
            </w:pPr>
            <w:r w:rsidRPr="00800D1B">
              <w:rPr>
                <w:color w:val="000000"/>
                <w:sz w:val="20"/>
                <w:lang w:val="sv-SE"/>
              </w:rPr>
              <w:t xml:space="preserve">Trafikförsörjningsprogram </w:t>
            </w:r>
          </w:p>
          <w:p w14:paraId="2D066B99" w14:textId="17B651EF" w:rsidR="00A77B3E" w:rsidRPr="00800D1B" w:rsidRDefault="00623E14" w:rsidP="001C1AA9">
            <w:pPr>
              <w:spacing w:before="360" w:after="100"/>
              <w:ind w:left="-72"/>
              <w:rPr>
                <w:color w:val="000000"/>
                <w:sz w:val="20"/>
                <w:lang w:val="sv-SE"/>
              </w:rPr>
            </w:pPr>
            <w:r w:rsidRPr="00800D1B">
              <w:rPr>
                <w:color w:val="000000"/>
                <w:sz w:val="20"/>
                <w:lang w:val="sv-SE"/>
              </w:rPr>
              <w:t xml:space="preserve">E12 transportstrategi </w:t>
            </w:r>
          </w:p>
        </w:tc>
        <w:tc>
          <w:tcPr>
            <w:tcW w:w="3400" w:type="dxa"/>
          </w:tcPr>
          <w:p w14:paraId="2D066B9B" w14:textId="09AC282A" w:rsidR="00A77B3E" w:rsidRPr="00800D1B" w:rsidRDefault="00623E14" w:rsidP="00977927">
            <w:pPr>
              <w:spacing w:before="100" w:after="360"/>
              <w:ind w:left="-72"/>
              <w:rPr>
                <w:color w:val="000000"/>
                <w:sz w:val="20"/>
                <w:lang w:val="sv-SE"/>
              </w:rPr>
            </w:pPr>
            <w:r w:rsidRPr="00800D1B">
              <w:rPr>
                <w:color w:val="000000"/>
                <w:sz w:val="20"/>
                <w:lang w:val="sv-SE"/>
              </w:rPr>
              <w:t>För en effektiv grön samhällsomställning krävs fungerande transporterför både gods och passagerare.</w:t>
            </w:r>
            <w:r w:rsidR="00CF74CB" w:rsidRPr="00800D1B">
              <w:rPr>
                <w:color w:val="000000"/>
                <w:sz w:val="20"/>
                <w:lang w:val="sv-SE"/>
              </w:rPr>
              <w:t xml:space="preserve"> </w:t>
            </w:r>
          </w:p>
          <w:p w14:paraId="2D066B9D" w14:textId="4C234FB8" w:rsidR="00A77B3E" w:rsidRPr="00800D1B" w:rsidRDefault="00623E14" w:rsidP="00977927">
            <w:pPr>
              <w:spacing w:before="100" w:after="360"/>
              <w:ind w:left="-72"/>
              <w:rPr>
                <w:color w:val="000000"/>
                <w:sz w:val="20"/>
                <w:lang w:val="sv-SE"/>
              </w:rPr>
            </w:pPr>
            <w:r w:rsidRPr="00800D1B">
              <w:rPr>
                <w:color w:val="000000"/>
                <w:sz w:val="20"/>
                <w:lang w:val="sv-SE"/>
              </w:rPr>
              <w:t>Samtidigt står transportsektorn för en fjärdedel av EU:s växthusgaser, vilket gör att en omställning av transportsektorn är avgörande för att uppnå klimatneutralitet.</w:t>
            </w:r>
            <w:r w:rsidR="00CF74CB" w:rsidRPr="00800D1B">
              <w:rPr>
                <w:color w:val="000000"/>
                <w:sz w:val="20"/>
                <w:lang w:val="sv-SE"/>
              </w:rPr>
              <w:t xml:space="preserve"> </w:t>
            </w:r>
          </w:p>
          <w:p w14:paraId="2D066B9E" w14:textId="5713D5E4" w:rsidR="00A77B3E" w:rsidRPr="00800D1B" w:rsidRDefault="00623E14" w:rsidP="00A26CDD">
            <w:pPr>
              <w:spacing w:before="100" w:after="100"/>
              <w:ind w:left="-72"/>
              <w:rPr>
                <w:color w:val="000000"/>
                <w:sz w:val="20"/>
                <w:lang w:val="sv-SE"/>
              </w:rPr>
            </w:pPr>
            <w:r w:rsidRPr="00800D1B">
              <w:rPr>
                <w:color w:val="000000"/>
                <w:sz w:val="20"/>
                <w:lang w:val="sv-SE"/>
              </w:rPr>
              <w:t>Genom fortsatt utbyggnad av järnvägsstrukturen i TEN-T kan en betydande del av vägtransporterna, som står för 71,7 % av växthusgasutsläppen från transportsektorn i EU, flyttas över till järnväg och sjöfart, vilket skulle minska utsläppen radikalt.</w:t>
            </w:r>
            <w:r w:rsidR="00CF74CB" w:rsidRPr="00800D1B">
              <w:rPr>
                <w:color w:val="000000"/>
                <w:sz w:val="20"/>
                <w:lang w:val="sv-SE"/>
              </w:rPr>
              <w:t xml:space="preserve"> </w:t>
            </w:r>
          </w:p>
        </w:tc>
      </w:tr>
      <w:tr w:rsidR="003422DB" w:rsidRPr="00BD3045" w14:paraId="2D066BB2" w14:textId="77777777" w:rsidTr="00A26CDD">
        <w:tc>
          <w:tcPr>
            <w:tcW w:w="1600" w:type="dxa"/>
            <w:vMerge/>
          </w:tcPr>
          <w:p w14:paraId="2D066BA0" w14:textId="77777777" w:rsidR="00A77B3E" w:rsidRPr="00800D1B" w:rsidRDefault="00A77B3E" w:rsidP="00A26CDD">
            <w:pPr>
              <w:spacing w:before="100" w:after="100"/>
              <w:ind w:left="-72"/>
              <w:rPr>
                <w:color w:val="000000"/>
                <w:sz w:val="20"/>
                <w:lang w:val="sv-SE"/>
              </w:rPr>
            </w:pPr>
          </w:p>
        </w:tc>
        <w:tc>
          <w:tcPr>
            <w:tcW w:w="800" w:type="dxa"/>
            <w:vMerge/>
          </w:tcPr>
          <w:p w14:paraId="2D066BA1" w14:textId="77777777" w:rsidR="00A77B3E" w:rsidRPr="00800D1B" w:rsidRDefault="00A77B3E" w:rsidP="00A26CDD">
            <w:pPr>
              <w:spacing w:before="100" w:after="100"/>
              <w:ind w:left="-72"/>
              <w:rPr>
                <w:color w:val="000000"/>
                <w:sz w:val="20"/>
                <w:lang w:val="sv-SE"/>
              </w:rPr>
            </w:pPr>
          </w:p>
        </w:tc>
        <w:tc>
          <w:tcPr>
            <w:tcW w:w="1600" w:type="dxa"/>
            <w:vMerge/>
          </w:tcPr>
          <w:p w14:paraId="2D066BA2" w14:textId="77777777" w:rsidR="00A77B3E" w:rsidRPr="00800D1B" w:rsidRDefault="00A77B3E" w:rsidP="00A26CDD">
            <w:pPr>
              <w:spacing w:before="100" w:after="100"/>
              <w:ind w:left="-72"/>
              <w:rPr>
                <w:color w:val="000000"/>
                <w:sz w:val="20"/>
                <w:lang w:val="sv-SE"/>
              </w:rPr>
            </w:pPr>
          </w:p>
        </w:tc>
        <w:tc>
          <w:tcPr>
            <w:tcW w:w="1000" w:type="dxa"/>
            <w:vMerge/>
          </w:tcPr>
          <w:p w14:paraId="2D066BA3" w14:textId="77777777" w:rsidR="00A77B3E" w:rsidRPr="00800D1B" w:rsidRDefault="00A77B3E" w:rsidP="00A26CDD">
            <w:pPr>
              <w:spacing w:before="100" w:after="100"/>
              <w:ind w:left="-72"/>
              <w:rPr>
                <w:color w:val="000000"/>
                <w:sz w:val="20"/>
                <w:lang w:val="sv-SE"/>
              </w:rPr>
            </w:pPr>
          </w:p>
        </w:tc>
        <w:tc>
          <w:tcPr>
            <w:tcW w:w="2800" w:type="dxa"/>
          </w:tcPr>
          <w:p w14:paraId="2D066BA4" w14:textId="012E82EB" w:rsidR="00A77B3E" w:rsidRPr="00800D1B" w:rsidRDefault="00623E14">
            <w:pPr>
              <w:pStyle w:val="Liststycke"/>
              <w:numPr>
                <w:ilvl w:val="0"/>
                <w:numId w:val="87"/>
              </w:numPr>
              <w:tabs>
                <w:tab w:val="left" w:pos="151"/>
              </w:tabs>
              <w:spacing w:before="100" w:after="100"/>
              <w:ind w:left="-72" w:hanging="29"/>
              <w:rPr>
                <w:color w:val="000000"/>
                <w:sz w:val="20"/>
                <w:lang w:val="sv-SE"/>
              </w:rPr>
            </w:pPr>
            <w:r w:rsidRPr="00800D1B">
              <w:rPr>
                <w:color w:val="000000"/>
                <w:sz w:val="20"/>
                <w:lang w:val="sv-SE"/>
              </w:rPr>
              <w:t>omfattar investeringar i stomnätskorridorerna i TEN-T, enligt definitionen i FSE-förordningen, i linje med respektive arbetsplan för stomnätskorridorerna i TEN-T,</w:t>
            </w:r>
          </w:p>
        </w:tc>
        <w:tc>
          <w:tcPr>
            <w:tcW w:w="1000" w:type="dxa"/>
          </w:tcPr>
          <w:p w14:paraId="2D066BA5" w14:textId="77777777" w:rsidR="00A77B3E" w:rsidRPr="00800D1B" w:rsidRDefault="00623E14" w:rsidP="00A26CDD">
            <w:pPr>
              <w:spacing w:before="100" w:after="100"/>
              <w:ind w:left="-72"/>
              <w:jc w:val="center"/>
              <w:rPr>
                <w:color w:val="000000"/>
                <w:sz w:val="20"/>
                <w:lang w:val="sv-SE"/>
              </w:rPr>
            </w:pPr>
            <w:r w:rsidRPr="00800D1B">
              <w:rPr>
                <w:color w:val="000000"/>
                <w:sz w:val="20"/>
                <w:lang w:val="sv-SE"/>
              </w:rPr>
              <w:t>Ja</w:t>
            </w:r>
          </w:p>
        </w:tc>
        <w:tc>
          <w:tcPr>
            <w:tcW w:w="3400" w:type="dxa"/>
          </w:tcPr>
          <w:p w14:paraId="2D066BA6" w14:textId="77777777" w:rsidR="00A77B3E" w:rsidRPr="00800D1B" w:rsidRDefault="00623E14" w:rsidP="00A26CDD">
            <w:pPr>
              <w:spacing w:before="100" w:after="100"/>
              <w:ind w:left="-72"/>
              <w:rPr>
                <w:color w:val="000000"/>
                <w:sz w:val="20"/>
                <w:lang w:val="sv-SE"/>
              </w:rPr>
            </w:pPr>
            <w:r w:rsidRPr="00800D1B">
              <w:rPr>
                <w:color w:val="000000"/>
                <w:sz w:val="20"/>
                <w:lang w:val="sv-SE"/>
              </w:rPr>
              <w:t>Nationell plan för transportsystemet 2018-2029</w:t>
            </w:r>
          </w:p>
          <w:p w14:paraId="2D066BA8" w14:textId="77777777" w:rsidR="00A77B3E" w:rsidRPr="00800D1B" w:rsidRDefault="00623E14" w:rsidP="001C1AA9">
            <w:pPr>
              <w:spacing w:before="300" w:after="100"/>
              <w:ind w:left="-72"/>
              <w:rPr>
                <w:color w:val="000000"/>
                <w:sz w:val="20"/>
                <w:lang w:val="sv-SE"/>
              </w:rPr>
            </w:pPr>
            <w:r w:rsidRPr="00800D1B">
              <w:rPr>
                <w:color w:val="000000"/>
                <w:sz w:val="20"/>
                <w:lang w:val="sv-SE"/>
              </w:rPr>
              <w:t xml:space="preserve">Regional trafikstrategi </w:t>
            </w:r>
          </w:p>
          <w:p w14:paraId="2D066BAA" w14:textId="77777777" w:rsidR="00A77B3E" w:rsidRPr="00800D1B" w:rsidRDefault="00623E14" w:rsidP="001C1AA9">
            <w:pPr>
              <w:spacing w:before="300" w:after="100"/>
              <w:ind w:left="-72"/>
              <w:rPr>
                <w:color w:val="000000"/>
                <w:sz w:val="20"/>
                <w:lang w:val="sv-SE"/>
              </w:rPr>
            </w:pPr>
            <w:r w:rsidRPr="00800D1B">
              <w:rPr>
                <w:color w:val="000000"/>
                <w:sz w:val="20"/>
                <w:lang w:val="sv-SE"/>
              </w:rPr>
              <w:t xml:space="preserve">Trafikförsörjningsprogram </w:t>
            </w:r>
          </w:p>
          <w:p w14:paraId="2D066BAB" w14:textId="67F86DB7" w:rsidR="00A77B3E" w:rsidRPr="00800D1B" w:rsidRDefault="00623E14" w:rsidP="001C1AA9">
            <w:pPr>
              <w:spacing w:before="200" w:after="100"/>
              <w:ind w:left="-72"/>
              <w:rPr>
                <w:color w:val="000000"/>
                <w:sz w:val="20"/>
                <w:lang w:val="sv-SE"/>
              </w:rPr>
            </w:pPr>
            <w:r w:rsidRPr="00800D1B">
              <w:rPr>
                <w:color w:val="000000"/>
                <w:sz w:val="20"/>
                <w:lang w:val="sv-SE"/>
              </w:rPr>
              <w:t>Samhällsekonomiskt underlag – förslag till nationell plan 2018–2029 - Trafikverket</w:t>
            </w:r>
          </w:p>
          <w:p w14:paraId="2D066BAE" w14:textId="77777777" w:rsidR="00A77B3E" w:rsidRPr="00800D1B" w:rsidRDefault="00623E14" w:rsidP="001C1AA9">
            <w:pPr>
              <w:spacing w:before="600" w:after="100"/>
              <w:ind w:left="-72"/>
              <w:rPr>
                <w:color w:val="000000"/>
                <w:sz w:val="20"/>
                <w:lang w:val="sv-SE"/>
              </w:rPr>
            </w:pPr>
            <w:r w:rsidRPr="00800D1B">
              <w:rPr>
                <w:color w:val="000000"/>
                <w:sz w:val="20"/>
                <w:lang w:val="sv-SE"/>
              </w:rPr>
              <w:t xml:space="preserve">Trafikverkets genomförandeplan för åren 2019–2024 </w:t>
            </w:r>
          </w:p>
        </w:tc>
        <w:tc>
          <w:tcPr>
            <w:tcW w:w="3400" w:type="dxa"/>
          </w:tcPr>
          <w:p w14:paraId="2D066BAF" w14:textId="64B456A2" w:rsidR="00A77B3E" w:rsidRPr="00800D1B" w:rsidRDefault="00623E14" w:rsidP="00A26CDD">
            <w:pPr>
              <w:spacing w:before="100" w:after="100"/>
              <w:ind w:left="-72"/>
              <w:rPr>
                <w:color w:val="000000"/>
                <w:sz w:val="20"/>
                <w:lang w:val="sv-SE"/>
              </w:rPr>
            </w:pPr>
            <w:r w:rsidRPr="00800D1B">
              <w:rPr>
                <w:color w:val="000000"/>
                <w:sz w:val="20"/>
                <w:lang w:val="sv-SE"/>
              </w:rPr>
              <w:t>Investeringar kommer att gå till korridorerna för TEN-T:s stomnät. För att stödja utvecklingen och stärka transportsystemet som helhet krävs utvecklade transportnoder i anslutning till hamnarna och rustade farleder.</w:t>
            </w:r>
            <w:r w:rsidR="00CF74CB" w:rsidRPr="00800D1B">
              <w:rPr>
                <w:color w:val="000000"/>
                <w:sz w:val="20"/>
                <w:lang w:val="sv-SE"/>
              </w:rPr>
              <w:t xml:space="preserve"> </w:t>
            </w:r>
          </w:p>
          <w:p w14:paraId="2D066BB1" w14:textId="77777777" w:rsidR="00A77B3E" w:rsidRPr="00800D1B" w:rsidRDefault="00623E14" w:rsidP="00A26CDD">
            <w:pPr>
              <w:spacing w:before="100" w:after="100"/>
              <w:ind w:left="-72"/>
              <w:rPr>
                <w:color w:val="000000"/>
                <w:sz w:val="20"/>
                <w:lang w:val="sv-SE"/>
              </w:rPr>
            </w:pPr>
            <w:r w:rsidRPr="00800D1B">
              <w:rPr>
                <w:color w:val="000000"/>
                <w:sz w:val="20"/>
                <w:lang w:val="sv-SE"/>
              </w:rPr>
              <w:t xml:space="preserve">Genom åtgärder som stärker och knyter samman sjöfart med övriga trafikslag skapas som helhet ett mer långsiktigt hållbart transportsystem med bättre förutsättningar att avlasta den hårt belastade marktransportinfrastrukturen. </w:t>
            </w:r>
          </w:p>
        </w:tc>
      </w:tr>
      <w:tr w:rsidR="003422DB" w:rsidRPr="00BD3045" w14:paraId="2D066BC3" w14:textId="77777777" w:rsidTr="00A26CDD">
        <w:tc>
          <w:tcPr>
            <w:tcW w:w="1600" w:type="dxa"/>
            <w:vMerge/>
          </w:tcPr>
          <w:p w14:paraId="2D066BB3" w14:textId="77777777" w:rsidR="00A77B3E" w:rsidRPr="00800D1B" w:rsidRDefault="00A77B3E" w:rsidP="00A26CDD">
            <w:pPr>
              <w:spacing w:before="100" w:after="100"/>
              <w:ind w:left="-72"/>
              <w:rPr>
                <w:color w:val="000000"/>
                <w:sz w:val="20"/>
                <w:lang w:val="sv-SE"/>
              </w:rPr>
            </w:pPr>
          </w:p>
        </w:tc>
        <w:tc>
          <w:tcPr>
            <w:tcW w:w="800" w:type="dxa"/>
            <w:vMerge/>
          </w:tcPr>
          <w:p w14:paraId="2D066BB4" w14:textId="77777777" w:rsidR="00A77B3E" w:rsidRPr="00800D1B" w:rsidRDefault="00A77B3E" w:rsidP="00A26CDD">
            <w:pPr>
              <w:spacing w:before="100" w:after="100"/>
              <w:ind w:left="-72"/>
              <w:rPr>
                <w:color w:val="000000"/>
                <w:sz w:val="20"/>
                <w:lang w:val="sv-SE"/>
              </w:rPr>
            </w:pPr>
          </w:p>
        </w:tc>
        <w:tc>
          <w:tcPr>
            <w:tcW w:w="1600" w:type="dxa"/>
            <w:vMerge/>
          </w:tcPr>
          <w:p w14:paraId="2D066BB5" w14:textId="77777777" w:rsidR="00A77B3E" w:rsidRPr="00800D1B" w:rsidRDefault="00A77B3E" w:rsidP="00A26CDD">
            <w:pPr>
              <w:spacing w:before="100" w:after="100"/>
              <w:ind w:left="-72"/>
              <w:rPr>
                <w:color w:val="000000"/>
                <w:sz w:val="20"/>
                <w:lang w:val="sv-SE"/>
              </w:rPr>
            </w:pPr>
          </w:p>
        </w:tc>
        <w:tc>
          <w:tcPr>
            <w:tcW w:w="1000" w:type="dxa"/>
            <w:vMerge/>
          </w:tcPr>
          <w:p w14:paraId="2D066BB6" w14:textId="77777777" w:rsidR="00A77B3E" w:rsidRPr="00800D1B" w:rsidRDefault="00A77B3E" w:rsidP="00A26CDD">
            <w:pPr>
              <w:spacing w:before="100" w:after="100"/>
              <w:ind w:left="-72"/>
              <w:rPr>
                <w:color w:val="000000"/>
                <w:sz w:val="20"/>
                <w:lang w:val="sv-SE"/>
              </w:rPr>
            </w:pPr>
          </w:p>
        </w:tc>
        <w:tc>
          <w:tcPr>
            <w:tcW w:w="2800" w:type="dxa"/>
          </w:tcPr>
          <w:p w14:paraId="2D066BB7" w14:textId="7A9FA2EF" w:rsidR="00A77B3E" w:rsidRPr="00800D1B" w:rsidRDefault="00623E14">
            <w:pPr>
              <w:pStyle w:val="Liststycke"/>
              <w:numPr>
                <w:ilvl w:val="0"/>
                <w:numId w:val="87"/>
              </w:numPr>
              <w:tabs>
                <w:tab w:val="left" w:pos="151"/>
              </w:tabs>
              <w:spacing w:before="100" w:after="100"/>
              <w:ind w:left="-72" w:hanging="29"/>
              <w:rPr>
                <w:color w:val="000000"/>
                <w:sz w:val="20"/>
                <w:lang w:val="sv-SE"/>
              </w:rPr>
            </w:pPr>
            <w:r w:rsidRPr="00800D1B">
              <w:rPr>
                <w:color w:val="000000"/>
                <w:sz w:val="20"/>
                <w:lang w:val="sv-SE"/>
              </w:rPr>
              <w:t>säkerställer komplementaritet för investeringar utanför stomnätskorridorerna i TEN-T, även i gränsöverskridande avsnitt, genom att tillhandahålla tillräcklig konnektivitet för stadsnät, regioner och lokalsamhällen till TEN-T:s stomnät och dess knutpunkter,</w:t>
            </w:r>
          </w:p>
        </w:tc>
        <w:tc>
          <w:tcPr>
            <w:tcW w:w="1000" w:type="dxa"/>
          </w:tcPr>
          <w:p w14:paraId="2D066BB8" w14:textId="77777777" w:rsidR="00A77B3E" w:rsidRPr="00800D1B" w:rsidRDefault="00623E14" w:rsidP="00A26CDD">
            <w:pPr>
              <w:spacing w:before="100" w:after="100"/>
              <w:ind w:left="-72"/>
              <w:jc w:val="center"/>
              <w:rPr>
                <w:color w:val="000000"/>
                <w:sz w:val="20"/>
                <w:lang w:val="sv-SE"/>
              </w:rPr>
            </w:pPr>
            <w:r w:rsidRPr="00800D1B">
              <w:rPr>
                <w:color w:val="000000"/>
                <w:sz w:val="20"/>
                <w:lang w:val="sv-SE"/>
              </w:rPr>
              <w:t>Ja</w:t>
            </w:r>
          </w:p>
        </w:tc>
        <w:tc>
          <w:tcPr>
            <w:tcW w:w="3400" w:type="dxa"/>
          </w:tcPr>
          <w:p w14:paraId="2D066BB9" w14:textId="77777777" w:rsidR="00A77B3E" w:rsidRPr="00800D1B" w:rsidRDefault="00623E14" w:rsidP="00A26CDD">
            <w:pPr>
              <w:spacing w:before="100" w:after="100"/>
              <w:ind w:left="-72"/>
              <w:rPr>
                <w:color w:val="000000"/>
                <w:sz w:val="20"/>
                <w:lang w:val="sv-SE"/>
              </w:rPr>
            </w:pPr>
            <w:r w:rsidRPr="00800D1B">
              <w:rPr>
                <w:color w:val="000000"/>
                <w:sz w:val="20"/>
                <w:lang w:val="sv-SE"/>
              </w:rPr>
              <w:t xml:space="preserve">Norrbottens klimat- och energistrategi </w:t>
            </w:r>
          </w:p>
          <w:p w14:paraId="2D066BBA" w14:textId="77777777" w:rsidR="00A77B3E" w:rsidRPr="00800D1B" w:rsidRDefault="00623E14" w:rsidP="001C1AA9">
            <w:pPr>
              <w:spacing w:before="300" w:after="100"/>
              <w:ind w:left="-72"/>
              <w:rPr>
                <w:color w:val="000000"/>
                <w:sz w:val="20"/>
                <w:lang w:val="sv-SE"/>
              </w:rPr>
            </w:pPr>
            <w:r w:rsidRPr="00800D1B">
              <w:rPr>
                <w:color w:val="000000"/>
                <w:sz w:val="20"/>
                <w:lang w:val="sv-SE"/>
              </w:rPr>
              <w:t>Klimat- och energistrategi för Västerbottens län 2020</w:t>
            </w:r>
          </w:p>
          <w:p w14:paraId="2D066BBC" w14:textId="77777777" w:rsidR="00A77B3E" w:rsidRPr="00800D1B" w:rsidRDefault="00623E14" w:rsidP="001C1AA9">
            <w:pPr>
              <w:spacing w:before="300" w:after="100"/>
              <w:ind w:left="-72"/>
              <w:rPr>
                <w:color w:val="000000"/>
                <w:sz w:val="20"/>
                <w:lang w:val="sv-SE"/>
              </w:rPr>
            </w:pPr>
            <w:r w:rsidRPr="00800D1B">
              <w:rPr>
                <w:color w:val="000000"/>
                <w:sz w:val="20"/>
                <w:lang w:val="sv-SE"/>
              </w:rPr>
              <w:t xml:space="preserve">Regional trafikstrategi </w:t>
            </w:r>
          </w:p>
          <w:p w14:paraId="2D066BBF" w14:textId="78EFB976" w:rsidR="00A77B3E" w:rsidRPr="00800D1B" w:rsidRDefault="00623E14" w:rsidP="001C1AA9">
            <w:pPr>
              <w:spacing w:before="300" w:after="100"/>
              <w:ind w:left="-72"/>
              <w:rPr>
                <w:color w:val="000000"/>
                <w:sz w:val="20"/>
                <w:lang w:val="sv-SE"/>
              </w:rPr>
            </w:pPr>
            <w:r w:rsidRPr="00800D1B">
              <w:rPr>
                <w:color w:val="000000"/>
                <w:sz w:val="20"/>
                <w:lang w:val="sv-SE"/>
              </w:rPr>
              <w:t xml:space="preserve">Trafikförsörjningsprogram </w:t>
            </w:r>
          </w:p>
        </w:tc>
        <w:tc>
          <w:tcPr>
            <w:tcW w:w="3400" w:type="dxa"/>
          </w:tcPr>
          <w:p w14:paraId="2D066BC0" w14:textId="77777777" w:rsidR="00A77B3E" w:rsidRPr="00800D1B" w:rsidRDefault="00623E14" w:rsidP="00A26CDD">
            <w:pPr>
              <w:spacing w:before="100" w:after="100"/>
              <w:ind w:left="-72"/>
              <w:rPr>
                <w:color w:val="000000"/>
                <w:sz w:val="20"/>
                <w:lang w:val="sv-SE"/>
              </w:rPr>
            </w:pPr>
            <w:r w:rsidRPr="00800D1B">
              <w:rPr>
                <w:color w:val="000000"/>
                <w:sz w:val="20"/>
                <w:lang w:val="sv-SE"/>
              </w:rPr>
              <w:t xml:space="preserve">Robusta och effektiva lösningar för globala värdekedjor i Norrbotten och Västerbotten bidrar med stora värden till Sveriges och Europas välfärd. Varuvärdet i transporterna ökar desto längre söderut i Sverige och Europa de kommer, vilket beror på förädlande industrier längs hela transportkedjan. </w:t>
            </w:r>
          </w:p>
          <w:p w14:paraId="2D066BC2" w14:textId="77777777" w:rsidR="00A77B3E" w:rsidRPr="00800D1B" w:rsidRDefault="00623E14" w:rsidP="001C1AA9">
            <w:pPr>
              <w:spacing w:before="300" w:after="100"/>
              <w:ind w:left="-72"/>
              <w:rPr>
                <w:color w:val="000000"/>
                <w:sz w:val="20"/>
                <w:lang w:val="sv-SE"/>
              </w:rPr>
            </w:pPr>
            <w:r w:rsidRPr="00800D1B">
              <w:rPr>
                <w:color w:val="000000"/>
                <w:sz w:val="20"/>
                <w:lang w:val="sv-SE"/>
              </w:rPr>
              <w:t xml:space="preserve">En effektiv samverkan mellan trafikslagen och transportmedel är avgörande för att hela varukedjan ska fungera. Med stora förväntade volymökningar i transportsystemet som helhet krävs både effektiva omlastningsnoder och ett sammanhållet väg- och järnvägssystem. </w:t>
            </w:r>
          </w:p>
        </w:tc>
      </w:tr>
      <w:tr w:rsidR="003422DB" w:rsidRPr="00BD3045" w14:paraId="2D066BD4" w14:textId="77777777" w:rsidTr="00A26CDD">
        <w:tc>
          <w:tcPr>
            <w:tcW w:w="1600" w:type="dxa"/>
            <w:vMerge/>
          </w:tcPr>
          <w:p w14:paraId="2D066BC4" w14:textId="77777777" w:rsidR="00A77B3E" w:rsidRPr="00800D1B" w:rsidRDefault="00A77B3E" w:rsidP="00A26CDD">
            <w:pPr>
              <w:spacing w:before="100" w:after="100"/>
              <w:ind w:left="-72"/>
              <w:rPr>
                <w:color w:val="000000"/>
                <w:sz w:val="20"/>
                <w:lang w:val="sv-SE"/>
              </w:rPr>
            </w:pPr>
          </w:p>
        </w:tc>
        <w:tc>
          <w:tcPr>
            <w:tcW w:w="800" w:type="dxa"/>
            <w:vMerge/>
          </w:tcPr>
          <w:p w14:paraId="2D066BC5" w14:textId="77777777" w:rsidR="00A77B3E" w:rsidRPr="00800D1B" w:rsidRDefault="00A77B3E" w:rsidP="00A26CDD">
            <w:pPr>
              <w:spacing w:before="100" w:after="100"/>
              <w:ind w:left="-72"/>
              <w:rPr>
                <w:color w:val="000000"/>
                <w:sz w:val="20"/>
                <w:lang w:val="sv-SE"/>
              </w:rPr>
            </w:pPr>
          </w:p>
        </w:tc>
        <w:tc>
          <w:tcPr>
            <w:tcW w:w="1600" w:type="dxa"/>
            <w:vMerge/>
          </w:tcPr>
          <w:p w14:paraId="2D066BC6" w14:textId="77777777" w:rsidR="00A77B3E" w:rsidRPr="00800D1B" w:rsidRDefault="00A77B3E" w:rsidP="00A26CDD">
            <w:pPr>
              <w:spacing w:before="100" w:after="100"/>
              <w:ind w:left="-72"/>
              <w:rPr>
                <w:color w:val="000000"/>
                <w:sz w:val="20"/>
                <w:lang w:val="sv-SE"/>
              </w:rPr>
            </w:pPr>
          </w:p>
        </w:tc>
        <w:tc>
          <w:tcPr>
            <w:tcW w:w="1000" w:type="dxa"/>
            <w:vMerge/>
          </w:tcPr>
          <w:p w14:paraId="2D066BC7" w14:textId="77777777" w:rsidR="00A77B3E" w:rsidRPr="00800D1B" w:rsidRDefault="00A77B3E" w:rsidP="00A26CDD">
            <w:pPr>
              <w:spacing w:before="100" w:after="100"/>
              <w:ind w:left="-72"/>
              <w:rPr>
                <w:color w:val="000000"/>
                <w:sz w:val="20"/>
                <w:lang w:val="sv-SE"/>
              </w:rPr>
            </w:pPr>
          </w:p>
        </w:tc>
        <w:tc>
          <w:tcPr>
            <w:tcW w:w="2800" w:type="dxa"/>
          </w:tcPr>
          <w:p w14:paraId="2D066BC8" w14:textId="697D3C84" w:rsidR="00A77B3E" w:rsidRPr="00800D1B" w:rsidRDefault="00623E14">
            <w:pPr>
              <w:pStyle w:val="Liststycke"/>
              <w:numPr>
                <w:ilvl w:val="0"/>
                <w:numId w:val="87"/>
              </w:numPr>
              <w:tabs>
                <w:tab w:val="left" w:pos="151"/>
              </w:tabs>
              <w:spacing w:before="100" w:after="100"/>
              <w:ind w:left="-72" w:hanging="29"/>
              <w:rPr>
                <w:color w:val="000000"/>
                <w:sz w:val="20"/>
                <w:lang w:val="sv-SE"/>
              </w:rPr>
            </w:pPr>
            <w:r w:rsidRPr="00800D1B">
              <w:rPr>
                <w:color w:val="000000"/>
                <w:sz w:val="20"/>
                <w:lang w:val="sv-SE"/>
              </w:rPr>
              <w:t>säkerställer driftskompatibilitet i järnvägsnätet och, där så är relevant, rapporterar om genomförandet av ERTMS i enlighet med kommissionens genomförandeförordning (EU) 2017/6,</w:t>
            </w:r>
          </w:p>
        </w:tc>
        <w:tc>
          <w:tcPr>
            <w:tcW w:w="1000" w:type="dxa"/>
          </w:tcPr>
          <w:p w14:paraId="2D066BC9" w14:textId="77777777" w:rsidR="00A77B3E" w:rsidRPr="00800D1B" w:rsidRDefault="00623E14" w:rsidP="00A26CDD">
            <w:pPr>
              <w:spacing w:before="100" w:after="100"/>
              <w:ind w:left="-72"/>
              <w:jc w:val="center"/>
              <w:rPr>
                <w:color w:val="000000"/>
                <w:sz w:val="20"/>
                <w:lang w:val="sv-SE"/>
              </w:rPr>
            </w:pPr>
            <w:r w:rsidRPr="00800D1B">
              <w:rPr>
                <w:color w:val="000000"/>
                <w:sz w:val="20"/>
                <w:lang w:val="sv-SE"/>
              </w:rPr>
              <w:t>Ja</w:t>
            </w:r>
          </w:p>
        </w:tc>
        <w:tc>
          <w:tcPr>
            <w:tcW w:w="3400" w:type="dxa"/>
          </w:tcPr>
          <w:p w14:paraId="2D066BCA" w14:textId="77777777" w:rsidR="00A77B3E" w:rsidRPr="00800D1B" w:rsidRDefault="00623E14" w:rsidP="001C1AA9">
            <w:pPr>
              <w:spacing w:before="100" w:after="300"/>
              <w:ind w:left="-72"/>
              <w:rPr>
                <w:color w:val="000000"/>
                <w:sz w:val="20"/>
                <w:lang w:val="sv-SE"/>
              </w:rPr>
            </w:pPr>
            <w:r w:rsidRPr="00800D1B">
              <w:rPr>
                <w:color w:val="000000"/>
                <w:sz w:val="20"/>
                <w:lang w:val="sv-SE"/>
              </w:rPr>
              <w:t xml:space="preserve">Nationell plan för transportsystemet 2018-2029 </w:t>
            </w:r>
          </w:p>
          <w:p w14:paraId="2D066BCB" w14:textId="77777777" w:rsidR="00A77B3E" w:rsidRPr="00800D1B" w:rsidRDefault="00623E14" w:rsidP="001C1AA9">
            <w:pPr>
              <w:spacing w:before="100" w:after="300"/>
              <w:ind w:left="-72"/>
              <w:rPr>
                <w:color w:val="000000"/>
                <w:sz w:val="20"/>
                <w:lang w:val="sv-SE"/>
              </w:rPr>
            </w:pPr>
            <w:r w:rsidRPr="00800D1B">
              <w:rPr>
                <w:color w:val="000000"/>
                <w:sz w:val="20"/>
                <w:lang w:val="sv-SE"/>
              </w:rPr>
              <w:t xml:space="preserve">Regional trafikstrategi </w:t>
            </w:r>
          </w:p>
          <w:p w14:paraId="2D066BCD" w14:textId="77777777" w:rsidR="00A77B3E" w:rsidRPr="00800D1B" w:rsidRDefault="00623E14" w:rsidP="001C1AA9">
            <w:pPr>
              <w:spacing w:before="100" w:after="300"/>
              <w:ind w:left="-72"/>
              <w:rPr>
                <w:color w:val="000000"/>
                <w:sz w:val="20"/>
                <w:lang w:val="sv-SE"/>
              </w:rPr>
            </w:pPr>
            <w:r w:rsidRPr="00800D1B">
              <w:rPr>
                <w:color w:val="000000"/>
                <w:sz w:val="20"/>
                <w:lang w:val="sv-SE"/>
              </w:rPr>
              <w:t xml:space="preserve">Trafikförsörjningsprogram </w:t>
            </w:r>
          </w:p>
          <w:p w14:paraId="2D066BCF" w14:textId="77777777" w:rsidR="00A77B3E" w:rsidRPr="00800D1B" w:rsidRDefault="00623E14" w:rsidP="001C1AA9">
            <w:pPr>
              <w:spacing w:before="100" w:after="500"/>
              <w:ind w:left="-72"/>
              <w:rPr>
                <w:color w:val="000000"/>
                <w:sz w:val="20"/>
                <w:lang w:val="sv-SE"/>
              </w:rPr>
            </w:pPr>
            <w:r w:rsidRPr="00800D1B">
              <w:rPr>
                <w:color w:val="000000"/>
                <w:sz w:val="20"/>
                <w:lang w:val="sv-SE"/>
              </w:rPr>
              <w:t xml:space="preserve">E12 transportstrategi </w:t>
            </w:r>
          </w:p>
          <w:p w14:paraId="2D066BD2" w14:textId="77777777" w:rsidR="00A77B3E" w:rsidRPr="00800D1B" w:rsidRDefault="00623E14" w:rsidP="00A26CDD">
            <w:pPr>
              <w:spacing w:before="100" w:after="100"/>
              <w:ind w:left="-72"/>
              <w:rPr>
                <w:color w:val="000000"/>
                <w:sz w:val="20"/>
                <w:lang w:val="sv-SE"/>
              </w:rPr>
            </w:pPr>
            <w:r w:rsidRPr="00800D1B">
              <w:rPr>
                <w:color w:val="000000"/>
                <w:sz w:val="20"/>
                <w:lang w:val="sv-SE"/>
              </w:rPr>
              <w:t xml:space="preserve">Trafikverkets genomförandeplan för åren 2019–2024 </w:t>
            </w:r>
          </w:p>
        </w:tc>
        <w:tc>
          <w:tcPr>
            <w:tcW w:w="3400" w:type="dxa"/>
          </w:tcPr>
          <w:p w14:paraId="2D066BD3" w14:textId="5E984300" w:rsidR="00A77B3E" w:rsidRPr="00800D1B" w:rsidRDefault="00623E14" w:rsidP="00A26CDD">
            <w:pPr>
              <w:spacing w:before="100" w:after="100"/>
              <w:ind w:left="-72"/>
              <w:rPr>
                <w:color w:val="000000"/>
                <w:sz w:val="20"/>
                <w:lang w:val="sv-SE"/>
              </w:rPr>
            </w:pPr>
            <w:r w:rsidRPr="00800D1B">
              <w:rPr>
                <w:color w:val="000000"/>
                <w:sz w:val="20"/>
                <w:lang w:val="sv-SE"/>
              </w:rPr>
              <w:t>Det finns stora brister i järnvägssystemet i form av avsaknad av elektrifiering på vissa sträckor, brister i signal- och säkerhetssystem, flaskhalsar, brist på mötesplatser och uppställningsspår samt behov av dubbelspår på vissa sträckor. Införandet av det europeiska tågsäkerhetssystemet European Rail Traffic Management System (ERTMS) innebär vissa förbättringar.</w:t>
            </w:r>
            <w:r w:rsidR="00CF74CB" w:rsidRPr="00800D1B">
              <w:rPr>
                <w:color w:val="000000"/>
                <w:sz w:val="20"/>
                <w:lang w:val="sv-SE"/>
              </w:rPr>
              <w:t xml:space="preserve"> </w:t>
            </w:r>
          </w:p>
        </w:tc>
      </w:tr>
      <w:tr w:rsidR="003422DB" w:rsidRPr="00BD3045" w14:paraId="2D066BE4" w14:textId="77777777" w:rsidTr="00A26CDD">
        <w:tc>
          <w:tcPr>
            <w:tcW w:w="1600" w:type="dxa"/>
            <w:vMerge/>
          </w:tcPr>
          <w:p w14:paraId="2D066BD5" w14:textId="77777777" w:rsidR="00A77B3E" w:rsidRPr="00800D1B" w:rsidRDefault="00A77B3E" w:rsidP="00A26CDD">
            <w:pPr>
              <w:spacing w:before="100" w:after="100"/>
              <w:ind w:left="-72"/>
              <w:rPr>
                <w:color w:val="000000"/>
                <w:sz w:val="20"/>
                <w:lang w:val="sv-SE"/>
              </w:rPr>
            </w:pPr>
          </w:p>
        </w:tc>
        <w:tc>
          <w:tcPr>
            <w:tcW w:w="800" w:type="dxa"/>
            <w:vMerge/>
          </w:tcPr>
          <w:p w14:paraId="2D066BD6" w14:textId="77777777" w:rsidR="00A77B3E" w:rsidRPr="00800D1B" w:rsidRDefault="00A77B3E" w:rsidP="00A26CDD">
            <w:pPr>
              <w:spacing w:before="100" w:after="100"/>
              <w:ind w:left="-72"/>
              <w:rPr>
                <w:color w:val="000000"/>
                <w:sz w:val="20"/>
                <w:lang w:val="sv-SE"/>
              </w:rPr>
            </w:pPr>
          </w:p>
        </w:tc>
        <w:tc>
          <w:tcPr>
            <w:tcW w:w="1600" w:type="dxa"/>
            <w:vMerge/>
          </w:tcPr>
          <w:p w14:paraId="2D066BD7" w14:textId="77777777" w:rsidR="00A77B3E" w:rsidRPr="00800D1B" w:rsidRDefault="00A77B3E" w:rsidP="00A26CDD">
            <w:pPr>
              <w:spacing w:before="100" w:after="100"/>
              <w:ind w:left="-72"/>
              <w:rPr>
                <w:color w:val="000000"/>
                <w:sz w:val="20"/>
                <w:lang w:val="sv-SE"/>
              </w:rPr>
            </w:pPr>
          </w:p>
        </w:tc>
        <w:tc>
          <w:tcPr>
            <w:tcW w:w="1000" w:type="dxa"/>
            <w:vMerge/>
          </w:tcPr>
          <w:p w14:paraId="2D066BD8" w14:textId="77777777" w:rsidR="00A77B3E" w:rsidRPr="00800D1B" w:rsidRDefault="00A77B3E" w:rsidP="00A26CDD">
            <w:pPr>
              <w:spacing w:before="100" w:after="100"/>
              <w:ind w:left="-72"/>
              <w:rPr>
                <w:color w:val="000000"/>
                <w:sz w:val="20"/>
                <w:lang w:val="sv-SE"/>
              </w:rPr>
            </w:pPr>
          </w:p>
        </w:tc>
        <w:tc>
          <w:tcPr>
            <w:tcW w:w="2800" w:type="dxa"/>
          </w:tcPr>
          <w:p w14:paraId="2D066BD9" w14:textId="07B2835D" w:rsidR="00A77B3E" w:rsidRPr="00800D1B" w:rsidRDefault="00623E14">
            <w:pPr>
              <w:pStyle w:val="Liststycke"/>
              <w:numPr>
                <w:ilvl w:val="0"/>
                <w:numId w:val="87"/>
              </w:numPr>
              <w:tabs>
                <w:tab w:val="left" w:pos="151"/>
              </w:tabs>
              <w:spacing w:before="100" w:after="100"/>
              <w:ind w:left="-72" w:hanging="29"/>
              <w:rPr>
                <w:color w:val="000000"/>
                <w:sz w:val="20"/>
                <w:lang w:val="sv-SE"/>
              </w:rPr>
            </w:pPr>
            <w:r w:rsidRPr="00800D1B">
              <w:rPr>
                <w:color w:val="000000"/>
                <w:sz w:val="20"/>
                <w:lang w:val="sv-SE"/>
              </w:rPr>
              <w:t>främjar multimodalitet och identifierar behov för multimodala terminaler eller omlastningsterminaler för gods och passagerare,</w:t>
            </w:r>
          </w:p>
        </w:tc>
        <w:tc>
          <w:tcPr>
            <w:tcW w:w="1000" w:type="dxa"/>
          </w:tcPr>
          <w:p w14:paraId="2D066BDA" w14:textId="77777777" w:rsidR="00A77B3E" w:rsidRPr="00800D1B" w:rsidRDefault="00623E14" w:rsidP="00A26CDD">
            <w:pPr>
              <w:spacing w:before="100" w:after="100"/>
              <w:ind w:left="-72"/>
              <w:jc w:val="center"/>
              <w:rPr>
                <w:color w:val="000000"/>
                <w:sz w:val="20"/>
                <w:lang w:val="sv-SE"/>
              </w:rPr>
            </w:pPr>
            <w:r w:rsidRPr="00800D1B">
              <w:rPr>
                <w:color w:val="000000"/>
                <w:sz w:val="20"/>
                <w:lang w:val="sv-SE"/>
              </w:rPr>
              <w:t>Ja</w:t>
            </w:r>
          </w:p>
        </w:tc>
        <w:tc>
          <w:tcPr>
            <w:tcW w:w="3400" w:type="dxa"/>
          </w:tcPr>
          <w:p w14:paraId="2D066BDB" w14:textId="77777777" w:rsidR="00A77B3E" w:rsidRPr="00800D1B" w:rsidRDefault="00623E14" w:rsidP="001C1AA9">
            <w:pPr>
              <w:spacing w:before="100" w:after="300"/>
              <w:ind w:left="-72"/>
              <w:rPr>
                <w:color w:val="000000"/>
                <w:sz w:val="20"/>
                <w:lang w:val="sv-SE"/>
              </w:rPr>
            </w:pPr>
            <w:r w:rsidRPr="00800D1B">
              <w:rPr>
                <w:color w:val="000000"/>
                <w:sz w:val="20"/>
                <w:lang w:val="sv-SE"/>
              </w:rPr>
              <w:t xml:space="preserve">Norrbottens klimat- och energistrategi </w:t>
            </w:r>
          </w:p>
          <w:p w14:paraId="2D066BDD" w14:textId="77777777" w:rsidR="00A77B3E" w:rsidRPr="00800D1B" w:rsidRDefault="00623E14" w:rsidP="001C1AA9">
            <w:pPr>
              <w:spacing w:before="100" w:after="120"/>
              <w:ind w:left="-72"/>
              <w:rPr>
                <w:color w:val="000000"/>
                <w:sz w:val="20"/>
                <w:lang w:val="sv-SE"/>
              </w:rPr>
            </w:pPr>
            <w:r w:rsidRPr="00800D1B">
              <w:rPr>
                <w:color w:val="000000"/>
                <w:sz w:val="20"/>
                <w:lang w:val="sv-SE"/>
              </w:rPr>
              <w:t xml:space="preserve">Klimat- och energistrategi för Västerbottens län 2020 </w:t>
            </w:r>
          </w:p>
          <w:p w14:paraId="2D066BDE" w14:textId="77777777" w:rsidR="00A77B3E" w:rsidRPr="00800D1B" w:rsidRDefault="00623E14" w:rsidP="001C1AA9">
            <w:pPr>
              <w:spacing w:before="100" w:after="400"/>
              <w:ind w:left="-72"/>
              <w:rPr>
                <w:color w:val="000000"/>
                <w:sz w:val="20"/>
                <w:lang w:val="sv-SE"/>
              </w:rPr>
            </w:pPr>
            <w:r w:rsidRPr="00800D1B">
              <w:rPr>
                <w:color w:val="000000"/>
                <w:sz w:val="20"/>
                <w:lang w:val="sv-SE"/>
              </w:rPr>
              <w:t xml:space="preserve">Regional trafikstrategi </w:t>
            </w:r>
          </w:p>
          <w:p w14:paraId="2D066BE0" w14:textId="42D93808" w:rsidR="00A77B3E" w:rsidRPr="00800D1B" w:rsidRDefault="00623E14" w:rsidP="00A26CDD">
            <w:pPr>
              <w:spacing w:before="100" w:after="100"/>
              <w:ind w:left="-72"/>
              <w:rPr>
                <w:color w:val="000000"/>
                <w:sz w:val="20"/>
                <w:lang w:val="sv-SE"/>
              </w:rPr>
            </w:pPr>
            <w:r w:rsidRPr="00800D1B">
              <w:rPr>
                <w:color w:val="000000"/>
                <w:sz w:val="20"/>
                <w:lang w:val="sv-SE"/>
              </w:rPr>
              <w:t xml:space="preserve">E12 transportstrategi </w:t>
            </w:r>
          </w:p>
        </w:tc>
        <w:tc>
          <w:tcPr>
            <w:tcW w:w="3400" w:type="dxa"/>
          </w:tcPr>
          <w:p w14:paraId="2D066BE1" w14:textId="77777777" w:rsidR="00A77B3E" w:rsidRPr="00800D1B" w:rsidRDefault="00623E14" w:rsidP="00A26CDD">
            <w:pPr>
              <w:spacing w:before="100" w:after="300"/>
              <w:ind w:left="-72"/>
              <w:rPr>
                <w:color w:val="000000"/>
                <w:sz w:val="20"/>
                <w:lang w:val="sv-SE"/>
              </w:rPr>
            </w:pPr>
            <w:r w:rsidRPr="00800D1B">
              <w:rPr>
                <w:color w:val="000000"/>
                <w:sz w:val="20"/>
                <w:lang w:val="sv-SE"/>
              </w:rPr>
              <w:t>Norrbotten och Västerbotten bidrar med stora värden till Sveriges och Europas välfärd. Varuvärdet i transporterna ökar desto längre söderut i Sverige och Europa de kommer, vilket beror på förädlande industrier längs hela transportkedjan.</w:t>
            </w:r>
          </w:p>
          <w:p w14:paraId="2D066BE3" w14:textId="031CF944" w:rsidR="00A77B3E" w:rsidRPr="00800D1B" w:rsidRDefault="00623E14" w:rsidP="00A26CDD">
            <w:pPr>
              <w:spacing w:before="100" w:after="100"/>
              <w:ind w:left="-72"/>
              <w:rPr>
                <w:color w:val="000000"/>
                <w:sz w:val="20"/>
                <w:lang w:val="sv-SE"/>
              </w:rPr>
            </w:pPr>
            <w:r w:rsidRPr="00800D1B">
              <w:rPr>
                <w:color w:val="000000"/>
                <w:sz w:val="20"/>
                <w:lang w:val="sv-SE"/>
              </w:rPr>
              <w:t>En effektiv samverkan mellan trafikslagen och transportmedel är avgörande för att hela varukedjan ska fungera. Med stora förväntade volymökningar i transportsystemet som helhet krävs både effektiva omlastningsnoder och ett sammanhållet väg- och järnvägssystem.</w:t>
            </w:r>
            <w:r w:rsidR="00CF74CB" w:rsidRPr="00800D1B">
              <w:rPr>
                <w:color w:val="000000"/>
                <w:sz w:val="20"/>
                <w:lang w:val="sv-SE"/>
              </w:rPr>
              <w:t xml:space="preserve"> </w:t>
            </w:r>
          </w:p>
        </w:tc>
      </w:tr>
      <w:tr w:rsidR="003422DB" w:rsidRPr="00BD3045" w14:paraId="2D066BF5" w14:textId="77777777" w:rsidTr="00A26CDD">
        <w:tc>
          <w:tcPr>
            <w:tcW w:w="1600" w:type="dxa"/>
            <w:vMerge/>
          </w:tcPr>
          <w:p w14:paraId="2D066BE5" w14:textId="77777777" w:rsidR="00A77B3E" w:rsidRPr="00800D1B" w:rsidRDefault="00A77B3E" w:rsidP="00A26CDD">
            <w:pPr>
              <w:spacing w:before="100" w:after="100"/>
              <w:ind w:left="-72"/>
              <w:rPr>
                <w:color w:val="000000"/>
                <w:sz w:val="20"/>
                <w:lang w:val="sv-SE"/>
              </w:rPr>
            </w:pPr>
          </w:p>
        </w:tc>
        <w:tc>
          <w:tcPr>
            <w:tcW w:w="800" w:type="dxa"/>
            <w:vMerge/>
          </w:tcPr>
          <w:p w14:paraId="2D066BE6" w14:textId="77777777" w:rsidR="00A77B3E" w:rsidRPr="00800D1B" w:rsidRDefault="00A77B3E" w:rsidP="00A26CDD">
            <w:pPr>
              <w:spacing w:before="100" w:after="100"/>
              <w:ind w:left="-72"/>
              <w:rPr>
                <w:color w:val="000000"/>
                <w:sz w:val="20"/>
                <w:lang w:val="sv-SE"/>
              </w:rPr>
            </w:pPr>
          </w:p>
        </w:tc>
        <w:tc>
          <w:tcPr>
            <w:tcW w:w="1600" w:type="dxa"/>
            <w:vMerge/>
          </w:tcPr>
          <w:p w14:paraId="2D066BE7" w14:textId="77777777" w:rsidR="00A77B3E" w:rsidRPr="00800D1B" w:rsidRDefault="00A77B3E" w:rsidP="00A26CDD">
            <w:pPr>
              <w:spacing w:before="100" w:after="100"/>
              <w:ind w:left="-72"/>
              <w:rPr>
                <w:color w:val="000000"/>
                <w:sz w:val="20"/>
                <w:lang w:val="sv-SE"/>
              </w:rPr>
            </w:pPr>
          </w:p>
        </w:tc>
        <w:tc>
          <w:tcPr>
            <w:tcW w:w="1000" w:type="dxa"/>
            <w:vMerge/>
          </w:tcPr>
          <w:p w14:paraId="2D066BE8" w14:textId="77777777" w:rsidR="00A77B3E" w:rsidRPr="00800D1B" w:rsidRDefault="00A77B3E" w:rsidP="00A26CDD">
            <w:pPr>
              <w:spacing w:before="100" w:after="100"/>
              <w:ind w:left="-72"/>
              <w:rPr>
                <w:color w:val="000000"/>
                <w:sz w:val="20"/>
                <w:lang w:val="sv-SE"/>
              </w:rPr>
            </w:pPr>
          </w:p>
        </w:tc>
        <w:tc>
          <w:tcPr>
            <w:tcW w:w="2800" w:type="dxa"/>
          </w:tcPr>
          <w:p w14:paraId="2D066BE9" w14:textId="2D14591D" w:rsidR="00A77B3E" w:rsidRPr="00800D1B" w:rsidRDefault="00623E14">
            <w:pPr>
              <w:pStyle w:val="Liststycke"/>
              <w:numPr>
                <w:ilvl w:val="0"/>
                <w:numId w:val="87"/>
              </w:numPr>
              <w:tabs>
                <w:tab w:val="left" w:pos="151"/>
              </w:tabs>
              <w:spacing w:before="100" w:after="100"/>
              <w:ind w:left="-72" w:hanging="29"/>
              <w:rPr>
                <w:color w:val="000000"/>
                <w:sz w:val="20"/>
                <w:lang w:val="sv-SE"/>
              </w:rPr>
            </w:pPr>
            <w:r w:rsidRPr="00800D1B">
              <w:rPr>
                <w:color w:val="000000"/>
                <w:sz w:val="20"/>
                <w:lang w:val="sv-SE"/>
              </w:rPr>
              <w:t>omfattar åtgärder som är relevanta för infrastrukturplanering och som syftar till att främja alternativa bränslen i linje med de relevanta nationella politiska ramarna,</w:t>
            </w:r>
          </w:p>
        </w:tc>
        <w:tc>
          <w:tcPr>
            <w:tcW w:w="1000" w:type="dxa"/>
          </w:tcPr>
          <w:p w14:paraId="2D066BEA" w14:textId="77777777" w:rsidR="00A77B3E" w:rsidRPr="00800D1B" w:rsidRDefault="00623E14" w:rsidP="00A26CDD">
            <w:pPr>
              <w:spacing w:before="100" w:after="100"/>
              <w:ind w:left="-72"/>
              <w:jc w:val="center"/>
              <w:rPr>
                <w:color w:val="000000"/>
                <w:sz w:val="20"/>
                <w:lang w:val="sv-SE"/>
              </w:rPr>
            </w:pPr>
            <w:r w:rsidRPr="00800D1B">
              <w:rPr>
                <w:color w:val="000000"/>
                <w:sz w:val="20"/>
                <w:lang w:val="sv-SE"/>
              </w:rPr>
              <w:t>Ja</w:t>
            </w:r>
          </w:p>
        </w:tc>
        <w:tc>
          <w:tcPr>
            <w:tcW w:w="3400" w:type="dxa"/>
          </w:tcPr>
          <w:p w14:paraId="2D066BEB" w14:textId="77777777" w:rsidR="00A77B3E" w:rsidRPr="00800D1B" w:rsidRDefault="00623E14" w:rsidP="00A26CDD">
            <w:pPr>
              <w:spacing w:before="100" w:after="100"/>
              <w:ind w:left="-72"/>
              <w:rPr>
                <w:color w:val="000000"/>
                <w:sz w:val="20"/>
                <w:lang w:val="sv-SE"/>
              </w:rPr>
            </w:pPr>
            <w:r w:rsidRPr="00800D1B">
              <w:rPr>
                <w:color w:val="000000"/>
                <w:sz w:val="20"/>
                <w:lang w:val="sv-SE"/>
              </w:rPr>
              <w:t xml:space="preserve">Norrbottens klimat- och energistrategi </w:t>
            </w:r>
          </w:p>
          <w:p w14:paraId="2D066BED" w14:textId="77777777" w:rsidR="00A77B3E" w:rsidRPr="00800D1B" w:rsidRDefault="00623E14" w:rsidP="00A26CDD">
            <w:pPr>
              <w:spacing w:before="100" w:after="100"/>
              <w:ind w:left="-72"/>
              <w:rPr>
                <w:color w:val="000000"/>
                <w:sz w:val="20"/>
                <w:lang w:val="sv-SE"/>
              </w:rPr>
            </w:pPr>
            <w:r w:rsidRPr="00800D1B">
              <w:rPr>
                <w:color w:val="000000"/>
                <w:sz w:val="20"/>
                <w:lang w:val="sv-SE"/>
              </w:rPr>
              <w:t xml:space="preserve">Klimat- och energistrategi för Västerbottens län 2020 </w:t>
            </w:r>
          </w:p>
          <w:p w14:paraId="2D066BEE" w14:textId="5859D95F" w:rsidR="00A77B3E" w:rsidRPr="00800D1B" w:rsidRDefault="00623E14" w:rsidP="00A26CDD">
            <w:pPr>
              <w:spacing w:before="100" w:after="100"/>
              <w:ind w:left="-72"/>
              <w:rPr>
                <w:color w:val="000000"/>
                <w:sz w:val="20"/>
                <w:lang w:val="sv-SE"/>
              </w:rPr>
            </w:pPr>
            <w:r w:rsidRPr="00800D1B">
              <w:rPr>
                <w:color w:val="000000"/>
                <w:sz w:val="20"/>
                <w:lang w:val="sv-SE"/>
              </w:rPr>
              <w:t xml:space="preserve">Sveriges nationella energi- och klimatmål. </w:t>
            </w:r>
          </w:p>
          <w:p w14:paraId="2D066BF1" w14:textId="799EDC0B" w:rsidR="00A77B3E" w:rsidRPr="00800D1B" w:rsidRDefault="00623E14" w:rsidP="00A26CDD">
            <w:pPr>
              <w:spacing w:before="400" w:after="100"/>
              <w:ind w:left="-72"/>
              <w:rPr>
                <w:color w:val="000000"/>
                <w:sz w:val="20"/>
                <w:lang w:val="sv-SE"/>
              </w:rPr>
            </w:pPr>
            <w:r w:rsidRPr="00800D1B">
              <w:rPr>
                <w:color w:val="000000"/>
                <w:sz w:val="20"/>
                <w:lang w:val="sv-SE"/>
              </w:rPr>
              <w:t xml:space="preserve">Trafikverkets genomförandeplan för åren 2019–2024 </w:t>
            </w:r>
          </w:p>
        </w:tc>
        <w:tc>
          <w:tcPr>
            <w:tcW w:w="3400" w:type="dxa"/>
          </w:tcPr>
          <w:p w14:paraId="2D066BF2" w14:textId="7247689C" w:rsidR="00A77B3E" w:rsidRPr="00800D1B" w:rsidRDefault="00623E14" w:rsidP="00A26CDD">
            <w:pPr>
              <w:spacing w:before="100" w:after="300"/>
              <w:ind w:left="-72"/>
              <w:rPr>
                <w:color w:val="000000"/>
                <w:sz w:val="20"/>
                <w:lang w:val="sv-SE"/>
              </w:rPr>
            </w:pPr>
            <w:r w:rsidRPr="00800D1B">
              <w:rPr>
                <w:color w:val="000000"/>
                <w:sz w:val="20"/>
                <w:lang w:val="sv-SE"/>
              </w:rPr>
              <w:t>Det är en stor utmaning för Norrbotten och Västerbotten att ställa om transportsystemet till det etappmål som Riksdagen har beslutat om, där utsläppen från inrikes transporter, förutom flyg, ska minska med minst 70 procent senast 2030 jämfört med 2010. Samt till det som regeringen har konstaterat i klimathandlingsplanen att för att nå nettonollmålet 2045 behöver växthusgasutsläppen från transporter vara i princip noll samma år. Trots en snabb utveckling av tillgången till förnybara drivmedel de senaste åren bedöms en omställning av drivmedel inte ensamt räcka för att nå klimatmålen. Det behövs kraftfulla åtgärder inom</w:t>
            </w:r>
            <w:r w:rsidR="00CF74CB" w:rsidRPr="00800D1B">
              <w:rPr>
                <w:color w:val="000000"/>
                <w:sz w:val="20"/>
                <w:lang w:val="sv-SE"/>
              </w:rPr>
              <w:t xml:space="preserve"> </w:t>
            </w:r>
            <w:r w:rsidRPr="00800D1B">
              <w:rPr>
                <w:color w:val="000000"/>
                <w:sz w:val="20"/>
                <w:lang w:val="sv-SE"/>
              </w:rPr>
              <w:t>områdena transporteffektivitet, elektrifiering, hållbara förnybara drivmedel samt energieffektiva fordon och fartyg för att ställa om transportsektorn till fossilfrihet och nå riksdagens klimatmål.</w:t>
            </w:r>
          </w:p>
          <w:p w14:paraId="2D066BF4" w14:textId="66B7381B" w:rsidR="00A77B3E" w:rsidRPr="00800D1B" w:rsidRDefault="00623E14" w:rsidP="00A26CDD">
            <w:pPr>
              <w:spacing w:before="100" w:after="100"/>
              <w:ind w:left="-72"/>
              <w:rPr>
                <w:color w:val="000000"/>
                <w:sz w:val="20"/>
                <w:lang w:val="sv-SE"/>
              </w:rPr>
            </w:pPr>
            <w:r w:rsidRPr="00800D1B">
              <w:rPr>
                <w:color w:val="000000"/>
                <w:sz w:val="20"/>
                <w:lang w:val="sv-SE"/>
              </w:rPr>
              <w:t>Regional produktion och utveckling av biobränslen bidrar till arbetstillfällen, tryggare drivmedelsförsörjning och stärker kopplingen mellan stad och land. Det kommer enligt rådande prognoser inte att räcka med ett bränsle, utan det kommer att krävas en hel palett av olika komplementära bränslen.</w:t>
            </w:r>
            <w:r w:rsidR="00CF74CB" w:rsidRPr="00800D1B">
              <w:rPr>
                <w:color w:val="000000"/>
                <w:sz w:val="20"/>
                <w:lang w:val="sv-SE"/>
              </w:rPr>
              <w:t xml:space="preserve"> </w:t>
            </w:r>
          </w:p>
        </w:tc>
      </w:tr>
      <w:tr w:rsidR="003422DB" w:rsidRPr="00BD3045" w14:paraId="2D066C05" w14:textId="77777777" w:rsidTr="00A26CDD">
        <w:tc>
          <w:tcPr>
            <w:tcW w:w="1600" w:type="dxa"/>
            <w:vMerge/>
          </w:tcPr>
          <w:p w14:paraId="2D066BF6" w14:textId="77777777" w:rsidR="00A77B3E" w:rsidRPr="00800D1B" w:rsidRDefault="00A77B3E" w:rsidP="00A26CDD">
            <w:pPr>
              <w:spacing w:before="100" w:after="100"/>
              <w:ind w:left="-72"/>
              <w:rPr>
                <w:color w:val="000000"/>
                <w:sz w:val="20"/>
                <w:lang w:val="sv-SE"/>
              </w:rPr>
            </w:pPr>
          </w:p>
        </w:tc>
        <w:tc>
          <w:tcPr>
            <w:tcW w:w="800" w:type="dxa"/>
            <w:vMerge/>
          </w:tcPr>
          <w:p w14:paraId="2D066BF7" w14:textId="77777777" w:rsidR="00A77B3E" w:rsidRPr="00800D1B" w:rsidRDefault="00A77B3E" w:rsidP="00A26CDD">
            <w:pPr>
              <w:spacing w:before="100" w:after="100"/>
              <w:ind w:left="-72"/>
              <w:rPr>
                <w:color w:val="000000"/>
                <w:sz w:val="20"/>
                <w:lang w:val="sv-SE"/>
              </w:rPr>
            </w:pPr>
          </w:p>
        </w:tc>
        <w:tc>
          <w:tcPr>
            <w:tcW w:w="1600" w:type="dxa"/>
            <w:vMerge/>
          </w:tcPr>
          <w:p w14:paraId="2D066BF8" w14:textId="77777777" w:rsidR="00A77B3E" w:rsidRPr="00800D1B" w:rsidRDefault="00A77B3E" w:rsidP="00A26CDD">
            <w:pPr>
              <w:spacing w:before="100" w:after="100"/>
              <w:ind w:left="-72"/>
              <w:rPr>
                <w:color w:val="000000"/>
                <w:sz w:val="20"/>
                <w:lang w:val="sv-SE"/>
              </w:rPr>
            </w:pPr>
          </w:p>
        </w:tc>
        <w:tc>
          <w:tcPr>
            <w:tcW w:w="1000" w:type="dxa"/>
            <w:vMerge/>
          </w:tcPr>
          <w:p w14:paraId="2D066BF9" w14:textId="77777777" w:rsidR="00A77B3E" w:rsidRPr="00800D1B" w:rsidRDefault="00A77B3E" w:rsidP="00A26CDD">
            <w:pPr>
              <w:spacing w:before="100" w:after="100"/>
              <w:ind w:left="-72"/>
              <w:rPr>
                <w:color w:val="000000"/>
                <w:sz w:val="20"/>
                <w:lang w:val="sv-SE"/>
              </w:rPr>
            </w:pPr>
          </w:p>
        </w:tc>
        <w:tc>
          <w:tcPr>
            <w:tcW w:w="2800" w:type="dxa"/>
          </w:tcPr>
          <w:p w14:paraId="2D066BFA" w14:textId="41F326BE" w:rsidR="00A77B3E" w:rsidRPr="00800D1B" w:rsidRDefault="00623E14">
            <w:pPr>
              <w:pStyle w:val="Liststycke"/>
              <w:numPr>
                <w:ilvl w:val="0"/>
                <w:numId w:val="87"/>
              </w:numPr>
              <w:tabs>
                <w:tab w:val="left" w:pos="151"/>
              </w:tabs>
              <w:spacing w:before="100" w:after="100"/>
              <w:ind w:left="-72" w:hanging="29"/>
              <w:rPr>
                <w:color w:val="000000"/>
                <w:sz w:val="20"/>
                <w:lang w:val="sv-SE"/>
              </w:rPr>
            </w:pPr>
            <w:r w:rsidRPr="00800D1B">
              <w:rPr>
                <w:color w:val="000000"/>
                <w:sz w:val="20"/>
                <w:lang w:val="sv-SE"/>
              </w:rPr>
              <w:t>lägger fram resultaten av en bedömning av trafiksäkerhetsriskerna i linje med befintliga nationella trafiksäkerhetsstrategier, tillsammans med en kartläggning av drabbade vägar och avsnitt och en prioritering av motsvarande investeringar,</w:t>
            </w:r>
          </w:p>
        </w:tc>
        <w:tc>
          <w:tcPr>
            <w:tcW w:w="1000" w:type="dxa"/>
          </w:tcPr>
          <w:p w14:paraId="2D066BFB" w14:textId="77777777" w:rsidR="00A77B3E" w:rsidRPr="00800D1B" w:rsidRDefault="00623E14" w:rsidP="00A26CDD">
            <w:pPr>
              <w:spacing w:before="100" w:after="100"/>
              <w:ind w:left="-72"/>
              <w:jc w:val="center"/>
              <w:rPr>
                <w:color w:val="000000"/>
                <w:sz w:val="20"/>
                <w:lang w:val="sv-SE"/>
              </w:rPr>
            </w:pPr>
            <w:r w:rsidRPr="00800D1B">
              <w:rPr>
                <w:color w:val="000000"/>
                <w:sz w:val="20"/>
                <w:lang w:val="sv-SE"/>
              </w:rPr>
              <w:t>Ja</w:t>
            </w:r>
          </w:p>
        </w:tc>
        <w:tc>
          <w:tcPr>
            <w:tcW w:w="3400" w:type="dxa"/>
          </w:tcPr>
          <w:p w14:paraId="2D066BFC" w14:textId="77777777" w:rsidR="00A77B3E" w:rsidRPr="00800D1B" w:rsidRDefault="00623E14" w:rsidP="00A26CDD">
            <w:pPr>
              <w:spacing w:before="100" w:after="100"/>
              <w:ind w:left="-72"/>
              <w:rPr>
                <w:color w:val="000000"/>
                <w:sz w:val="20"/>
                <w:lang w:val="sv-SE"/>
              </w:rPr>
            </w:pPr>
            <w:r w:rsidRPr="00800D1B">
              <w:rPr>
                <w:color w:val="000000"/>
                <w:sz w:val="20"/>
                <w:lang w:val="sv-SE"/>
              </w:rPr>
              <w:t xml:space="preserve">Nationell plan för transportsystemet 2018-2029 </w:t>
            </w:r>
          </w:p>
          <w:p w14:paraId="2D066BFD" w14:textId="77777777" w:rsidR="00A77B3E" w:rsidRPr="00800D1B" w:rsidRDefault="00623E14" w:rsidP="001C1AA9">
            <w:pPr>
              <w:spacing w:before="240" w:after="100"/>
              <w:ind w:left="-72"/>
              <w:rPr>
                <w:color w:val="000000"/>
                <w:sz w:val="20"/>
                <w:lang w:val="sv-SE"/>
              </w:rPr>
            </w:pPr>
            <w:r w:rsidRPr="00800D1B">
              <w:rPr>
                <w:color w:val="000000"/>
                <w:sz w:val="20"/>
                <w:lang w:val="sv-SE"/>
              </w:rPr>
              <w:t xml:space="preserve">Regional trafikstrategi </w:t>
            </w:r>
          </w:p>
          <w:p w14:paraId="2D066BFF" w14:textId="77777777" w:rsidR="00A77B3E" w:rsidRPr="00800D1B" w:rsidRDefault="00623E14" w:rsidP="001C1AA9">
            <w:pPr>
              <w:spacing w:before="360" w:after="100"/>
              <w:ind w:left="-72"/>
              <w:rPr>
                <w:color w:val="000000"/>
                <w:sz w:val="20"/>
                <w:lang w:val="sv-SE"/>
              </w:rPr>
            </w:pPr>
            <w:r w:rsidRPr="00800D1B">
              <w:rPr>
                <w:color w:val="000000"/>
                <w:sz w:val="20"/>
                <w:lang w:val="sv-SE"/>
              </w:rPr>
              <w:t xml:space="preserve">Trafikförsörjningsprogram </w:t>
            </w:r>
          </w:p>
          <w:p w14:paraId="2D066C01" w14:textId="77777777" w:rsidR="00A77B3E" w:rsidRPr="00800D1B" w:rsidRDefault="00623E14" w:rsidP="00A26CDD">
            <w:pPr>
              <w:spacing w:before="100" w:after="100"/>
              <w:ind w:left="-72"/>
              <w:rPr>
                <w:color w:val="000000"/>
                <w:sz w:val="20"/>
                <w:lang w:val="sv-SE"/>
              </w:rPr>
            </w:pPr>
            <w:r w:rsidRPr="00800D1B">
              <w:rPr>
                <w:color w:val="000000"/>
                <w:sz w:val="20"/>
                <w:lang w:val="sv-SE"/>
              </w:rPr>
              <w:t xml:space="preserve">Trafikverkets genomförandeplan för åren 2019–2024 </w:t>
            </w:r>
          </w:p>
        </w:tc>
        <w:tc>
          <w:tcPr>
            <w:tcW w:w="3400" w:type="dxa"/>
          </w:tcPr>
          <w:p w14:paraId="2D066C02" w14:textId="6C3745AC" w:rsidR="00A77B3E" w:rsidRPr="00800D1B" w:rsidRDefault="00623E14" w:rsidP="00A26CDD">
            <w:pPr>
              <w:spacing w:before="100" w:after="100"/>
              <w:ind w:left="-72"/>
              <w:rPr>
                <w:color w:val="000000"/>
                <w:sz w:val="20"/>
                <w:lang w:val="sv-SE"/>
              </w:rPr>
            </w:pPr>
            <w:r w:rsidRPr="00800D1B">
              <w:rPr>
                <w:color w:val="000000"/>
                <w:sz w:val="20"/>
                <w:lang w:val="sv-SE"/>
              </w:rPr>
              <w:t>Nollvisionen lanserades i Sverige 1997 med målet att ingen ska dödas eller skadas allvarligt i trafiken. Men det har visat sig att programmet skyddar liv även på andra sätt. Nollvisionens progressiva perspektiv på förebyggande av trafikolyckor fokuserar på de mest utsatta trafikanterna, dvs fotgängare och cyklister. I stället för att bara ta hänsyn till vägarna och tillhörande element, som vägskyltar och trafikljus, så omfattas vägtrafiken i dess helhet.</w:t>
            </w:r>
            <w:r w:rsidR="00CF74CB" w:rsidRPr="00800D1B">
              <w:rPr>
                <w:color w:val="000000"/>
                <w:sz w:val="20"/>
                <w:lang w:val="sv-SE"/>
              </w:rPr>
              <w:t xml:space="preserve"> </w:t>
            </w:r>
          </w:p>
          <w:p w14:paraId="2D066C04" w14:textId="77777777" w:rsidR="00A77B3E" w:rsidRPr="00800D1B" w:rsidRDefault="00623E14" w:rsidP="00A26CDD">
            <w:pPr>
              <w:spacing w:before="240" w:after="100"/>
              <w:ind w:left="-72"/>
              <w:rPr>
                <w:color w:val="000000"/>
                <w:sz w:val="20"/>
                <w:lang w:val="sv-SE"/>
              </w:rPr>
            </w:pPr>
            <w:r w:rsidRPr="00800D1B">
              <w:rPr>
                <w:color w:val="000000"/>
                <w:sz w:val="20"/>
                <w:lang w:val="sv-SE"/>
              </w:rPr>
              <w:t xml:space="preserve">Satsningar på järnväg och sjöfart, till exempel Norrbotniabanan och Malmporten, är viktiga för vår produktion, både i form av export av produkter och för import av varor och råvaror. Att frakta gods på järnväg istället för med tunga lastbilar är fördelaktigt ur klimat- och energisynpunkt och bör vara ett förstahandsval. Satsningar på Norrbotniabanan och Inlandsbanan skulle frigöra kapacitet på järnvägen och därmed möjliggöra stora utsläppsminskningar inom transportsektorn. </w:t>
            </w:r>
          </w:p>
        </w:tc>
      </w:tr>
      <w:tr w:rsidR="003422DB" w:rsidRPr="00BD3045" w14:paraId="2D066C13" w14:textId="77777777" w:rsidTr="00A26CDD">
        <w:tc>
          <w:tcPr>
            <w:tcW w:w="1600" w:type="dxa"/>
            <w:vMerge/>
          </w:tcPr>
          <w:p w14:paraId="2D066C06" w14:textId="77777777" w:rsidR="00A77B3E" w:rsidRPr="00800D1B" w:rsidRDefault="00A77B3E" w:rsidP="00A26CDD">
            <w:pPr>
              <w:spacing w:before="100" w:after="100"/>
              <w:ind w:left="-72"/>
              <w:rPr>
                <w:color w:val="000000"/>
                <w:sz w:val="20"/>
                <w:lang w:val="sv-SE"/>
              </w:rPr>
            </w:pPr>
          </w:p>
        </w:tc>
        <w:tc>
          <w:tcPr>
            <w:tcW w:w="800" w:type="dxa"/>
            <w:vMerge/>
          </w:tcPr>
          <w:p w14:paraId="2D066C07" w14:textId="77777777" w:rsidR="00A77B3E" w:rsidRPr="00800D1B" w:rsidRDefault="00A77B3E" w:rsidP="00A26CDD">
            <w:pPr>
              <w:spacing w:before="100" w:after="100"/>
              <w:ind w:left="-72"/>
              <w:rPr>
                <w:color w:val="000000"/>
                <w:sz w:val="20"/>
                <w:lang w:val="sv-SE"/>
              </w:rPr>
            </w:pPr>
          </w:p>
        </w:tc>
        <w:tc>
          <w:tcPr>
            <w:tcW w:w="1600" w:type="dxa"/>
            <w:vMerge/>
          </w:tcPr>
          <w:p w14:paraId="2D066C08" w14:textId="77777777" w:rsidR="00A77B3E" w:rsidRPr="00800D1B" w:rsidRDefault="00A77B3E" w:rsidP="00A26CDD">
            <w:pPr>
              <w:spacing w:before="100" w:after="100"/>
              <w:ind w:left="-72"/>
              <w:rPr>
                <w:color w:val="000000"/>
                <w:sz w:val="20"/>
                <w:lang w:val="sv-SE"/>
              </w:rPr>
            </w:pPr>
          </w:p>
        </w:tc>
        <w:tc>
          <w:tcPr>
            <w:tcW w:w="1000" w:type="dxa"/>
            <w:vMerge/>
          </w:tcPr>
          <w:p w14:paraId="2D066C09" w14:textId="77777777" w:rsidR="00A77B3E" w:rsidRPr="00800D1B" w:rsidRDefault="00A77B3E" w:rsidP="00A26CDD">
            <w:pPr>
              <w:spacing w:before="100" w:after="100"/>
              <w:ind w:left="-72"/>
              <w:rPr>
                <w:color w:val="000000"/>
                <w:sz w:val="20"/>
                <w:lang w:val="sv-SE"/>
              </w:rPr>
            </w:pPr>
          </w:p>
        </w:tc>
        <w:tc>
          <w:tcPr>
            <w:tcW w:w="2800" w:type="dxa"/>
          </w:tcPr>
          <w:p w14:paraId="2D066C0A" w14:textId="51E6D76D" w:rsidR="00A77B3E" w:rsidRPr="00800D1B" w:rsidRDefault="00623E14">
            <w:pPr>
              <w:pStyle w:val="Liststycke"/>
              <w:numPr>
                <w:ilvl w:val="0"/>
                <w:numId w:val="87"/>
              </w:numPr>
              <w:tabs>
                <w:tab w:val="left" w:pos="151"/>
              </w:tabs>
              <w:spacing w:before="100" w:after="100"/>
              <w:ind w:left="-72" w:hanging="29"/>
              <w:rPr>
                <w:color w:val="000000"/>
                <w:sz w:val="20"/>
                <w:lang w:val="sv-SE"/>
              </w:rPr>
            </w:pPr>
            <w:r w:rsidRPr="00800D1B">
              <w:rPr>
                <w:color w:val="000000"/>
                <w:sz w:val="20"/>
                <w:lang w:val="sv-SE"/>
              </w:rPr>
              <w:t>tillhandahåller uppgifter om finansiella resurser som motsvarar de planerade investeringarna och som behövs för att täcka drifts- och underhållskostnaderna för befintliga och planerade infrastrukturer.</w:t>
            </w:r>
          </w:p>
        </w:tc>
        <w:tc>
          <w:tcPr>
            <w:tcW w:w="1000" w:type="dxa"/>
          </w:tcPr>
          <w:p w14:paraId="2D066C0B" w14:textId="77777777" w:rsidR="00A77B3E" w:rsidRPr="00800D1B" w:rsidRDefault="00623E14" w:rsidP="00A26CDD">
            <w:pPr>
              <w:spacing w:before="100" w:after="100"/>
              <w:ind w:left="-72"/>
              <w:jc w:val="center"/>
              <w:rPr>
                <w:color w:val="000000"/>
                <w:sz w:val="20"/>
                <w:lang w:val="sv-SE"/>
              </w:rPr>
            </w:pPr>
            <w:r w:rsidRPr="00800D1B">
              <w:rPr>
                <w:color w:val="000000"/>
                <w:sz w:val="20"/>
                <w:lang w:val="sv-SE"/>
              </w:rPr>
              <w:t>Ja</w:t>
            </w:r>
          </w:p>
        </w:tc>
        <w:tc>
          <w:tcPr>
            <w:tcW w:w="3400" w:type="dxa"/>
          </w:tcPr>
          <w:p w14:paraId="2D066C0C" w14:textId="77777777" w:rsidR="00A77B3E" w:rsidRPr="00800D1B" w:rsidRDefault="00623E14" w:rsidP="00A26CDD">
            <w:pPr>
              <w:spacing w:before="100" w:after="100"/>
              <w:ind w:left="-72"/>
              <w:rPr>
                <w:color w:val="000000"/>
                <w:sz w:val="20"/>
                <w:lang w:val="sv-SE"/>
              </w:rPr>
            </w:pPr>
            <w:r w:rsidRPr="00800D1B">
              <w:rPr>
                <w:color w:val="000000"/>
                <w:sz w:val="20"/>
                <w:lang w:val="sv-SE"/>
              </w:rPr>
              <w:t xml:space="preserve">Nationell transportplan 2018-2029 </w:t>
            </w:r>
          </w:p>
          <w:p w14:paraId="2D066C0D" w14:textId="77777777" w:rsidR="00A77B3E" w:rsidRPr="00800D1B" w:rsidRDefault="00623E14" w:rsidP="001C1AA9">
            <w:pPr>
              <w:spacing w:after="100"/>
              <w:ind w:left="-72"/>
              <w:rPr>
                <w:color w:val="000000"/>
                <w:sz w:val="20"/>
                <w:lang w:val="sv-SE"/>
              </w:rPr>
            </w:pPr>
            <w:r w:rsidRPr="00800D1B">
              <w:rPr>
                <w:color w:val="000000"/>
                <w:sz w:val="20"/>
                <w:lang w:val="sv-SE"/>
              </w:rPr>
              <w:t xml:space="preserve">Regional trafikstrategi </w:t>
            </w:r>
          </w:p>
          <w:p w14:paraId="2D066C0F" w14:textId="77777777" w:rsidR="00A77B3E" w:rsidRPr="00800D1B" w:rsidRDefault="00623E14" w:rsidP="001C1AA9">
            <w:pPr>
              <w:spacing w:before="360" w:after="100"/>
              <w:ind w:left="-72"/>
              <w:rPr>
                <w:color w:val="000000"/>
                <w:sz w:val="20"/>
                <w:lang w:val="sv-SE"/>
              </w:rPr>
            </w:pPr>
            <w:r w:rsidRPr="00800D1B">
              <w:rPr>
                <w:color w:val="000000"/>
                <w:sz w:val="20"/>
                <w:lang w:val="sv-SE"/>
              </w:rPr>
              <w:t xml:space="preserve">Trafikförsörjningsprogram </w:t>
            </w:r>
          </w:p>
          <w:p w14:paraId="2D066C11" w14:textId="77777777" w:rsidR="00A77B3E" w:rsidRPr="00800D1B" w:rsidRDefault="00623E14" w:rsidP="001C1AA9">
            <w:pPr>
              <w:spacing w:before="360" w:after="100"/>
              <w:ind w:left="-72"/>
              <w:rPr>
                <w:color w:val="000000"/>
                <w:sz w:val="20"/>
                <w:lang w:val="sv-SE"/>
              </w:rPr>
            </w:pPr>
            <w:r w:rsidRPr="00800D1B">
              <w:rPr>
                <w:color w:val="000000"/>
                <w:sz w:val="20"/>
                <w:lang w:val="sv-SE"/>
              </w:rPr>
              <w:t xml:space="preserve">Trafikverkets genomförandeplan för åren 2019–2024 </w:t>
            </w:r>
          </w:p>
        </w:tc>
        <w:tc>
          <w:tcPr>
            <w:tcW w:w="3400" w:type="dxa"/>
          </w:tcPr>
          <w:p w14:paraId="2D066C12" w14:textId="762BC3EF" w:rsidR="00A77B3E" w:rsidRPr="00800D1B" w:rsidRDefault="00623E14" w:rsidP="00A26CDD">
            <w:pPr>
              <w:spacing w:before="100" w:after="100"/>
              <w:ind w:left="-72"/>
              <w:rPr>
                <w:color w:val="000000"/>
                <w:sz w:val="20"/>
                <w:lang w:val="sv-SE"/>
              </w:rPr>
            </w:pPr>
            <w:r w:rsidRPr="00800D1B">
              <w:rPr>
                <w:color w:val="000000"/>
                <w:sz w:val="20"/>
                <w:lang w:val="sv-SE"/>
              </w:rPr>
              <w:t>Regeringen ger direktiv för den långsiktiga transportinfrastrukturplaneringen och riksdagen beslutar om de ekonomiska ramarna och fördelning mellan områden. I nationell plan prioriteras finansiering för investeringar och för drift och underhåll. Regionerna ansvarar för prioriteringar av investeringsobjekt inom ramen för länstransportplanen.</w:t>
            </w:r>
            <w:r w:rsidR="00CF74CB" w:rsidRPr="00800D1B">
              <w:rPr>
                <w:color w:val="000000"/>
                <w:sz w:val="20"/>
                <w:lang w:val="sv-SE"/>
              </w:rPr>
              <w:t xml:space="preserve"> </w:t>
            </w:r>
          </w:p>
        </w:tc>
      </w:tr>
    </w:tbl>
    <w:p w14:paraId="323C8DA7" w14:textId="77777777" w:rsidR="00947135" w:rsidRPr="00800D1B" w:rsidRDefault="00947135" w:rsidP="00947135">
      <w:pPr>
        <w:rPr>
          <w:lang w:val="sv-SE"/>
        </w:rPr>
        <w:sectPr w:rsidR="00947135" w:rsidRPr="00800D1B" w:rsidSect="0065165D">
          <w:headerReference w:type="even" r:id="rId88"/>
          <w:headerReference w:type="default" r:id="rId89"/>
          <w:footerReference w:type="even" r:id="rId90"/>
          <w:footerReference w:type="default" r:id="rId91"/>
          <w:headerReference w:type="first" r:id="rId92"/>
          <w:footerReference w:type="first" r:id="rId93"/>
          <w:pgSz w:w="16838" w:h="11906" w:orient="landscape"/>
          <w:pgMar w:top="720" w:right="720" w:bottom="864" w:left="936" w:header="288" w:footer="72" w:gutter="0"/>
          <w:cols w:space="720"/>
          <w:noEndnote/>
          <w:docGrid w:linePitch="360"/>
        </w:sectPr>
      </w:pPr>
    </w:p>
    <w:p w14:paraId="2D066C14" w14:textId="27F6E1FE" w:rsidR="00A77B3E" w:rsidRPr="00800D1B" w:rsidRDefault="00623E14" w:rsidP="002F380E">
      <w:pPr>
        <w:pStyle w:val="Rubrik2"/>
        <w:spacing w:before="100"/>
        <w:ind w:left="180" w:hanging="180"/>
        <w:rPr>
          <w:lang w:val="sv-SE"/>
        </w:rPr>
      </w:pPr>
      <w:bookmarkStart w:id="220" w:name="_Toc256000461"/>
      <w:r w:rsidRPr="00800D1B">
        <w:rPr>
          <w:lang w:val="sv-SE"/>
        </w:rPr>
        <w:t>Programmyndigheter</w:t>
      </w:r>
      <w:bookmarkEnd w:id="220"/>
    </w:p>
    <w:p w14:paraId="2D066C15" w14:textId="77777777" w:rsidR="00A77B3E" w:rsidRPr="00800D1B" w:rsidRDefault="00623E14">
      <w:pPr>
        <w:spacing w:before="100"/>
        <w:rPr>
          <w:color w:val="000000"/>
          <w:sz w:val="0"/>
          <w:lang w:val="sv-SE"/>
        </w:rPr>
      </w:pPr>
      <w:r w:rsidRPr="00800D1B">
        <w:rPr>
          <w:color w:val="000000"/>
          <w:lang w:val="sv-SE"/>
        </w:rPr>
        <w:t>Referens: artiklarna 22.3 k, 71 och 84 i förordningen om gemensamma bestämmelser</w:t>
      </w:r>
    </w:p>
    <w:p w14:paraId="2D066C16" w14:textId="6153A391" w:rsidR="00A77B3E" w:rsidRPr="00800D1B" w:rsidRDefault="00623E14" w:rsidP="00947135">
      <w:pPr>
        <w:pStyle w:val="Rubrik3"/>
        <w:numPr>
          <w:ilvl w:val="0"/>
          <w:numId w:val="0"/>
        </w:numPr>
        <w:spacing w:before="240" w:after="100"/>
        <w:contextualSpacing w:val="0"/>
        <w:rPr>
          <w:lang w:val="sv-SE"/>
        </w:rPr>
      </w:pPr>
      <w:bookmarkStart w:id="221" w:name="_Toc256000462"/>
      <w:r w:rsidRPr="00800D1B">
        <w:rPr>
          <w:lang w:val="sv-SE"/>
        </w:rPr>
        <w:t>Tabell 13: Programmyndigheter</w:t>
      </w:r>
      <w:bookmarkEnd w:id="221"/>
    </w:p>
    <w:tbl>
      <w:tblPr>
        <w:tblStyle w:val="Tabellrutnt"/>
        <w:tblW w:w="5000" w:type="pct"/>
        <w:tblLook w:val="04A0" w:firstRow="1" w:lastRow="0" w:firstColumn="1" w:lastColumn="0" w:noHBand="0" w:noVBand="1"/>
        <w:tblDescription w:val="En tabell med fem kolumner: Programmyndigheter; Institutionens namn; Kontaktens namn; Befattning; E-postadress. Tabellen visar information om Programmyndigheter."/>
      </w:tblPr>
      <w:tblGrid>
        <w:gridCol w:w="6593"/>
        <w:gridCol w:w="2158"/>
        <w:gridCol w:w="2460"/>
        <w:gridCol w:w="1036"/>
        <w:gridCol w:w="2925"/>
      </w:tblGrid>
      <w:tr w:rsidR="003422DB" w:rsidRPr="00800D1B" w14:paraId="2D066C1D" w14:textId="77777777" w:rsidTr="00A26CDD">
        <w:tc>
          <w:tcPr>
            <w:tcW w:w="0" w:type="auto"/>
          </w:tcPr>
          <w:p w14:paraId="2D066C18" w14:textId="77777777" w:rsidR="00A77B3E" w:rsidRPr="00800D1B" w:rsidRDefault="00623E14" w:rsidP="00A26CDD">
            <w:pPr>
              <w:spacing w:before="100" w:after="100"/>
              <w:ind w:left="-72"/>
              <w:jc w:val="center"/>
              <w:rPr>
                <w:color w:val="000000"/>
                <w:sz w:val="20"/>
                <w:lang w:val="sv-SE"/>
              </w:rPr>
            </w:pPr>
            <w:r w:rsidRPr="00800D1B">
              <w:rPr>
                <w:color w:val="000000"/>
                <w:sz w:val="20"/>
                <w:lang w:val="sv-SE"/>
              </w:rPr>
              <w:t>Programmyndigheter</w:t>
            </w:r>
          </w:p>
        </w:tc>
        <w:tc>
          <w:tcPr>
            <w:tcW w:w="0" w:type="auto"/>
          </w:tcPr>
          <w:p w14:paraId="2D066C19" w14:textId="77777777" w:rsidR="00A77B3E" w:rsidRPr="00800D1B" w:rsidRDefault="00623E14" w:rsidP="00A26CDD">
            <w:pPr>
              <w:spacing w:before="100" w:after="100"/>
              <w:ind w:left="-72"/>
              <w:jc w:val="center"/>
              <w:rPr>
                <w:color w:val="000000"/>
                <w:sz w:val="20"/>
                <w:lang w:val="sv-SE"/>
              </w:rPr>
            </w:pPr>
            <w:r w:rsidRPr="00800D1B">
              <w:rPr>
                <w:color w:val="000000"/>
                <w:sz w:val="20"/>
                <w:lang w:val="sv-SE"/>
              </w:rPr>
              <w:t>Institutionens namn</w:t>
            </w:r>
          </w:p>
        </w:tc>
        <w:tc>
          <w:tcPr>
            <w:tcW w:w="0" w:type="auto"/>
          </w:tcPr>
          <w:p w14:paraId="2D066C1A" w14:textId="77777777" w:rsidR="00A77B3E" w:rsidRPr="00800D1B" w:rsidRDefault="00623E14" w:rsidP="00A26CDD">
            <w:pPr>
              <w:spacing w:before="100" w:after="100"/>
              <w:ind w:left="-72"/>
              <w:jc w:val="center"/>
              <w:rPr>
                <w:color w:val="000000"/>
                <w:sz w:val="20"/>
                <w:lang w:val="sv-SE"/>
              </w:rPr>
            </w:pPr>
            <w:r w:rsidRPr="00800D1B">
              <w:rPr>
                <w:color w:val="000000"/>
                <w:sz w:val="20"/>
                <w:lang w:val="sv-SE"/>
              </w:rPr>
              <w:t>Kontaktens namn</w:t>
            </w:r>
          </w:p>
        </w:tc>
        <w:tc>
          <w:tcPr>
            <w:tcW w:w="0" w:type="auto"/>
          </w:tcPr>
          <w:p w14:paraId="2D066C1B" w14:textId="77777777" w:rsidR="00A77B3E" w:rsidRPr="00800D1B" w:rsidRDefault="00623E14" w:rsidP="00A26CDD">
            <w:pPr>
              <w:spacing w:before="100" w:after="100"/>
              <w:ind w:left="-72"/>
              <w:jc w:val="center"/>
              <w:rPr>
                <w:color w:val="000000"/>
                <w:sz w:val="20"/>
                <w:lang w:val="sv-SE"/>
              </w:rPr>
            </w:pPr>
            <w:r w:rsidRPr="00800D1B">
              <w:rPr>
                <w:color w:val="000000"/>
                <w:sz w:val="20"/>
                <w:lang w:val="sv-SE"/>
              </w:rPr>
              <w:t>Befattning</w:t>
            </w:r>
          </w:p>
        </w:tc>
        <w:tc>
          <w:tcPr>
            <w:tcW w:w="0" w:type="auto"/>
          </w:tcPr>
          <w:p w14:paraId="2D066C1C" w14:textId="77777777" w:rsidR="00A77B3E" w:rsidRPr="00800D1B" w:rsidRDefault="00623E14" w:rsidP="00A26CDD">
            <w:pPr>
              <w:spacing w:before="100" w:after="100"/>
              <w:ind w:left="-72"/>
              <w:rPr>
                <w:color w:val="000000"/>
                <w:sz w:val="20"/>
                <w:lang w:val="sv-SE"/>
              </w:rPr>
            </w:pPr>
            <w:r w:rsidRPr="00800D1B">
              <w:rPr>
                <w:color w:val="000000"/>
                <w:sz w:val="20"/>
                <w:lang w:val="sv-SE"/>
              </w:rPr>
              <w:t>E-postadress</w:t>
            </w:r>
          </w:p>
        </w:tc>
      </w:tr>
      <w:tr w:rsidR="003422DB" w:rsidRPr="00800D1B" w14:paraId="2D066C23" w14:textId="77777777" w:rsidTr="00A26CDD">
        <w:tc>
          <w:tcPr>
            <w:tcW w:w="0" w:type="auto"/>
          </w:tcPr>
          <w:p w14:paraId="2D066C1E" w14:textId="77777777" w:rsidR="00A77B3E" w:rsidRPr="00800D1B" w:rsidRDefault="00623E14" w:rsidP="00A26CDD">
            <w:pPr>
              <w:spacing w:before="100" w:after="100"/>
              <w:ind w:left="-72"/>
              <w:rPr>
                <w:color w:val="000000"/>
                <w:sz w:val="20"/>
                <w:lang w:val="sv-SE"/>
              </w:rPr>
            </w:pPr>
            <w:r w:rsidRPr="00800D1B">
              <w:rPr>
                <w:color w:val="000000"/>
                <w:sz w:val="20"/>
                <w:lang w:val="sv-SE"/>
              </w:rPr>
              <w:t>Förvaltande myndighet</w:t>
            </w:r>
          </w:p>
        </w:tc>
        <w:tc>
          <w:tcPr>
            <w:tcW w:w="0" w:type="auto"/>
          </w:tcPr>
          <w:p w14:paraId="2D066C1F" w14:textId="77777777" w:rsidR="00A77B3E" w:rsidRPr="00800D1B" w:rsidRDefault="00623E14" w:rsidP="00A26CDD">
            <w:pPr>
              <w:spacing w:before="100" w:after="100"/>
              <w:ind w:left="-72"/>
              <w:rPr>
                <w:color w:val="000000"/>
                <w:sz w:val="20"/>
                <w:lang w:val="sv-SE"/>
              </w:rPr>
            </w:pPr>
            <w:r w:rsidRPr="00800D1B">
              <w:rPr>
                <w:color w:val="000000"/>
                <w:sz w:val="20"/>
                <w:lang w:val="sv-SE"/>
              </w:rPr>
              <w:t>Tillväxtverket</w:t>
            </w:r>
          </w:p>
        </w:tc>
        <w:tc>
          <w:tcPr>
            <w:tcW w:w="0" w:type="auto"/>
          </w:tcPr>
          <w:p w14:paraId="2D066C20" w14:textId="77777777" w:rsidR="00A77B3E" w:rsidRPr="00800D1B" w:rsidRDefault="00623E14" w:rsidP="00A26CDD">
            <w:pPr>
              <w:spacing w:before="100" w:after="100"/>
              <w:ind w:left="-72"/>
              <w:rPr>
                <w:color w:val="000000"/>
                <w:sz w:val="20"/>
                <w:lang w:val="sv-SE"/>
              </w:rPr>
            </w:pPr>
            <w:r w:rsidRPr="00800D1B">
              <w:rPr>
                <w:color w:val="000000"/>
                <w:sz w:val="20"/>
                <w:lang w:val="sv-SE"/>
              </w:rPr>
              <w:t>Generaldirektör</w:t>
            </w:r>
          </w:p>
        </w:tc>
        <w:tc>
          <w:tcPr>
            <w:tcW w:w="0" w:type="auto"/>
          </w:tcPr>
          <w:p w14:paraId="2D066C21" w14:textId="77777777" w:rsidR="00A77B3E" w:rsidRPr="00800D1B" w:rsidRDefault="00A77B3E" w:rsidP="00A26CDD">
            <w:pPr>
              <w:spacing w:before="100" w:after="100"/>
              <w:ind w:left="-72"/>
              <w:rPr>
                <w:color w:val="000000"/>
                <w:sz w:val="20"/>
                <w:lang w:val="sv-SE"/>
              </w:rPr>
            </w:pPr>
          </w:p>
        </w:tc>
        <w:tc>
          <w:tcPr>
            <w:tcW w:w="0" w:type="auto"/>
          </w:tcPr>
          <w:p w14:paraId="2D066C22" w14:textId="3FFE8575" w:rsidR="00A77B3E" w:rsidRPr="00800D1B" w:rsidRDefault="00000000" w:rsidP="00A26CDD">
            <w:pPr>
              <w:spacing w:before="100" w:after="100"/>
              <w:ind w:left="-72"/>
              <w:rPr>
                <w:color w:val="000000"/>
                <w:sz w:val="20"/>
                <w:lang w:val="sv-SE"/>
              </w:rPr>
            </w:pPr>
            <w:hyperlink r:id="rId94" w:history="1">
              <w:r w:rsidR="00022F1B" w:rsidRPr="00800D1B">
                <w:rPr>
                  <w:rStyle w:val="Hyperlnk"/>
                  <w:sz w:val="20"/>
                  <w:lang w:val="sv-SE"/>
                </w:rPr>
                <w:t>tillvaxtverket@tillvaxtverket.seail</w:t>
              </w:r>
            </w:hyperlink>
          </w:p>
        </w:tc>
      </w:tr>
      <w:tr w:rsidR="003422DB" w:rsidRPr="00800D1B" w14:paraId="2D066C29" w14:textId="77777777" w:rsidTr="00A26CDD">
        <w:tc>
          <w:tcPr>
            <w:tcW w:w="0" w:type="auto"/>
          </w:tcPr>
          <w:p w14:paraId="2D066C24" w14:textId="77777777" w:rsidR="00A77B3E" w:rsidRPr="00800D1B" w:rsidRDefault="00623E14" w:rsidP="00A26CDD">
            <w:pPr>
              <w:spacing w:before="100" w:after="100"/>
              <w:ind w:left="-72"/>
              <w:rPr>
                <w:color w:val="000000"/>
                <w:sz w:val="20"/>
                <w:lang w:val="sv-SE"/>
              </w:rPr>
            </w:pPr>
            <w:r w:rsidRPr="00800D1B">
              <w:rPr>
                <w:color w:val="000000"/>
                <w:sz w:val="20"/>
                <w:lang w:val="sv-SE"/>
              </w:rPr>
              <w:t>Revisionsmyndighet</w:t>
            </w:r>
          </w:p>
        </w:tc>
        <w:tc>
          <w:tcPr>
            <w:tcW w:w="0" w:type="auto"/>
          </w:tcPr>
          <w:p w14:paraId="2D066C25" w14:textId="77777777" w:rsidR="00A77B3E" w:rsidRPr="00800D1B" w:rsidRDefault="00623E14" w:rsidP="00A26CDD">
            <w:pPr>
              <w:spacing w:before="100" w:after="100"/>
              <w:ind w:left="-72"/>
              <w:rPr>
                <w:color w:val="000000"/>
                <w:sz w:val="20"/>
                <w:lang w:val="sv-SE"/>
              </w:rPr>
            </w:pPr>
            <w:r w:rsidRPr="00800D1B">
              <w:rPr>
                <w:color w:val="000000"/>
                <w:sz w:val="20"/>
                <w:lang w:val="sv-SE"/>
              </w:rPr>
              <w:t>Ekonomistyrningsverket</w:t>
            </w:r>
          </w:p>
        </w:tc>
        <w:tc>
          <w:tcPr>
            <w:tcW w:w="0" w:type="auto"/>
          </w:tcPr>
          <w:p w14:paraId="2D066C26" w14:textId="77777777" w:rsidR="00A77B3E" w:rsidRPr="00800D1B" w:rsidRDefault="00623E14" w:rsidP="00A26CDD">
            <w:pPr>
              <w:spacing w:before="100" w:after="100"/>
              <w:ind w:left="-72"/>
              <w:rPr>
                <w:color w:val="000000"/>
                <w:sz w:val="20"/>
                <w:lang w:val="sv-SE"/>
              </w:rPr>
            </w:pPr>
            <w:r w:rsidRPr="00800D1B">
              <w:rPr>
                <w:color w:val="000000"/>
                <w:sz w:val="20"/>
                <w:lang w:val="sv-SE"/>
              </w:rPr>
              <w:t>Chef för avdelningen för EU-revision</w:t>
            </w:r>
          </w:p>
        </w:tc>
        <w:tc>
          <w:tcPr>
            <w:tcW w:w="0" w:type="auto"/>
          </w:tcPr>
          <w:p w14:paraId="2D066C27" w14:textId="77777777" w:rsidR="00A77B3E" w:rsidRPr="00800D1B" w:rsidRDefault="00A77B3E" w:rsidP="00A26CDD">
            <w:pPr>
              <w:spacing w:before="100" w:after="100"/>
              <w:ind w:left="-72"/>
              <w:rPr>
                <w:color w:val="000000"/>
                <w:sz w:val="20"/>
                <w:lang w:val="sv-SE"/>
              </w:rPr>
            </w:pPr>
          </w:p>
        </w:tc>
        <w:tc>
          <w:tcPr>
            <w:tcW w:w="0" w:type="auto"/>
          </w:tcPr>
          <w:p w14:paraId="2D066C28" w14:textId="4FAA173C" w:rsidR="00A77B3E" w:rsidRPr="00800D1B" w:rsidRDefault="00000000" w:rsidP="00A26CDD">
            <w:pPr>
              <w:spacing w:before="100" w:after="100"/>
              <w:ind w:left="-72"/>
              <w:rPr>
                <w:color w:val="000000"/>
                <w:sz w:val="20"/>
                <w:lang w:val="sv-SE"/>
              </w:rPr>
            </w:pPr>
            <w:hyperlink r:id="rId95" w:history="1">
              <w:r w:rsidR="00623E14" w:rsidRPr="00800D1B">
                <w:rPr>
                  <w:rStyle w:val="Hyperlnk"/>
                  <w:sz w:val="20"/>
                  <w:lang w:val="sv-SE"/>
                </w:rPr>
                <w:t>registrator@esv.se</w:t>
              </w:r>
            </w:hyperlink>
          </w:p>
        </w:tc>
      </w:tr>
      <w:tr w:rsidR="003422DB" w:rsidRPr="00800D1B" w14:paraId="2D066C2F" w14:textId="77777777" w:rsidTr="00A26CDD">
        <w:tc>
          <w:tcPr>
            <w:tcW w:w="0" w:type="auto"/>
          </w:tcPr>
          <w:p w14:paraId="2D066C2A" w14:textId="77777777" w:rsidR="00A77B3E" w:rsidRPr="00800D1B" w:rsidRDefault="00623E14" w:rsidP="00A26CDD">
            <w:pPr>
              <w:spacing w:before="100" w:after="100"/>
              <w:ind w:left="-72"/>
              <w:rPr>
                <w:color w:val="000000"/>
                <w:sz w:val="20"/>
                <w:lang w:val="sv-SE"/>
              </w:rPr>
            </w:pPr>
            <w:r w:rsidRPr="00800D1B">
              <w:rPr>
                <w:color w:val="000000"/>
                <w:sz w:val="20"/>
                <w:lang w:val="sv-SE"/>
              </w:rPr>
              <w:t>Organ som tar emot betalningar från kommissionen</w:t>
            </w:r>
          </w:p>
        </w:tc>
        <w:tc>
          <w:tcPr>
            <w:tcW w:w="0" w:type="auto"/>
          </w:tcPr>
          <w:p w14:paraId="2D066C2B" w14:textId="77777777" w:rsidR="00A77B3E" w:rsidRPr="00800D1B" w:rsidRDefault="00623E14" w:rsidP="00A26CDD">
            <w:pPr>
              <w:spacing w:before="100" w:after="100"/>
              <w:ind w:left="-72"/>
              <w:rPr>
                <w:color w:val="000000"/>
                <w:sz w:val="20"/>
                <w:lang w:val="sv-SE"/>
              </w:rPr>
            </w:pPr>
            <w:r w:rsidRPr="00800D1B">
              <w:rPr>
                <w:color w:val="000000"/>
                <w:sz w:val="20"/>
                <w:lang w:val="sv-SE"/>
              </w:rPr>
              <w:t>Riksgäldskontoret</w:t>
            </w:r>
          </w:p>
        </w:tc>
        <w:tc>
          <w:tcPr>
            <w:tcW w:w="0" w:type="auto"/>
          </w:tcPr>
          <w:p w14:paraId="2D066C2C" w14:textId="77777777" w:rsidR="00A77B3E" w:rsidRPr="00800D1B" w:rsidRDefault="00623E14" w:rsidP="00A26CDD">
            <w:pPr>
              <w:spacing w:before="100" w:after="100"/>
              <w:ind w:left="-72"/>
              <w:rPr>
                <w:color w:val="000000"/>
                <w:sz w:val="20"/>
                <w:lang w:val="sv-SE"/>
              </w:rPr>
            </w:pPr>
            <w:r w:rsidRPr="00800D1B">
              <w:rPr>
                <w:color w:val="000000"/>
                <w:sz w:val="20"/>
                <w:lang w:val="sv-SE"/>
              </w:rPr>
              <w:t>Riksgäldsdirektören</w:t>
            </w:r>
          </w:p>
        </w:tc>
        <w:tc>
          <w:tcPr>
            <w:tcW w:w="0" w:type="auto"/>
          </w:tcPr>
          <w:p w14:paraId="2D066C2D" w14:textId="77777777" w:rsidR="00A77B3E" w:rsidRPr="00800D1B" w:rsidRDefault="00A77B3E" w:rsidP="00A26CDD">
            <w:pPr>
              <w:spacing w:before="100" w:after="100"/>
              <w:ind w:left="-72"/>
              <w:rPr>
                <w:color w:val="000000"/>
                <w:sz w:val="20"/>
                <w:lang w:val="sv-SE"/>
              </w:rPr>
            </w:pPr>
          </w:p>
        </w:tc>
        <w:tc>
          <w:tcPr>
            <w:tcW w:w="0" w:type="auto"/>
          </w:tcPr>
          <w:p w14:paraId="2D066C2E" w14:textId="15A3A01F" w:rsidR="00A77B3E" w:rsidRPr="00800D1B" w:rsidRDefault="00000000" w:rsidP="00A26CDD">
            <w:pPr>
              <w:spacing w:before="100" w:after="100"/>
              <w:ind w:left="-72"/>
              <w:rPr>
                <w:color w:val="000000"/>
                <w:sz w:val="20"/>
                <w:lang w:val="sv-SE"/>
              </w:rPr>
            </w:pPr>
            <w:hyperlink r:id="rId96" w:history="1">
              <w:r w:rsidR="00623E14" w:rsidRPr="00800D1B">
                <w:rPr>
                  <w:rStyle w:val="Hyperlnk"/>
                  <w:sz w:val="20"/>
                  <w:lang w:val="sv-SE"/>
                </w:rPr>
                <w:t>riksgalden@riksgalden.se</w:t>
              </w:r>
            </w:hyperlink>
          </w:p>
        </w:tc>
      </w:tr>
      <w:tr w:rsidR="003422DB" w:rsidRPr="00800D1B" w14:paraId="2D066C35" w14:textId="77777777" w:rsidTr="00A26CDD">
        <w:tc>
          <w:tcPr>
            <w:tcW w:w="0" w:type="auto"/>
          </w:tcPr>
          <w:p w14:paraId="2D066C30" w14:textId="77777777" w:rsidR="00A77B3E" w:rsidRPr="00800D1B" w:rsidRDefault="00623E14" w:rsidP="00A26CDD">
            <w:pPr>
              <w:spacing w:before="100" w:after="100"/>
              <w:ind w:left="-72"/>
              <w:rPr>
                <w:color w:val="000000"/>
                <w:sz w:val="20"/>
                <w:lang w:val="sv-SE"/>
              </w:rPr>
            </w:pPr>
            <w:r w:rsidRPr="00800D1B">
              <w:rPr>
                <w:color w:val="000000"/>
                <w:sz w:val="20"/>
                <w:lang w:val="sv-SE"/>
              </w:rPr>
              <w:t>Organ som tar emot betalningar från kommissionen vid tekniskt bistånd i enlighet med artikel 36.5 i förordningen om gemensamma bestämmelser</w:t>
            </w:r>
          </w:p>
        </w:tc>
        <w:tc>
          <w:tcPr>
            <w:tcW w:w="0" w:type="auto"/>
          </w:tcPr>
          <w:p w14:paraId="2D066C31" w14:textId="77777777" w:rsidR="00A77B3E" w:rsidRPr="00800D1B" w:rsidRDefault="00623E14" w:rsidP="00A26CDD">
            <w:pPr>
              <w:spacing w:before="100" w:after="100"/>
              <w:ind w:left="-72"/>
              <w:rPr>
                <w:color w:val="000000"/>
                <w:sz w:val="20"/>
                <w:lang w:val="sv-SE"/>
              </w:rPr>
            </w:pPr>
            <w:r w:rsidRPr="00800D1B">
              <w:rPr>
                <w:color w:val="000000"/>
                <w:sz w:val="20"/>
                <w:lang w:val="sv-SE"/>
              </w:rPr>
              <w:t>Riksgäldskontoret</w:t>
            </w:r>
          </w:p>
        </w:tc>
        <w:tc>
          <w:tcPr>
            <w:tcW w:w="0" w:type="auto"/>
          </w:tcPr>
          <w:p w14:paraId="2D066C32" w14:textId="77777777" w:rsidR="00A77B3E" w:rsidRPr="00800D1B" w:rsidRDefault="00623E14" w:rsidP="00A26CDD">
            <w:pPr>
              <w:spacing w:before="100" w:after="100"/>
              <w:ind w:left="-72"/>
              <w:rPr>
                <w:color w:val="000000"/>
                <w:sz w:val="20"/>
                <w:lang w:val="sv-SE"/>
              </w:rPr>
            </w:pPr>
            <w:r w:rsidRPr="00800D1B">
              <w:rPr>
                <w:color w:val="000000"/>
                <w:sz w:val="20"/>
                <w:lang w:val="sv-SE"/>
              </w:rPr>
              <w:t>Riksgäldsdirektören</w:t>
            </w:r>
          </w:p>
        </w:tc>
        <w:tc>
          <w:tcPr>
            <w:tcW w:w="0" w:type="auto"/>
          </w:tcPr>
          <w:p w14:paraId="2D066C33" w14:textId="77777777" w:rsidR="00A77B3E" w:rsidRPr="00800D1B" w:rsidRDefault="00A77B3E" w:rsidP="00A26CDD">
            <w:pPr>
              <w:spacing w:before="100" w:after="100"/>
              <w:ind w:left="-72"/>
              <w:rPr>
                <w:color w:val="000000"/>
                <w:sz w:val="20"/>
                <w:lang w:val="sv-SE"/>
              </w:rPr>
            </w:pPr>
          </w:p>
        </w:tc>
        <w:tc>
          <w:tcPr>
            <w:tcW w:w="0" w:type="auto"/>
          </w:tcPr>
          <w:p w14:paraId="2D066C34" w14:textId="23F7F264" w:rsidR="00A77B3E" w:rsidRPr="00800D1B" w:rsidRDefault="00000000" w:rsidP="00A26CDD">
            <w:pPr>
              <w:spacing w:before="100" w:after="100"/>
              <w:ind w:left="-72"/>
              <w:rPr>
                <w:color w:val="000000"/>
                <w:sz w:val="20"/>
                <w:lang w:val="sv-SE"/>
              </w:rPr>
            </w:pPr>
            <w:hyperlink r:id="rId97" w:history="1">
              <w:r w:rsidR="00022F1B" w:rsidRPr="00800D1B">
                <w:rPr>
                  <w:rStyle w:val="Hyperlnk"/>
                  <w:sz w:val="20"/>
                  <w:lang w:val="sv-SE"/>
                </w:rPr>
                <w:t>mailto:riksgalden@riksgalden.se</w:t>
              </w:r>
            </w:hyperlink>
          </w:p>
        </w:tc>
      </w:tr>
    </w:tbl>
    <w:p w14:paraId="2D066C37" w14:textId="4209D2B3" w:rsidR="00A77B3E" w:rsidRPr="00800D1B" w:rsidRDefault="00623E14" w:rsidP="009F6D59">
      <w:pPr>
        <w:pStyle w:val="Rubrik4"/>
        <w:spacing w:before="300" w:after="100"/>
        <w:ind w:left="0" w:firstLine="0"/>
      </w:pPr>
      <w:bookmarkStart w:id="222" w:name="_Toc256000463"/>
      <w:r w:rsidRPr="00800D1B">
        <w:t>Fördelningen av ersatta belopp för tekniskt bistånd i enlighet med artikel 36.5 i förordningen om gemensamma bestämmelser om fler organ identifieras som ska ta emot betalningar från kommissionen</w:t>
      </w:r>
      <w:bookmarkEnd w:id="222"/>
    </w:p>
    <w:p w14:paraId="2D066C38" w14:textId="77777777" w:rsidR="00A77B3E" w:rsidRPr="00800D1B" w:rsidRDefault="00A77B3E">
      <w:pPr>
        <w:spacing w:before="100"/>
        <w:rPr>
          <w:color w:val="000000"/>
          <w:sz w:val="0"/>
          <w:lang w:val="sv-SE"/>
        </w:rPr>
      </w:pPr>
    </w:p>
    <w:p w14:paraId="2D066C39" w14:textId="77777777" w:rsidR="00A77B3E" w:rsidRPr="00800D1B" w:rsidRDefault="00623E14">
      <w:pPr>
        <w:spacing w:before="100"/>
        <w:rPr>
          <w:color w:val="000000"/>
          <w:lang w:val="sv-SE"/>
        </w:rPr>
      </w:pPr>
      <w:r w:rsidRPr="00800D1B">
        <w:rPr>
          <w:color w:val="000000"/>
          <w:lang w:val="sv-SE"/>
        </w:rPr>
        <w:t>Referens: artikel 22.3 i förordningen om gemensamma bestämmelser</w:t>
      </w:r>
    </w:p>
    <w:p w14:paraId="2D066C3B" w14:textId="2A64A79C" w:rsidR="00A77B3E" w:rsidRPr="00800D1B" w:rsidRDefault="00623E14" w:rsidP="001C1AA9">
      <w:pPr>
        <w:spacing w:before="100"/>
        <w:rPr>
          <w:color w:val="000000"/>
          <w:lang w:val="sv-SE"/>
        </w:rPr>
      </w:pPr>
      <w:r w:rsidRPr="00800D1B">
        <w:rPr>
          <w:color w:val="000000"/>
          <w:lang w:val="sv-SE"/>
        </w:rPr>
        <w:t>Tabell 13 A: Den andel av de procentsatser som anges i artikel 36.5 b i förordningen om gemensamma bestämmelser som ersätts till de organ som tar emot betalningar från kommissionen vid tekniskt bistånd i enlighet med artikel 36.5 i förordningen om gemensamma bestämmelser (i procentenheter)</w:t>
      </w:r>
    </w:p>
    <w:p w14:paraId="2D066C3C" w14:textId="77777777" w:rsidR="00A77B3E" w:rsidRPr="00800D1B" w:rsidRDefault="00A77B3E">
      <w:pPr>
        <w:spacing w:before="100"/>
        <w:rPr>
          <w:color w:val="000000"/>
          <w:lang w:val="sv-SE"/>
        </w:rPr>
        <w:sectPr w:rsidR="00A77B3E" w:rsidRPr="00800D1B" w:rsidSect="0065165D">
          <w:pgSz w:w="16838" w:h="11906" w:orient="landscape"/>
          <w:pgMar w:top="720" w:right="720" w:bottom="864" w:left="936" w:header="288" w:footer="72" w:gutter="0"/>
          <w:cols w:space="720"/>
          <w:noEndnote/>
          <w:docGrid w:linePitch="360"/>
        </w:sectPr>
      </w:pPr>
    </w:p>
    <w:p w14:paraId="2D066C3D" w14:textId="7039157E" w:rsidR="00A77B3E" w:rsidRPr="00800D1B" w:rsidRDefault="00623E14" w:rsidP="002F380E">
      <w:pPr>
        <w:pStyle w:val="Rubrik2"/>
        <w:spacing w:before="100"/>
        <w:ind w:left="180" w:hanging="180"/>
        <w:rPr>
          <w:lang w:val="sv-SE"/>
        </w:rPr>
      </w:pPr>
      <w:bookmarkStart w:id="223" w:name="_Toc256000464"/>
      <w:r w:rsidRPr="00800D1B">
        <w:rPr>
          <w:lang w:val="sv-SE"/>
        </w:rPr>
        <w:t>Partnerskap</w:t>
      </w:r>
      <w:bookmarkEnd w:id="223"/>
    </w:p>
    <w:p w14:paraId="5FC6D2D8" w14:textId="707F785D" w:rsidR="002F380E" w:rsidRPr="00800D1B" w:rsidRDefault="00623E14">
      <w:pPr>
        <w:spacing w:before="100"/>
        <w:rPr>
          <w:color w:val="000000"/>
          <w:lang w:val="sv-SE"/>
        </w:rPr>
      </w:pPr>
      <w:r w:rsidRPr="00800D1B">
        <w:rPr>
          <w:color w:val="000000"/>
          <w:lang w:val="sv-SE"/>
        </w:rPr>
        <w:t>Referens: artikel 22.3 h i förordningen om gemensamma bestämmelser</w:t>
      </w:r>
    </w:p>
    <w:p w14:paraId="587A0B51" w14:textId="30BBA28B" w:rsidR="002F380E" w:rsidRPr="00800D1B" w:rsidRDefault="0065165D" w:rsidP="0065165D">
      <w:pPr>
        <w:spacing w:before="200"/>
        <w:ind w:left="72"/>
        <w:rPr>
          <w:color w:val="000000"/>
          <w:lang w:val="sv-SE"/>
        </w:rPr>
      </w:pPr>
      <w:r w:rsidRPr="00800D1B">
        <w:rPr>
          <w:color w:val="000000"/>
          <w:lang w:val="sv-SE"/>
        </w:rPr>
        <mc:AlternateContent>
          <mc:Choice Requires="wps">
            <w:drawing>
              <wp:anchor distT="0" distB="0" distL="114300" distR="114300" simplePos="0" relativeHeight="251682816" behindDoc="0" locked="0" layoutInCell="1" allowOverlap="1" wp14:anchorId="122E3410" wp14:editId="475D394C">
                <wp:simplePos x="0" y="0"/>
                <wp:positionH relativeFrom="column">
                  <wp:posOffset>-7620</wp:posOffset>
                </wp:positionH>
                <wp:positionV relativeFrom="page">
                  <wp:posOffset>998220</wp:posOffset>
                </wp:positionV>
                <wp:extent cx="6576060" cy="9113520"/>
                <wp:effectExtent l="0" t="0" r="15240" b="11430"/>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576060" cy="91135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E01FBD" id="Rectangle 2" o:spid="_x0000_s1026" alt="&quot;&quot;" style="position:absolute;margin-left:-.6pt;margin-top:78.6pt;width:517.8pt;height:717.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" filled="f" strokecolor="black [3213]" strokeweight=".5pt">
                <w10:wrap anchory="page"/>
              </v:rect>
            </w:pict>
          </mc:Fallback>
        </mc:AlternateContent>
      </w:r>
      <w:r w:rsidR="002F380E" w:rsidRPr="00800D1B">
        <w:rPr>
          <w:color w:val="000000"/>
          <w:lang w:val="sv-SE"/>
        </w:rPr>
        <w:t>Framtagning av förslaget till program för Europeiska regionala utvecklingsfonden för</w:t>
      </w:r>
    </w:p>
    <w:p w14:paraId="5D10FA64" w14:textId="50964AAD" w:rsidR="002F380E" w:rsidRPr="00800D1B" w:rsidRDefault="002F380E" w:rsidP="0065165D">
      <w:pPr>
        <w:spacing w:before="100"/>
        <w:ind w:left="72"/>
        <w:rPr>
          <w:color w:val="000000"/>
          <w:lang w:val="sv-SE"/>
        </w:rPr>
      </w:pPr>
      <w:r w:rsidRPr="00800D1B">
        <w:rPr>
          <w:color w:val="000000"/>
          <w:lang w:val="sv-SE"/>
        </w:rPr>
        <w:t>Övre Norrland 2021–2027 har skett i samverkan mellan Region Norrbotten, Region Västerbotten, Sametinget samt andra regionala aktörer. </w:t>
      </w:r>
    </w:p>
    <w:p w14:paraId="6F62B19B" w14:textId="5E0F21E0" w:rsidR="002F380E" w:rsidRPr="00800D1B" w:rsidRDefault="002F380E" w:rsidP="0065165D">
      <w:pPr>
        <w:spacing w:before="100"/>
        <w:ind w:left="72"/>
        <w:rPr>
          <w:color w:val="000000"/>
          <w:lang w:val="sv-SE"/>
        </w:rPr>
      </w:pPr>
      <w:r w:rsidRPr="00800D1B">
        <w:rPr>
          <w:color w:val="000000"/>
          <w:lang w:val="sv-SE"/>
        </w:rPr>
        <w:t>Programarbetet har i huvudsak bedrivits av en arbetsgrupp bestående av tjänstepersoner från Region Norrbotten och Region Västerbotten, som veckovis haft avstämningar i Eruf arbetet. Utöver arbetsgruppen har en övergripande arbetsgrupp bestående av Region Norrbotten, Region Västerbotten, Tillväxtverket (programkontoret Övre Norrland) samt Sametinget funnits. Den övergripande arbetsgruppen har haft avstämning varannan vecka.</w:t>
      </w:r>
    </w:p>
    <w:p w14:paraId="38447B00" w14:textId="1737465F" w:rsidR="002F380E" w:rsidRPr="00800D1B" w:rsidRDefault="002F380E" w:rsidP="0065165D">
      <w:pPr>
        <w:spacing w:before="100"/>
        <w:ind w:left="72"/>
        <w:rPr>
          <w:color w:val="000000"/>
          <w:lang w:val="sv-SE"/>
        </w:rPr>
      </w:pPr>
      <w:r w:rsidRPr="00800D1B">
        <w:rPr>
          <w:color w:val="000000"/>
          <w:lang w:val="sv-SE"/>
        </w:rPr>
        <w:t>Representanter för de deltagande regionerna har under skrivprocessen träffats tre gånger i samband med arbets- och styrgruppsmöten (Styrgruppen som består av ledamöter från Region Norrbotten och Region Västerbotten).</w:t>
      </w:r>
    </w:p>
    <w:p w14:paraId="362F73DC" w14:textId="4AF8CC57" w:rsidR="002F380E" w:rsidRPr="00800D1B" w:rsidRDefault="002F380E" w:rsidP="0065165D">
      <w:pPr>
        <w:spacing w:before="100"/>
        <w:ind w:left="72"/>
        <w:rPr>
          <w:color w:val="000000"/>
          <w:lang w:val="sv-SE"/>
        </w:rPr>
      </w:pPr>
      <w:r w:rsidRPr="00800D1B">
        <w:rPr>
          <w:color w:val="000000"/>
          <w:lang w:val="sv-SE"/>
        </w:rPr>
        <w:t>I arbetet med att ta fram vilka politiska områden och specifika mål Övre Norrland ska prioritera har en bred förankring eftersträvats. Flera möten och informationstillfällen har arrangerats i Norrbotten respektive Västerbotten. </w:t>
      </w:r>
    </w:p>
    <w:p w14:paraId="557C95FD" w14:textId="38E81395" w:rsidR="002F380E" w:rsidRPr="00800D1B" w:rsidRDefault="002F380E" w:rsidP="0065165D">
      <w:pPr>
        <w:spacing w:before="100"/>
        <w:ind w:left="72"/>
        <w:rPr>
          <w:color w:val="000000"/>
          <w:lang w:val="sv-SE"/>
        </w:rPr>
      </w:pPr>
      <w:r w:rsidRPr="00800D1B">
        <w:rPr>
          <w:color w:val="000000"/>
          <w:lang w:val="sv-SE"/>
        </w:rPr>
        <w:t>Övre Norrland nyttjar följande befintliga nätverk i detta arbete: </w:t>
      </w:r>
    </w:p>
    <w:p w14:paraId="2792E74C" w14:textId="7F1A41C8" w:rsidR="002F380E" w:rsidRPr="00800D1B" w:rsidRDefault="002F380E" w:rsidP="0065165D">
      <w:pPr>
        <w:spacing w:before="100"/>
        <w:ind w:left="72"/>
        <w:rPr>
          <w:color w:val="000000"/>
          <w:lang w:val="sv-SE"/>
        </w:rPr>
      </w:pPr>
      <w:r w:rsidRPr="00800D1B">
        <w:rPr>
          <w:color w:val="000000"/>
          <w:lang w:val="sv-SE"/>
        </w:rPr>
        <w:t>Regionalt forum (2 st. tillfällen) är ett forum som diskuterar viktiga frågor för länets utveckling. Regionalt forum består av Företagarna Norrbotten, LO-distriktet i Norra, Luleå tekniska universitet, Länsstyrelsen Norrbotten, Norrbottens bildningsförbund, Norrbottens Handelskammare, SACO Norrbotten, Sametinget, TCO Norrbotten, Vision och Trafikverket Region Nord. Regionalt forum har varit aktivt när det gäller valet av politiska områden och specifika mål för Övre Norrland.</w:t>
      </w:r>
    </w:p>
    <w:p w14:paraId="49C02706" w14:textId="77777777" w:rsidR="002F380E" w:rsidRPr="00800D1B" w:rsidRDefault="002F380E" w:rsidP="0065165D">
      <w:pPr>
        <w:spacing w:before="100"/>
        <w:ind w:left="72"/>
        <w:rPr>
          <w:color w:val="000000"/>
          <w:lang w:val="sv-SE"/>
        </w:rPr>
      </w:pPr>
      <w:r w:rsidRPr="00800D1B">
        <w:rPr>
          <w:color w:val="000000"/>
          <w:lang w:val="sv-SE"/>
        </w:rPr>
        <w:t>Tillväxtberedningen är Region Norrbottens och Norrbottens kommuners gemensamma beredning i regionala tillväxtfrågor. Tillväxtberedningen har varit delaktiga och påverkat valet av politiska områden och specifika mål Övre, två möten har hållits. Tillväxtberedningen består av Region Norrbotten samt Boden, Pajala, Övertorneå, Arjeplog, Kalix, Gällivare, Luleå, Piteå, Haparanda, Arvidsjaur, Älvsbyn, och Jokkmokks kommuner.</w:t>
      </w:r>
    </w:p>
    <w:p w14:paraId="6BA5F7E7" w14:textId="77777777" w:rsidR="002F380E" w:rsidRPr="00800D1B" w:rsidRDefault="002F380E" w:rsidP="0065165D">
      <w:pPr>
        <w:spacing w:before="100"/>
        <w:ind w:left="72"/>
        <w:rPr>
          <w:color w:val="000000"/>
          <w:lang w:val="sv-SE"/>
        </w:rPr>
      </w:pPr>
      <w:r w:rsidRPr="00800D1B">
        <w:rPr>
          <w:color w:val="000000"/>
          <w:lang w:val="sv-SE"/>
        </w:rPr>
        <w:t>Strukturfondsparterskapet Övre Norrland har varit delaktiga i valet av politiska områden och specifika mål Övre, ett möte har genomförts. Strukturfondsparterskapet Övre Norrland består av representanter för Region Norrbotten, Norrbottens kommuner, Arjeplogs kommun, Piteå kommun, Arbetsförmedling, Försäkringskassa, SKR, Saco, LO, Umeå universitet, Företagarna i Norrbotten, Länsstyrelsen i Norrbottens län, Länsstyrelsen i Västerbottens län, HSO Västerbotten och Sametinget.</w:t>
      </w:r>
    </w:p>
    <w:p w14:paraId="59245A3E" w14:textId="77777777" w:rsidR="002F380E" w:rsidRPr="00800D1B" w:rsidRDefault="002F380E" w:rsidP="0065165D">
      <w:pPr>
        <w:spacing w:before="100"/>
        <w:ind w:left="72"/>
        <w:rPr>
          <w:color w:val="000000"/>
          <w:lang w:val="sv-SE"/>
        </w:rPr>
      </w:pPr>
      <w:r w:rsidRPr="00800D1B">
        <w:rPr>
          <w:color w:val="000000"/>
          <w:lang w:val="sv-SE"/>
        </w:rPr>
        <w:t>Region Västerbotten har fört en dialog med Kommunchefsgruppen i Västerbotten om programskrivningsprocessen. Kommunchefsgruppen består av följande organisationer Bjurholms, Dorotea, Lycksele Malå, Nordmalings, Norsjö, Robertsfors, Skellefteå, Sorsele, Storumans, Umeå, Vilhelmina, Vindelns, Vännäs samt Åsele.</w:t>
      </w:r>
    </w:p>
    <w:p w14:paraId="62A6EA24" w14:textId="77777777" w:rsidR="002F380E" w:rsidRPr="00800D1B" w:rsidRDefault="002F380E">
      <w:pPr>
        <w:pStyle w:val="Liststycke"/>
        <w:numPr>
          <w:ilvl w:val="0"/>
          <w:numId w:val="10"/>
        </w:numPr>
        <w:spacing w:before="100"/>
        <w:contextualSpacing w:val="0"/>
        <w:rPr>
          <w:color w:val="000000"/>
          <w:lang w:val="sv-SE"/>
        </w:rPr>
      </w:pPr>
      <w:r w:rsidRPr="00800D1B">
        <w:rPr>
          <w:color w:val="000000"/>
          <w:lang w:val="sv-SE"/>
        </w:rPr>
        <w:t>Regionala utvecklingsnämnden i Västerbotten och Arbetsutskottet RUN</w:t>
      </w:r>
    </w:p>
    <w:p w14:paraId="38715D51" w14:textId="77777777" w:rsidR="002F380E" w:rsidRPr="00800D1B" w:rsidRDefault="002F380E">
      <w:pPr>
        <w:pStyle w:val="Liststycke"/>
        <w:numPr>
          <w:ilvl w:val="0"/>
          <w:numId w:val="10"/>
        </w:numPr>
        <w:spacing w:before="100"/>
        <w:contextualSpacing w:val="0"/>
        <w:rPr>
          <w:color w:val="000000"/>
          <w:lang w:val="sv-SE"/>
        </w:rPr>
      </w:pPr>
      <w:r w:rsidRPr="00800D1B">
        <w:rPr>
          <w:color w:val="000000"/>
          <w:lang w:val="sv-SE"/>
        </w:rPr>
        <w:t>Regionala utvecklingsnämnden i Norrbotten</w:t>
      </w:r>
    </w:p>
    <w:p w14:paraId="7015B807" w14:textId="77777777" w:rsidR="002F380E" w:rsidRPr="00800D1B" w:rsidRDefault="002F380E">
      <w:pPr>
        <w:pStyle w:val="Liststycke"/>
        <w:numPr>
          <w:ilvl w:val="0"/>
          <w:numId w:val="10"/>
        </w:numPr>
        <w:spacing w:before="100"/>
        <w:contextualSpacing w:val="0"/>
        <w:rPr>
          <w:color w:val="000000"/>
          <w:lang w:val="sv-SE"/>
        </w:rPr>
      </w:pPr>
      <w:r w:rsidRPr="00800D1B">
        <w:rPr>
          <w:color w:val="000000"/>
          <w:lang w:val="sv-SE"/>
        </w:rPr>
        <w:t>Regionala innovationspartnerskapet i Västerbotten har varit delaktiga i processen. Regionala innovationspartnerskapet består av Region Västerbotten, Umeå Universitet, SLU, Skogstekniska klustret, RISE, Regionakademin, Clean Tech, Processum, Skellefteå Science City, Skellefteå kommun och Umeå Kommun.</w:t>
      </w:r>
    </w:p>
    <w:p w14:paraId="0C41C8F3" w14:textId="77777777" w:rsidR="002F380E" w:rsidRPr="00800D1B" w:rsidRDefault="002F380E">
      <w:pPr>
        <w:pStyle w:val="Liststycke"/>
        <w:numPr>
          <w:ilvl w:val="0"/>
          <w:numId w:val="10"/>
        </w:numPr>
        <w:spacing w:before="100"/>
        <w:contextualSpacing w:val="0"/>
        <w:rPr>
          <w:color w:val="000000"/>
          <w:lang w:val="sv-SE"/>
        </w:rPr>
      </w:pPr>
      <w:r w:rsidRPr="00800D1B">
        <w:rPr>
          <w:color w:val="000000"/>
          <w:lang w:val="sv-SE"/>
        </w:rPr>
        <w:t>Samsyngruppen i Västerbottens har varit delaktiga i programmeringsprocessen som består av representanter för Västerbottens kommuner, Umeå Universitet, Länsstyrelsen Västerbotten, Västerbottens Handelskammare, Västerbottens företagare, LO och Sveriges Kommuner och Regioner. </w:t>
      </w:r>
    </w:p>
    <w:p w14:paraId="52C6D50A" w14:textId="77777777" w:rsidR="002F380E" w:rsidRPr="00800D1B" w:rsidRDefault="002F380E">
      <w:pPr>
        <w:pStyle w:val="Liststycke"/>
        <w:numPr>
          <w:ilvl w:val="0"/>
          <w:numId w:val="10"/>
        </w:numPr>
        <w:spacing w:before="100"/>
        <w:contextualSpacing w:val="0"/>
        <w:rPr>
          <w:color w:val="000000"/>
          <w:lang w:val="sv-SE"/>
        </w:rPr>
      </w:pPr>
      <w:r w:rsidRPr="00800D1B">
        <w:rPr>
          <w:color w:val="000000"/>
          <w:lang w:val="sv-SE"/>
        </w:rPr>
        <w:t>Utöver befintliga nätverk har följande insatser genomförts för att förankra valen av politiska områden och specifika mål:</w:t>
      </w:r>
    </w:p>
    <w:p w14:paraId="30E7B467" w14:textId="09CE8D6F" w:rsidR="002F380E" w:rsidRPr="00800D1B" w:rsidRDefault="0065165D">
      <w:pPr>
        <w:pStyle w:val="Liststycke"/>
        <w:numPr>
          <w:ilvl w:val="0"/>
          <w:numId w:val="10"/>
        </w:numPr>
        <w:spacing w:before="100"/>
        <w:contextualSpacing w:val="0"/>
        <w:rPr>
          <w:color w:val="000000"/>
          <w:lang w:val="sv-SE"/>
        </w:rPr>
      </w:pPr>
      <w:r w:rsidRPr="00800D1B">
        <w:rPr>
          <w:color w:val="000000"/>
          <w:lang w:val="sv-SE"/>
        </w:rPr>
        <mc:AlternateContent>
          <mc:Choice Requires="wps">
            <w:drawing>
              <wp:anchor distT="0" distB="0" distL="114300" distR="114300" simplePos="0" relativeHeight="251683840" behindDoc="0" locked="0" layoutInCell="1" allowOverlap="1" wp14:anchorId="54148DE6" wp14:editId="5E6BE735">
                <wp:simplePos x="0" y="0"/>
                <wp:positionH relativeFrom="column">
                  <wp:posOffset>-7620</wp:posOffset>
                </wp:positionH>
                <wp:positionV relativeFrom="page">
                  <wp:posOffset>350520</wp:posOffset>
                </wp:positionV>
                <wp:extent cx="6568440" cy="9806940"/>
                <wp:effectExtent l="0" t="0" r="22860" b="22860"/>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568440" cy="980694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3629537" id="Rectangle 3" o:spid="_x0000_s1026" alt="&quot;&quot;" style="position:absolute;margin-left:-.6pt;margin-top:27.6pt;width:517.2pt;height:772.2pt;z-index:25168384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" filled="f" strokecolor="black [3213]" strokeweight=".5pt">
                <w10:wrap anchory="page"/>
              </v:rect>
            </w:pict>
          </mc:Fallback>
        </mc:AlternateContent>
      </w:r>
      <w:r w:rsidR="002F380E" w:rsidRPr="00800D1B">
        <w:rPr>
          <w:color w:val="000000"/>
          <w:lang w:val="sv-SE"/>
        </w:rPr>
        <w:t>Region Norrbotten och Region Västerbotten har genomfört ett digitalt seminarium den 1 juli, 2020 där cirka 60 organisationer deltog. Några exempel på organisationer som deltog: IUC Norr, Luleå Science Park, Sportfiskarna, RISE, Coompanion Nord, Umeå universitet, Luleå tekniska universitet, LTU business, Region Norrbotten, Region Västerbotten, Region 10, Länsstyrelsen Norrbotten/Västerbotten, Älvsbyn kommun och Energikontor Norr.</w:t>
      </w:r>
    </w:p>
    <w:p w14:paraId="4400B01B" w14:textId="77777777" w:rsidR="002F380E" w:rsidRPr="00800D1B" w:rsidRDefault="002F380E">
      <w:pPr>
        <w:pStyle w:val="Liststycke"/>
        <w:numPr>
          <w:ilvl w:val="0"/>
          <w:numId w:val="10"/>
        </w:numPr>
        <w:spacing w:before="100"/>
        <w:contextualSpacing w:val="0"/>
        <w:rPr>
          <w:color w:val="000000"/>
          <w:lang w:val="sv-SE"/>
        </w:rPr>
      </w:pPr>
      <w:r w:rsidRPr="00800D1B">
        <w:rPr>
          <w:color w:val="000000"/>
          <w:lang w:val="sv-SE"/>
        </w:rPr>
        <w:t>Region Västerbotten har haft dialog med Region 10 under processen. Region 10 är en frivillig sammanslutning av 10 inlandskommuner i Norrbotten och Västerbotten, (Arjeplog, Arvidsjaur, Dorotea, Lycksele, Malå, Norsjö, Sorsele, Storuman, Vilhelmina och Åsele) i syfte att främja kommunernas roll och utveckling i såväl Norrbotten och Västerbotten som nationellt och internationellt. </w:t>
      </w:r>
    </w:p>
    <w:p w14:paraId="6970C9BB" w14:textId="77777777" w:rsidR="002F380E" w:rsidRPr="00800D1B" w:rsidRDefault="002F380E">
      <w:pPr>
        <w:pStyle w:val="Liststycke"/>
        <w:numPr>
          <w:ilvl w:val="0"/>
          <w:numId w:val="10"/>
        </w:numPr>
        <w:spacing w:before="100"/>
        <w:contextualSpacing w:val="0"/>
        <w:rPr>
          <w:color w:val="000000"/>
          <w:lang w:val="sv-SE"/>
        </w:rPr>
      </w:pPr>
      <w:r w:rsidRPr="00800D1B">
        <w:rPr>
          <w:color w:val="000000"/>
          <w:lang w:val="sv-SE"/>
        </w:rPr>
        <w:t>Västerbotten har även haft samverkan med följande aktörer: Umeå Kommun, Skellefteå Kommun, Storuman kommun, Arbetsförmedlingen, Företagarna Västerbotten, Handelskammaren Västerbotten, Länsstyrelsen i Västerbotten, North Sweden European Office, Umeå Universitet, Samforma, Idrottsförbundet Västerbotten, Coompanion Västerbotten, Biofuel region, Skellefteå Kraft, Esam, Ottoson konculting, Clean tech, Umeå Biotech Incubator, Umeå Universitet, Bioekonomiska nätverket i Västerbotten etc. </w:t>
      </w:r>
    </w:p>
    <w:p w14:paraId="26F8078B" w14:textId="77777777" w:rsidR="002F380E" w:rsidRPr="00800D1B" w:rsidRDefault="002F380E" w:rsidP="0065165D">
      <w:pPr>
        <w:spacing w:before="100"/>
        <w:ind w:left="72"/>
        <w:rPr>
          <w:color w:val="000000"/>
          <w:lang w:val="sv-SE"/>
        </w:rPr>
      </w:pPr>
      <w:r w:rsidRPr="00800D1B">
        <w:rPr>
          <w:color w:val="000000"/>
          <w:lang w:val="sv-SE"/>
        </w:rPr>
        <w:t>För att förankra interventioner och aktiviteter av strategisk betydelse har seminarier hållits i Västerbotten och Norrbotten i slutet av september och i början av oktober, 2020 Vid dessa har ett stort antal aktörer deltagit. I Norrbotten deltog vid fyra workshops 174 personer varav 103 kvinnor och 71 män från 48 organisationer och företag.81 personer deltog vid 8 workshops i Västerbotten varav 47 kvinnor och 49 män från 43 organisationer. En länsöverskridande workshop hölls den 15 oktober, 2020 i Skellefteå med 139 deltagare, varav 58 kvinnor och 66 män från 65 organisationer. I programmet deltog bland annat ansvariga regionpolitiker för näringslivsutveckling från respektive region. </w:t>
      </w:r>
    </w:p>
    <w:p w14:paraId="14461599" w14:textId="77777777" w:rsidR="002F380E" w:rsidRPr="00800D1B" w:rsidRDefault="002F380E" w:rsidP="0065165D">
      <w:pPr>
        <w:spacing w:before="100"/>
        <w:ind w:left="72"/>
        <w:rPr>
          <w:color w:val="000000"/>
          <w:lang w:val="sv-SE"/>
        </w:rPr>
      </w:pPr>
      <w:r w:rsidRPr="00800D1B">
        <w:rPr>
          <w:color w:val="000000"/>
          <w:lang w:val="sv-SE"/>
        </w:rPr>
        <w:t>Under hösten 2020 hölls även dialoger med Regionalt forum, Tillväxtberedningen, Programrådet för skogsprogrammet i Norrbotten samt Norrbottens Kompetensförsörjningsråd där deltagarna fick möjlighet att lämna synpunkter och inspel på programmet. Kompetensförsörjningsrådets roll är att adressera operativa och strategiska frågor inom utbildning och arbetsmarknad och att möjliggöra en utökad samverkan och samhandling i länet. Deltagande organisationer är: </w:t>
      </w:r>
    </w:p>
    <w:p w14:paraId="5FB7479A" w14:textId="77777777" w:rsidR="002F380E" w:rsidRPr="00800D1B" w:rsidRDefault="002F380E">
      <w:pPr>
        <w:pStyle w:val="Liststycke"/>
        <w:numPr>
          <w:ilvl w:val="0"/>
          <w:numId w:val="10"/>
        </w:numPr>
        <w:spacing w:before="100"/>
        <w:contextualSpacing w:val="0"/>
        <w:rPr>
          <w:color w:val="000000"/>
          <w:lang w:val="sv-SE"/>
        </w:rPr>
      </w:pPr>
      <w:r w:rsidRPr="00800D1B">
        <w:rPr>
          <w:color w:val="000000"/>
          <w:lang w:val="sv-SE"/>
        </w:rPr>
        <w:t>Arbetsförmedlingen, </w:t>
      </w:r>
    </w:p>
    <w:p w14:paraId="1542C18E" w14:textId="77777777" w:rsidR="002F380E" w:rsidRPr="00800D1B" w:rsidRDefault="002F380E">
      <w:pPr>
        <w:pStyle w:val="Liststycke"/>
        <w:numPr>
          <w:ilvl w:val="0"/>
          <w:numId w:val="10"/>
        </w:numPr>
        <w:spacing w:before="100"/>
        <w:contextualSpacing w:val="0"/>
        <w:rPr>
          <w:color w:val="000000"/>
          <w:lang w:val="sv-SE"/>
        </w:rPr>
      </w:pPr>
      <w:r w:rsidRPr="00800D1B">
        <w:rPr>
          <w:color w:val="000000"/>
          <w:lang w:val="sv-SE"/>
        </w:rPr>
        <w:t>Fortbildning i samverkan, </w:t>
      </w:r>
    </w:p>
    <w:p w14:paraId="3D081990" w14:textId="77777777" w:rsidR="002F380E" w:rsidRPr="00800D1B" w:rsidRDefault="002F380E">
      <w:pPr>
        <w:pStyle w:val="Liststycke"/>
        <w:numPr>
          <w:ilvl w:val="0"/>
          <w:numId w:val="10"/>
        </w:numPr>
        <w:spacing w:before="100"/>
        <w:contextualSpacing w:val="0"/>
        <w:rPr>
          <w:color w:val="000000"/>
          <w:lang w:val="sv-SE"/>
        </w:rPr>
      </w:pPr>
      <w:r w:rsidRPr="00800D1B">
        <w:rPr>
          <w:color w:val="000000"/>
          <w:lang w:val="sv-SE"/>
        </w:rPr>
        <w:t>Norrbottens bildningsförbund, </w:t>
      </w:r>
    </w:p>
    <w:p w14:paraId="7AC96CE5" w14:textId="77777777" w:rsidR="002F380E" w:rsidRPr="00800D1B" w:rsidRDefault="002F380E">
      <w:pPr>
        <w:pStyle w:val="Liststycke"/>
        <w:numPr>
          <w:ilvl w:val="0"/>
          <w:numId w:val="10"/>
        </w:numPr>
        <w:spacing w:before="100"/>
        <w:contextualSpacing w:val="0"/>
        <w:rPr>
          <w:color w:val="000000"/>
          <w:lang w:val="sv-SE"/>
        </w:rPr>
      </w:pPr>
      <w:r w:rsidRPr="00800D1B">
        <w:rPr>
          <w:color w:val="000000"/>
          <w:lang w:val="sv-SE"/>
        </w:rPr>
        <w:t>Norrbottens Kommuner, </w:t>
      </w:r>
    </w:p>
    <w:p w14:paraId="1C638741" w14:textId="77777777" w:rsidR="002F380E" w:rsidRPr="00800D1B" w:rsidRDefault="002F380E">
      <w:pPr>
        <w:pStyle w:val="Liststycke"/>
        <w:numPr>
          <w:ilvl w:val="0"/>
          <w:numId w:val="10"/>
        </w:numPr>
        <w:spacing w:before="100"/>
        <w:contextualSpacing w:val="0"/>
        <w:rPr>
          <w:color w:val="000000"/>
          <w:lang w:val="sv-SE"/>
        </w:rPr>
      </w:pPr>
      <w:r w:rsidRPr="00800D1B">
        <w:rPr>
          <w:color w:val="000000"/>
          <w:lang w:val="sv-SE"/>
        </w:rPr>
        <w:t>Lapplands kommunalförbund, </w:t>
      </w:r>
    </w:p>
    <w:p w14:paraId="3148780B" w14:textId="77777777" w:rsidR="002F380E" w:rsidRPr="00800D1B" w:rsidRDefault="002F380E">
      <w:pPr>
        <w:pStyle w:val="Liststycke"/>
        <w:numPr>
          <w:ilvl w:val="0"/>
          <w:numId w:val="10"/>
        </w:numPr>
        <w:spacing w:before="100"/>
        <w:contextualSpacing w:val="0"/>
        <w:rPr>
          <w:color w:val="000000"/>
          <w:lang w:val="sv-SE"/>
        </w:rPr>
      </w:pPr>
      <w:r w:rsidRPr="00800D1B">
        <w:rPr>
          <w:color w:val="000000"/>
          <w:lang w:val="sv-SE"/>
        </w:rPr>
        <w:t>Luleå kommun,</w:t>
      </w:r>
    </w:p>
    <w:p w14:paraId="44321703" w14:textId="77777777" w:rsidR="002F380E" w:rsidRPr="00800D1B" w:rsidRDefault="002F380E">
      <w:pPr>
        <w:pStyle w:val="Liststycke"/>
        <w:numPr>
          <w:ilvl w:val="0"/>
          <w:numId w:val="10"/>
        </w:numPr>
        <w:spacing w:before="100"/>
        <w:contextualSpacing w:val="0"/>
        <w:rPr>
          <w:color w:val="000000"/>
          <w:lang w:val="sv-SE"/>
        </w:rPr>
      </w:pPr>
      <w:r w:rsidRPr="00800D1B">
        <w:rPr>
          <w:color w:val="000000"/>
          <w:lang w:val="sv-SE"/>
        </w:rPr>
        <w:t>Luleå tekniska universitet, </w:t>
      </w:r>
    </w:p>
    <w:p w14:paraId="50A99FD6" w14:textId="77777777" w:rsidR="002F380E" w:rsidRPr="00800D1B" w:rsidRDefault="002F380E">
      <w:pPr>
        <w:pStyle w:val="Liststycke"/>
        <w:numPr>
          <w:ilvl w:val="0"/>
          <w:numId w:val="10"/>
        </w:numPr>
        <w:spacing w:before="100"/>
        <w:contextualSpacing w:val="0"/>
        <w:rPr>
          <w:color w:val="000000"/>
          <w:lang w:val="sv-SE"/>
        </w:rPr>
      </w:pPr>
      <w:r w:rsidRPr="00800D1B">
        <w:rPr>
          <w:color w:val="000000"/>
          <w:lang w:val="sv-SE"/>
        </w:rPr>
        <w:t>Länsstyrelsen Norrbotten, </w:t>
      </w:r>
    </w:p>
    <w:p w14:paraId="1665B51A" w14:textId="77777777" w:rsidR="002F380E" w:rsidRPr="00800D1B" w:rsidRDefault="002F380E">
      <w:pPr>
        <w:pStyle w:val="Liststycke"/>
        <w:numPr>
          <w:ilvl w:val="0"/>
          <w:numId w:val="10"/>
        </w:numPr>
        <w:spacing w:before="100"/>
        <w:contextualSpacing w:val="0"/>
        <w:rPr>
          <w:color w:val="000000"/>
          <w:lang w:val="sv-SE"/>
        </w:rPr>
      </w:pPr>
      <w:r w:rsidRPr="00800D1B">
        <w:rPr>
          <w:color w:val="000000"/>
          <w:lang w:val="sv-SE"/>
        </w:rPr>
        <w:t>Piteå kommun,</w:t>
      </w:r>
    </w:p>
    <w:p w14:paraId="56E1708C" w14:textId="77777777" w:rsidR="002F380E" w:rsidRPr="00800D1B" w:rsidRDefault="002F380E">
      <w:pPr>
        <w:pStyle w:val="Liststycke"/>
        <w:numPr>
          <w:ilvl w:val="0"/>
          <w:numId w:val="10"/>
        </w:numPr>
        <w:spacing w:before="100"/>
        <w:contextualSpacing w:val="0"/>
        <w:rPr>
          <w:color w:val="000000"/>
          <w:lang w:val="sv-SE"/>
        </w:rPr>
      </w:pPr>
      <w:r w:rsidRPr="00800D1B">
        <w:rPr>
          <w:color w:val="000000"/>
          <w:lang w:val="sv-SE"/>
        </w:rPr>
        <w:t>Region Norrbotten, </w:t>
      </w:r>
    </w:p>
    <w:p w14:paraId="21A79D5A" w14:textId="77777777" w:rsidR="002F380E" w:rsidRPr="00800D1B" w:rsidRDefault="002F380E">
      <w:pPr>
        <w:pStyle w:val="Liststycke"/>
        <w:numPr>
          <w:ilvl w:val="0"/>
          <w:numId w:val="10"/>
        </w:numPr>
        <w:spacing w:before="100"/>
        <w:contextualSpacing w:val="0"/>
        <w:rPr>
          <w:color w:val="000000"/>
          <w:lang w:val="sv-SE"/>
        </w:rPr>
      </w:pPr>
      <w:r w:rsidRPr="00800D1B">
        <w:rPr>
          <w:color w:val="000000"/>
          <w:lang w:val="sv-SE"/>
        </w:rPr>
        <w:t>Teknikcollege Norrbotten och </w:t>
      </w:r>
    </w:p>
    <w:p w14:paraId="364C4E27" w14:textId="77777777" w:rsidR="002F380E" w:rsidRPr="00800D1B" w:rsidRDefault="002F380E">
      <w:pPr>
        <w:pStyle w:val="Liststycke"/>
        <w:numPr>
          <w:ilvl w:val="0"/>
          <w:numId w:val="10"/>
        </w:numPr>
        <w:spacing w:before="100"/>
        <w:contextualSpacing w:val="0"/>
        <w:rPr>
          <w:color w:val="000000"/>
          <w:lang w:val="sv-SE"/>
        </w:rPr>
      </w:pPr>
      <w:r w:rsidRPr="00800D1B">
        <w:rPr>
          <w:color w:val="000000"/>
          <w:lang w:val="sv-SE"/>
        </w:rPr>
        <w:t>Vård- och omsorgscollege. </w:t>
      </w:r>
    </w:p>
    <w:p w14:paraId="285EFA72" w14:textId="3509E4B4" w:rsidR="002F380E" w:rsidRPr="00800D1B" w:rsidRDefault="002F380E" w:rsidP="0065165D">
      <w:pPr>
        <w:spacing w:before="100"/>
        <w:ind w:left="72"/>
        <w:rPr>
          <w:color w:val="000000"/>
          <w:lang w:val="sv-SE"/>
        </w:rPr>
      </w:pPr>
      <w:r w:rsidRPr="00800D1B">
        <w:rPr>
          <w:color w:val="000000"/>
          <w:lang w:val="sv-SE"/>
        </w:rPr>
        <w:t xml:space="preserve">I uppdraget för programskrivningen ingår integrering av Agenda 2030 inklusive de tre hållbarhetsaspekterna social, ekonomisk och miljömässig hållbarhet. Hållbarhetsintegrering av regionalfondprogrammen år 2021–2027 har en direkt koppling till Tillväxtverkets regeringsuppdrag Att utveckla och stärka arbetet med hållbar utveckling inom det regionala utvecklingsarbetet 2019–2023, där regionerna erbjudits att delta och har beviljats finansiering. Finansieringen bygger på två obligatoriska och två egenprioriterade delar, där hållbarhetsintegrering av Eruf utgör ett obligatoriskt insatsområde. Från Region Norrbotten har ansvarig strateg för genomförande av hållbarhetsuppdraget i Norrbotten ingått i skrivargruppen för programskrivningen. Nära samarbete har förts med ansvarig strateg i </w:t>
      </w:r>
      <w:r w:rsidR="0065165D" w:rsidRPr="00800D1B">
        <w:rPr>
          <w:color w:val="000000"/>
          <w:lang w:val="sv-SE"/>
        </w:rPr>
        <mc:AlternateContent>
          <mc:Choice Requires="wps">
            <w:drawing>
              <wp:anchor distT="0" distB="0" distL="114300" distR="114300" simplePos="0" relativeHeight="251684864" behindDoc="0" locked="0" layoutInCell="1" allowOverlap="1" wp14:anchorId="57979446" wp14:editId="3AFC996E">
                <wp:simplePos x="0" y="0"/>
                <wp:positionH relativeFrom="column">
                  <wp:posOffset>7620</wp:posOffset>
                </wp:positionH>
                <wp:positionV relativeFrom="paragraph">
                  <wp:posOffset>-30480</wp:posOffset>
                </wp:positionV>
                <wp:extent cx="6499860" cy="6690360"/>
                <wp:effectExtent l="0" t="0" r="15240" b="15240"/>
                <wp:wrapNone/>
                <wp:docPr id="4" name="Rectangl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499860" cy="66903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FF91CEA" id="Rectangle 4" o:spid="_x0000_s1026" alt="&quot;&quot;" style="position:absolute;margin-left:.6pt;margin-top:-2.4pt;width:511.8pt;height:526.8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" filled="f" strokecolor="black [3213]" strokeweight=".5pt"/>
            </w:pict>
          </mc:Fallback>
        </mc:AlternateContent>
      </w:r>
      <w:r w:rsidRPr="00800D1B">
        <w:rPr>
          <w:color w:val="000000"/>
          <w:lang w:val="sv-SE"/>
        </w:rPr>
        <w:t>Västerbotten. Goda kunskaper om Agenda 2030 har därtill funnits i skrivargruppen för programmet. Utöver det har expertkunskaper inhämtats från Länsstyrelsen i Norrbottens län och Jämställdhetsmyndigheten. Den senare har lämnat skriftligt inspel i särskild ordning om hållbarhetsperspektiven, och har lämnat inspel på programutkast i två omgångar. Både Länsstyrelsen i Norrbottens län och Jämställdhetsmyndigheten ingår i Tillväxtverkets myndighetsgrupp kopplat till regeringsuppdraget. Utöver inhämtande av expertkunskaper har vi i programskrivningen även nyttjat det stöd som erbjudits regionerna via Tillväxtverkets upphandlade processtöd (Ramboll) kopplat till regeringsuppdraget. Vid en inledande workshop kunde vi påverka vilket stöd vi ville ha i processen.Därefter erbjöd Ramboll kunskapsstöd om hållbarhetsintegrering, interventionslogik och gav inspel på programutkastet i två omgångar. Regionernas kunskaper och erfarenheter om hållbarhetsintegrering från programskrivningen av Eruf kommer så långt som möjligt integreras i övriga nya program som vi ansvarar eller medverkar i inom sammanhållningspolitiken. </w:t>
      </w:r>
    </w:p>
    <w:p w14:paraId="5EBABDCE" w14:textId="77777777" w:rsidR="002F380E" w:rsidRPr="00800D1B" w:rsidRDefault="002F380E" w:rsidP="0065165D">
      <w:pPr>
        <w:spacing w:before="100"/>
        <w:ind w:left="72"/>
        <w:rPr>
          <w:color w:val="000000"/>
          <w:lang w:val="sv-SE"/>
        </w:rPr>
      </w:pPr>
      <w:r w:rsidRPr="00800D1B">
        <w:rPr>
          <w:color w:val="000000"/>
          <w:lang w:val="sv-SE"/>
        </w:rPr>
        <w:t>Även i genomförandet av programmet, inklusive övervakning och utvärdering, kommer partnerskapsprincipen att vara viktig genom bland annat övervakningskommittén och strukturfondspartnerskapet.</w:t>
      </w:r>
    </w:p>
    <w:p w14:paraId="3D10723C" w14:textId="77777777" w:rsidR="002F380E" w:rsidRPr="00800D1B" w:rsidRDefault="002F380E" w:rsidP="00BD52ED">
      <w:pPr>
        <w:pStyle w:val="Rubrik3"/>
        <w:numPr>
          <w:ilvl w:val="0"/>
          <w:numId w:val="0"/>
        </w:numPr>
        <w:spacing w:before="100" w:after="100"/>
        <w:ind w:left="90"/>
        <w:contextualSpacing w:val="0"/>
        <w:rPr>
          <w:b/>
          <w:bCs/>
          <w:lang w:val="sv-SE"/>
        </w:rPr>
      </w:pPr>
      <w:r w:rsidRPr="00800D1B">
        <w:rPr>
          <w:b/>
          <w:bCs/>
          <w:lang w:val="sv-SE"/>
        </w:rPr>
        <w:t xml:space="preserve">Övervakningskommittén </w:t>
      </w:r>
    </w:p>
    <w:p w14:paraId="3AFB3EF0" w14:textId="77777777" w:rsidR="002F380E" w:rsidRPr="00800D1B" w:rsidRDefault="002F380E" w:rsidP="0065165D">
      <w:pPr>
        <w:spacing w:before="100"/>
        <w:ind w:left="72"/>
        <w:rPr>
          <w:color w:val="000000"/>
          <w:lang w:val="sv-SE"/>
        </w:rPr>
      </w:pPr>
      <w:r w:rsidRPr="00800D1B">
        <w:rPr>
          <w:color w:val="000000"/>
          <w:lang w:val="sv-SE"/>
        </w:rPr>
        <w:t>Medlemsstaten ska inrätta en övervakningskommitté för att övervaka genomförandet av programmet. Övervakningskommitténs sammansättning och uppgifter framgår av förordningen om gemensamma bestämmelser. För de åtta regionala programmen och det nationella regionalfondsprogrammet inrättas en gemensam övervakningskommitté med representanter för berörda aktörer i enlighet med förordningen. Regeringen återkommer i särskild ordning vad gäller kommitténs sammansättning och arbetssätt. I tillsättandet och genomförandet av arbetet i övervakningskommittén kommer partnerskapsprincipen att beaktas.</w:t>
      </w:r>
    </w:p>
    <w:p w14:paraId="53AA608B" w14:textId="77777777" w:rsidR="002F380E" w:rsidRPr="00800D1B" w:rsidRDefault="002F380E" w:rsidP="00BD52ED">
      <w:pPr>
        <w:pStyle w:val="Rubrik3"/>
        <w:numPr>
          <w:ilvl w:val="0"/>
          <w:numId w:val="0"/>
        </w:numPr>
        <w:spacing w:before="100" w:after="100"/>
        <w:ind w:left="90"/>
        <w:contextualSpacing w:val="0"/>
        <w:rPr>
          <w:b/>
          <w:bCs/>
          <w:lang w:val="sv-SE"/>
        </w:rPr>
      </w:pPr>
      <w:r w:rsidRPr="00800D1B">
        <w:rPr>
          <w:b/>
          <w:bCs/>
          <w:lang w:val="sv-SE"/>
        </w:rPr>
        <w:t>Strukturfondspartnerskapen</w:t>
      </w:r>
    </w:p>
    <w:p w14:paraId="4A4688CA" w14:textId="6DBB396F" w:rsidR="002F380E" w:rsidRPr="00800D1B" w:rsidRDefault="002F380E" w:rsidP="0065165D">
      <w:pPr>
        <w:spacing w:before="100"/>
        <w:ind w:left="72"/>
        <w:rPr>
          <w:color w:val="000000"/>
          <w:lang w:val="sv-SE"/>
        </w:rPr>
      </w:pPr>
      <w:r w:rsidRPr="00800D1B">
        <w:rPr>
          <w:color w:val="000000"/>
          <w:lang w:val="sv-SE"/>
        </w:rPr>
        <w:t>Inom ramen för svensk förvaltning av Europeiska regionala utvecklingsfonden och Europeiska socialfonden+ ska strukturfondspartnerskap bildas inom varje geografiskt område för de regionala programmen för Europeiska regionala utvecklingsfonden och motsvarande regional handlingsplan för Europeiska Socialfonden+. Strukturfondspartnerskapet ska prioritera mellan av förvaltande myndighet godkända ansökningar. I enlighet med lagen (2007:459) om strukturfondspartnerskap ska ett strukturfondspartnerskap vara sammansatt av förtroendevalda representanter för kommuner och regioner i berörda län samt Sametinget (i vissa fall), företrädare för arbetsmarknadens organisationer, berörda intresseorganisationer, föreningar, och företrädare för de myndigheter som regeringen bestämmer. Regeringen utser ordförande för strukturfondspartnerskapet. Ordföranden utser övriga ledamöter i strukturfondspartnerskapet. Alternativ till det svenska systemet med regionala strukturfondspartnerskap kommer dock att utredas.</w:t>
      </w:r>
    </w:p>
    <w:p w14:paraId="405F4650" w14:textId="77777777" w:rsidR="00947135" w:rsidRPr="00800D1B" w:rsidRDefault="00947135" w:rsidP="0065165D">
      <w:pPr>
        <w:spacing w:before="100"/>
        <w:ind w:left="72"/>
        <w:rPr>
          <w:color w:val="000000"/>
          <w:lang w:val="sv-SE"/>
        </w:rPr>
        <w:sectPr w:rsidR="00947135" w:rsidRPr="00800D1B" w:rsidSect="0065165D">
          <w:headerReference w:type="even" r:id="rId98"/>
          <w:headerReference w:type="default" r:id="rId99"/>
          <w:footerReference w:type="even" r:id="rId100"/>
          <w:footerReference w:type="default" r:id="rId101"/>
          <w:headerReference w:type="first" r:id="rId102"/>
          <w:footerReference w:type="first" r:id="rId103"/>
          <w:type w:val="continuous"/>
          <w:pgSz w:w="11906" w:h="16838"/>
          <w:pgMar w:top="720" w:right="936" w:bottom="864" w:left="720" w:header="0" w:footer="72" w:gutter="0"/>
          <w:cols w:space="720"/>
          <w:noEndnote/>
          <w:docGrid w:linePitch="360"/>
        </w:sectPr>
      </w:pPr>
    </w:p>
    <w:p w14:paraId="2D066C69" w14:textId="3D75D7B0" w:rsidR="00A77B3E" w:rsidRPr="00800D1B" w:rsidRDefault="00623E14" w:rsidP="0065165D">
      <w:pPr>
        <w:pStyle w:val="Rubrik2"/>
        <w:spacing w:before="100"/>
        <w:ind w:left="180" w:hanging="180"/>
        <w:rPr>
          <w:lang w:val="sv-SE"/>
        </w:rPr>
      </w:pPr>
      <w:bookmarkStart w:id="224" w:name="_Toc256000465"/>
      <w:r w:rsidRPr="00800D1B">
        <w:rPr>
          <w:lang w:val="sv-SE"/>
        </w:rPr>
        <w:t>Kommunikation och synlighet</w:t>
      </w:r>
      <w:bookmarkEnd w:id="224"/>
    </w:p>
    <w:p w14:paraId="2D066C6A" w14:textId="77777777" w:rsidR="00A77B3E" w:rsidRPr="00800D1B" w:rsidRDefault="00623E14" w:rsidP="00A275C4">
      <w:pPr>
        <w:spacing w:before="100"/>
        <w:rPr>
          <w:color w:val="000000"/>
          <w:sz w:val="16"/>
          <w:lang w:val="sv-SE"/>
        </w:rPr>
      </w:pPr>
      <w:r w:rsidRPr="00800D1B">
        <w:rPr>
          <w:color w:val="000000"/>
          <w:lang w:val="sv-SE"/>
        </w:rPr>
        <w:t>Referens: artikel 22.3 j i förordningen om gemensamma bestämmelser</w:t>
      </w:r>
    </w:p>
    <w:p w14:paraId="2531F88E" w14:textId="183BE473" w:rsidR="00F40231" w:rsidRPr="00800D1B" w:rsidRDefault="00F40231" w:rsidP="00A275C4">
      <w:pPr>
        <w:spacing w:before="360"/>
        <w:ind w:left="72"/>
        <w:rPr>
          <w:color w:val="000000"/>
          <w:lang w:val="sv-SE"/>
        </w:rPr>
      </w:pPr>
      <w:r w:rsidRPr="00800D1B">
        <w:rPr>
          <w:i/>
          <w:iCs/>
          <w:color w:val="000000"/>
          <w:lang w:val="sv-SE"/>
        </w:rPr>
        <mc:AlternateContent>
          <mc:Choice Requires="wps">
            <w:drawing>
              <wp:anchor distT="0" distB="0" distL="114300" distR="114300" simplePos="0" relativeHeight="251685888" behindDoc="0" locked="0" layoutInCell="1" allowOverlap="1" wp14:anchorId="4CB7CEDE" wp14:editId="6CDB7AA2">
                <wp:simplePos x="0" y="0"/>
                <wp:positionH relativeFrom="column">
                  <wp:posOffset>-5443</wp:posOffset>
                </wp:positionH>
                <wp:positionV relativeFrom="page">
                  <wp:posOffset>1017814</wp:posOffset>
                </wp:positionV>
                <wp:extent cx="6477000" cy="8953500"/>
                <wp:effectExtent l="0" t="0" r="19050" b="19050"/>
                <wp:wrapNone/>
                <wp:docPr id="10" name="Rectangle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477000" cy="89535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BE8BC2" id="Rectangle 10" o:spid="_x0000_s1026" alt="&quot;&quot;" style="position:absolute;margin-left:-.45pt;margin-top:80.15pt;width:510pt;height:705pt;z-index:25168588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" filled="f" strokecolor="black [3213]" strokeweight=".5pt">
                <w10:wrap anchory="page"/>
              </v:rect>
            </w:pict>
          </mc:Fallback>
        </mc:AlternateContent>
      </w:r>
      <w:r w:rsidRPr="00800D1B">
        <w:rPr>
          <w:i/>
          <w:iCs/>
          <w:color w:val="000000"/>
          <w:lang w:val="sv-SE"/>
        </w:rPr>
        <w:t>Denna strategi kompletteras av en årlig kommunikationsplan med planerade aktiviteter och indikatorer för uppföljning. De beskrivna aktiviteterna och hur de följs upp gäller generellt för alla de åtta regionala programmen om inget annat sägs. </w:t>
      </w:r>
    </w:p>
    <w:p w14:paraId="09191730" w14:textId="77777777" w:rsidR="00F40231" w:rsidRPr="00800D1B" w:rsidRDefault="00F40231" w:rsidP="00F40231">
      <w:pPr>
        <w:spacing w:before="100"/>
        <w:ind w:left="72"/>
        <w:rPr>
          <w:color w:val="000000"/>
          <w:lang w:val="sv-SE"/>
        </w:rPr>
      </w:pPr>
      <w:r w:rsidRPr="00800D1B">
        <w:rPr>
          <w:i/>
          <w:iCs/>
          <w:color w:val="000000"/>
          <w:lang w:val="sv-SE"/>
        </w:rPr>
        <w:t>Programperioden 2021–2027 kommunicerar förvaltande myndighet ett smartare, grönare och mer sammanlänkat Europa.</w:t>
      </w:r>
    </w:p>
    <w:p w14:paraId="229B3760" w14:textId="77777777" w:rsidR="00F40231" w:rsidRPr="00800D1B" w:rsidRDefault="00F40231" w:rsidP="00F40231">
      <w:pPr>
        <w:spacing w:before="100"/>
        <w:ind w:left="72"/>
        <w:rPr>
          <w:color w:val="000000"/>
          <w:lang w:val="sv-SE"/>
        </w:rPr>
      </w:pPr>
      <w:r w:rsidRPr="00800D1B">
        <w:rPr>
          <w:i/>
          <w:iCs/>
          <w:color w:val="000000"/>
          <w:lang w:val="sv-SE"/>
        </w:rPr>
        <w:t>Vi följer upp, utvärderar och berättar om projektens resultat genom indelningen miljö, klimat, kompetensförsörjning, forskning och innovation, företag och näringsliv, transporter och resande samt digitalisering och bredband. Indelningen finns bland annat på webben och i lägesrapporter och med den renodlar vi kommunikationen om fonden.</w:t>
      </w:r>
    </w:p>
    <w:p w14:paraId="37A8146C" w14:textId="77777777" w:rsidR="00F40231" w:rsidRPr="00800D1B" w:rsidRDefault="00F40231" w:rsidP="004C4004">
      <w:pPr>
        <w:pStyle w:val="Rubrik3"/>
        <w:numPr>
          <w:ilvl w:val="0"/>
          <w:numId w:val="0"/>
        </w:numPr>
        <w:spacing w:before="100" w:after="100"/>
        <w:contextualSpacing w:val="0"/>
        <w:rPr>
          <w:b/>
          <w:bCs/>
          <w:lang w:val="sv-SE"/>
        </w:rPr>
      </w:pPr>
      <w:r w:rsidRPr="00800D1B">
        <w:rPr>
          <w:b/>
          <w:bCs/>
          <w:lang w:val="sv-SE"/>
        </w:rPr>
        <w:t>Mål och indikatorer för utvärdering </w:t>
      </w:r>
    </w:p>
    <w:p w14:paraId="46245611" w14:textId="77777777" w:rsidR="00F40231" w:rsidRPr="00800D1B" w:rsidRDefault="00F40231" w:rsidP="00F40231">
      <w:pPr>
        <w:spacing w:before="100"/>
        <w:ind w:left="72"/>
        <w:rPr>
          <w:color w:val="000000"/>
          <w:lang w:val="sv-SE"/>
        </w:rPr>
      </w:pPr>
      <w:r w:rsidRPr="00800D1B">
        <w:rPr>
          <w:color w:val="000000"/>
          <w:lang w:val="sv-SE"/>
        </w:rPr>
        <w:t>Programmets målvärden följs upp kontinuerligt och rapporteras en gång per år till ÖK. Baseline= BL, målvärde= MV, aktivitetsindikator= AI, resultatindikator= RI</w:t>
      </w:r>
    </w:p>
    <w:p w14:paraId="7B06940D" w14:textId="77777777" w:rsidR="00F40231" w:rsidRPr="00800D1B" w:rsidRDefault="00F40231" w:rsidP="00BD3045">
      <w:pPr>
        <w:pStyle w:val="Liststycke"/>
        <w:numPr>
          <w:ilvl w:val="0"/>
          <w:numId w:val="60"/>
        </w:numPr>
        <w:tabs>
          <w:tab w:val="left" w:pos="240"/>
        </w:tabs>
        <w:spacing w:before="100"/>
        <w:ind w:hanging="450"/>
        <w:contextualSpacing w:val="0"/>
        <w:rPr>
          <w:b/>
          <w:bCs/>
          <w:color w:val="000000"/>
          <w:lang w:val="sv-SE"/>
        </w:rPr>
      </w:pPr>
      <w:r w:rsidRPr="00800D1B">
        <w:rPr>
          <w:b/>
          <w:bCs/>
          <w:color w:val="000000"/>
          <w:lang w:val="sv-SE"/>
        </w:rPr>
        <w:t>Öka kännedomen om programmets mål och resultat genom att transparent kommunicera nyttan med investeringarna på lokal, regional och nationell nivå. Belyst både genom nyttan för utvecklingen liksom för människorna som bor där.</w:t>
      </w:r>
    </w:p>
    <w:p w14:paraId="466ABAAC" w14:textId="77777777" w:rsidR="00F40231" w:rsidRPr="00800D1B" w:rsidRDefault="00F40231" w:rsidP="00F40231">
      <w:pPr>
        <w:spacing w:before="100"/>
        <w:ind w:left="72"/>
        <w:rPr>
          <w:color w:val="000000"/>
          <w:lang w:val="sv-SE"/>
        </w:rPr>
      </w:pPr>
      <w:r w:rsidRPr="00800D1B">
        <w:rPr>
          <w:b/>
          <w:bCs/>
          <w:color w:val="000000"/>
          <w:lang w:val="sv-SE"/>
        </w:rPr>
        <w:t xml:space="preserve">Kanaler: </w:t>
      </w:r>
      <w:r w:rsidRPr="00800D1B">
        <w:rPr>
          <w:color w:val="000000"/>
          <w:lang w:val="sv-SE"/>
        </w:rPr>
        <w:t>Resultatsidor på programspecifik och fondgemensam webb. Resultatfilmer och inlägg i sociala kanaler, nyhetsbrev, media och event. Stöd till projekten i att producera och kommunicera resultat. Insatser av strategisk betydelse får extra stöd.</w:t>
      </w:r>
    </w:p>
    <w:p w14:paraId="07882D62" w14:textId="77777777" w:rsidR="00F40231" w:rsidRPr="00800D1B" w:rsidRDefault="00F40231" w:rsidP="00F40231">
      <w:pPr>
        <w:spacing w:before="100"/>
        <w:ind w:left="72"/>
        <w:rPr>
          <w:color w:val="000000"/>
          <w:lang w:val="sv-SE"/>
        </w:rPr>
      </w:pPr>
      <w:r w:rsidRPr="00800D1B">
        <w:rPr>
          <w:b/>
          <w:bCs/>
          <w:color w:val="000000"/>
          <w:lang w:val="sv-SE"/>
        </w:rPr>
        <w:t>AI:</w:t>
      </w:r>
      <w:r w:rsidRPr="00800D1B">
        <w:rPr>
          <w:color w:val="000000"/>
          <w:lang w:val="sv-SE"/>
        </w:rPr>
        <w:t xml:space="preserve"> Sidvisningar resultatartiklar (BL: 4 artiklar med minst 100 visningar, MV: 10 artiklar minst 120 visningar).</w:t>
      </w:r>
    </w:p>
    <w:p w14:paraId="0E41B45D" w14:textId="77777777" w:rsidR="00F40231" w:rsidRPr="00800D1B" w:rsidRDefault="00F40231" w:rsidP="00F40231">
      <w:pPr>
        <w:spacing w:before="100"/>
        <w:ind w:left="72"/>
        <w:rPr>
          <w:color w:val="000000"/>
          <w:lang w:val="sv-SE"/>
        </w:rPr>
      </w:pPr>
      <w:r w:rsidRPr="00800D1B">
        <w:rPr>
          <w:b/>
          <w:bCs/>
          <w:color w:val="000000"/>
          <w:lang w:val="sv-SE"/>
        </w:rPr>
        <w:t>RI:</w:t>
      </w:r>
      <w:r w:rsidRPr="00800D1B">
        <w:rPr>
          <w:color w:val="000000"/>
          <w:lang w:val="sv-SE"/>
        </w:rPr>
        <w:t xml:space="preserve"> Exponering i sociala kanaler (BL: 3000/inlägg, MV: 4000). Engagemang i sociala kanaler per inlägg och program (BL: 3,4 %, MV: &gt;4 %) Genomslag i media: (MV: 10 artiklar/ år).</w:t>
      </w:r>
    </w:p>
    <w:p w14:paraId="09B10A43" w14:textId="77777777" w:rsidR="00F40231" w:rsidRPr="00800D1B" w:rsidRDefault="00F40231" w:rsidP="00F40231">
      <w:pPr>
        <w:spacing w:before="100"/>
        <w:ind w:left="72"/>
        <w:rPr>
          <w:color w:val="000000"/>
          <w:lang w:val="sv-SE"/>
        </w:rPr>
      </w:pPr>
      <w:r w:rsidRPr="00800D1B">
        <w:rPr>
          <w:b/>
          <w:bCs/>
          <w:color w:val="000000"/>
          <w:lang w:val="sv-SE"/>
        </w:rPr>
        <w:t>Målgrupp:</w:t>
      </w:r>
      <w:r w:rsidRPr="00800D1B">
        <w:rPr>
          <w:color w:val="000000"/>
          <w:lang w:val="sv-SE"/>
        </w:rPr>
        <w:t xml:space="preserve"> Allmänheten, media, opinionsbildare, potentiella projektägare.</w:t>
      </w:r>
    </w:p>
    <w:p w14:paraId="67E361D6" w14:textId="00AD8350" w:rsidR="00F40231" w:rsidRPr="00800D1B" w:rsidRDefault="00F40231" w:rsidP="00BD3045">
      <w:pPr>
        <w:pStyle w:val="Liststycke"/>
        <w:numPr>
          <w:ilvl w:val="0"/>
          <w:numId w:val="60"/>
        </w:numPr>
        <w:tabs>
          <w:tab w:val="left" w:pos="540"/>
        </w:tabs>
        <w:spacing w:before="440" w:after="100"/>
        <w:ind w:left="360" w:hanging="270"/>
        <w:contextualSpacing w:val="0"/>
        <w:rPr>
          <w:b/>
          <w:bCs/>
          <w:color w:val="000000"/>
          <w:lang w:val="sv-SE"/>
        </w:rPr>
      </w:pPr>
      <w:r w:rsidRPr="00800D1B">
        <w:rPr>
          <w:b/>
          <w:bCs/>
          <w:color w:val="000000"/>
          <w:lang w:val="sv-SE"/>
        </w:rPr>
        <w:t xml:space="preserve">Öka kunskap hos potentiella stödmottagare om finansieringsmöjligheterna </w:t>
      </w:r>
    </w:p>
    <w:p w14:paraId="78744004" w14:textId="77777777" w:rsidR="00F40231" w:rsidRPr="00800D1B" w:rsidRDefault="00F40231" w:rsidP="00A275C4">
      <w:pPr>
        <w:spacing w:before="100" w:after="400"/>
        <w:ind w:left="72"/>
        <w:rPr>
          <w:color w:val="000000"/>
          <w:lang w:val="sv-SE"/>
        </w:rPr>
      </w:pPr>
      <w:r w:rsidRPr="00800D1B">
        <w:rPr>
          <w:b/>
          <w:bCs/>
          <w:color w:val="000000"/>
          <w:lang w:val="sv-SE"/>
        </w:rPr>
        <w:t xml:space="preserve">Kanal: </w:t>
      </w:r>
      <w:r w:rsidRPr="00800D1B">
        <w:rPr>
          <w:color w:val="000000"/>
          <w:lang w:val="sv-SE"/>
        </w:rPr>
        <w:t>Inlägg om utlysningar i sociala kanaler. Information på programspecifik och fondgemensam webb. I nyhetsbrevet.</w:t>
      </w:r>
    </w:p>
    <w:p w14:paraId="1A19565E" w14:textId="77777777" w:rsidR="00F40231" w:rsidRPr="00800D1B" w:rsidRDefault="00F40231" w:rsidP="0013425E">
      <w:pPr>
        <w:spacing w:before="100" w:after="440"/>
        <w:ind w:left="72"/>
        <w:rPr>
          <w:color w:val="000000"/>
          <w:lang w:val="sv-SE"/>
        </w:rPr>
      </w:pPr>
      <w:r w:rsidRPr="00800D1B">
        <w:rPr>
          <w:b/>
          <w:bCs/>
          <w:color w:val="000000"/>
          <w:lang w:val="sv-SE"/>
        </w:rPr>
        <w:t>AI:</w:t>
      </w:r>
      <w:r w:rsidRPr="00800D1B">
        <w:rPr>
          <w:color w:val="000000"/>
          <w:lang w:val="sv-SE"/>
        </w:rPr>
        <w:t xml:space="preserve"> Sidvisningar utlysningar (BL: 0, MV: 300 per utlysning).</w:t>
      </w:r>
    </w:p>
    <w:p w14:paraId="4BECE1B7" w14:textId="77777777" w:rsidR="00F40231" w:rsidRPr="00800D1B" w:rsidRDefault="00F40231" w:rsidP="0013425E">
      <w:pPr>
        <w:spacing w:before="100" w:after="440"/>
        <w:ind w:left="72"/>
        <w:rPr>
          <w:color w:val="000000"/>
          <w:lang w:val="sv-SE"/>
        </w:rPr>
      </w:pPr>
      <w:r w:rsidRPr="00800D1B">
        <w:rPr>
          <w:b/>
          <w:bCs/>
          <w:color w:val="000000"/>
          <w:lang w:val="sv-SE"/>
        </w:rPr>
        <w:t>RI:</w:t>
      </w:r>
      <w:r w:rsidRPr="00800D1B">
        <w:rPr>
          <w:color w:val="000000"/>
          <w:lang w:val="sv-SE"/>
        </w:rPr>
        <w:t xml:space="preserve"> Engagemang i sociala kanaler (BL: 3,4 %, MV: &gt;4 %). Exponeringar (BL:3 000/inlägg, MV: 4 000). Prenumeranter nyhetsbrev (BL: 6 346, MV: 5 % ökning). Potentiella projektägare förstår utlysningarna (BL: 0, MV: 80 % förstår) Användarundersökning</w:t>
      </w:r>
    </w:p>
    <w:p w14:paraId="53F872C6" w14:textId="17C845DB" w:rsidR="00F40231" w:rsidRPr="00800D1B" w:rsidRDefault="00F40231" w:rsidP="00BD3045">
      <w:pPr>
        <w:pStyle w:val="Liststycke"/>
        <w:numPr>
          <w:ilvl w:val="0"/>
          <w:numId w:val="60"/>
        </w:numPr>
        <w:tabs>
          <w:tab w:val="left" w:pos="540"/>
        </w:tabs>
        <w:spacing w:before="440" w:after="100"/>
        <w:ind w:left="360" w:hanging="270"/>
        <w:contextualSpacing w:val="0"/>
        <w:rPr>
          <w:b/>
          <w:bCs/>
          <w:color w:val="000000"/>
          <w:lang w:val="sv-SE"/>
        </w:rPr>
      </w:pPr>
      <w:r w:rsidRPr="00800D1B">
        <w:rPr>
          <w:b/>
          <w:bCs/>
          <w:color w:val="000000"/>
          <w:lang w:val="sv-SE"/>
        </w:rPr>
        <w:t>Öka förmågan hos stödmottagare att genomföra projekt </w:t>
      </w:r>
    </w:p>
    <w:p w14:paraId="35701DE1" w14:textId="77777777" w:rsidR="00F40231" w:rsidRPr="00800D1B" w:rsidRDefault="00F40231" w:rsidP="00A275C4">
      <w:pPr>
        <w:spacing w:before="100" w:after="400"/>
        <w:ind w:left="72"/>
        <w:rPr>
          <w:color w:val="000000"/>
          <w:lang w:val="sv-SE"/>
        </w:rPr>
      </w:pPr>
      <w:r w:rsidRPr="00800D1B">
        <w:rPr>
          <w:b/>
          <w:bCs/>
          <w:color w:val="000000"/>
          <w:lang w:val="sv-SE"/>
        </w:rPr>
        <w:t xml:space="preserve">Kanal: </w:t>
      </w:r>
      <w:r w:rsidRPr="00800D1B">
        <w:rPr>
          <w:color w:val="000000"/>
          <w:lang w:val="sv-SE"/>
        </w:rPr>
        <w:t>I handboken för projekt, i film om förändringsteori, i informationsmöten.</w:t>
      </w:r>
    </w:p>
    <w:p w14:paraId="42D827DE" w14:textId="77777777" w:rsidR="00F40231" w:rsidRPr="00800D1B" w:rsidRDefault="00F40231" w:rsidP="00A275C4">
      <w:pPr>
        <w:spacing w:before="100" w:after="480"/>
        <w:ind w:left="72"/>
        <w:rPr>
          <w:color w:val="000000"/>
          <w:lang w:val="sv-SE"/>
        </w:rPr>
      </w:pPr>
      <w:r w:rsidRPr="00800D1B">
        <w:rPr>
          <w:b/>
          <w:bCs/>
          <w:color w:val="000000"/>
          <w:lang w:val="sv-SE"/>
        </w:rPr>
        <w:t>AI:</w:t>
      </w:r>
      <w:r w:rsidRPr="00800D1B">
        <w:rPr>
          <w:color w:val="000000"/>
          <w:lang w:val="sv-SE"/>
        </w:rPr>
        <w:t xml:space="preserve"> Sidvisningar i handboken (BL: 0, MV: 80 000/år) och filmvisningar (BL: 0, MV: 300/år). Läsbarhetsindex på webb under 45 (BL: 12 % under 45, MV: 20 %). Intervjuer med projekten.</w:t>
      </w:r>
    </w:p>
    <w:p w14:paraId="7D0F8F7E" w14:textId="164854C0" w:rsidR="00F40231" w:rsidRPr="00800D1B" w:rsidRDefault="00A73263" w:rsidP="00A275C4">
      <w:pPr>
        <w:spacing w:before="1920"/>
        <w:ind w:left="72"/>
        <w:rPr>
          <w:color w:val="000000"/>
          <w:lang w:val="sv-SE"/>
        </w:rPr>
      </w:pPr>
      <w:r w:rsidRPr="00800D1B">
        <w:rPr>
          <w:b/>
          <w:bCs/>
          <w:color w:val="000000"/>
          <w:lang w:val="sv-SE"/>
        </w:rPr>
        <mc:AlternateContent>
          <mc:Choice Requires="wps">
            <w:drawing>
              <wp:anchor distT="0" distB="0" distL="114300" distR="114300" simplePos="0" relativeHeight="251686912" behindDoc="0" locked="0" layoutInCell="1" allowOverlap="1" wp14:anchorId="4002F9DE" wp14:editId="7E697A55">
                <wp:simplePos x="0" y="0"/>
                <wp:positionH relativeFrom="column">
                  <wp:posOffset>-15240</wp:posOffset>
                </wp:positionH>
                <wp:positionV relativeFrom="page">
                  <wp:posOffset>403860</wp:posOffset>
                </wp:positionV>
                <wp:extent cx="6507480" cy="9037320"/>
                <wp:effectExtent l="0" t="0" r="26670" b="11430"/>
                <wp:wrapNone/>
                <wp:docPr id="24" name="Rectangle 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507480" cy="90373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56C533" id="Rectangle 24" o:spid="_x0000_s1026" alt="&quot;&quot;" style="position:absolute;margin-left:-1.2pt;margin-top:31.8pt;width:512.4pt;height:711.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" filled="f" strokecolor="black [3213]" strokeweight=".5pt">
                <w10:wrap anchory="page"/>
              </v:rect>
            </w:pict>
          </mc:Fallback>
        </mc:AlternateContent>
      </w:r>
      <w:r w:rsidR="00F40231" w:rsidRPr="00800D1B">
        <w:rPr>
          <w:b/>
          <w:bCs/>
          <w:color w:val="000000"/>
          <w:lang w:val="sv-SE"/>
        </w:rPr>
        <w:t xml:space="preserve">RI: </w:t>
      </w:r>
      <w:r w:rsidR="00F40231" w:rsidRPr="00800D1B">
        <w:rPr>
          <w:color w:val="000000"/>
          <w:lang w:val="sv-SE"/>
        </w:rPr>
        <w:t xml:space="preserve">Projektägares förmåga att genomföra projekt (BL: 0, MV: 80 % upplevd förmåga). </w:t>
      </w:r>
    </w:p>
    <w:p w14:paraId="5900CEFB" w14:textId="77777777" w:rsidR="00F40231" w:rsidRPr="00800D1B" w:rsidRDefault="00F40231" w:rsidP="00497963">
      <w:pPr>
        <w:pStyle w:val="Rubrik3"/>
        <w:numPr>
          <w:ilvl w:val="0"/>
          <w:numId w:val="0"/>
        </w:numPr>
        <w:spacing w:before="100" w:after="100"/>
        <w:ind w:left="72"/>
        <w:contextualSpacing w:val="0"/>
        <w:rPr>
          <w:b/>
          <w:bCs/>
          <w:lang w:val="sv-SE"/>
        </w:rPr>
      </w:pPr>
      <w:r w:rsidRPr="00800D1B">
        <w:rPr>
          <w:b/>
          <w:bCs/>
          <w:lang w:val="sv-SE"/>
        </w:rPr>
        <w:t xml:space="preserve">Målgrupper </w:t>
      </w:r>
    </w:p>
    <w:p w14:paraId="0F1156EB" w14:textId="1B89F352" w:rsidR="00F40231" w:rsidRPr="00800D1B" w:rsidRDefault="00F40231">
      <w:pPr>
        <w:pStyle w:val="Liststycke"/>
        <w:numPr>
          <w:ilvl w:val="0"/>
          <w:numId w:val="10"/>
        </w:numPr>
        <w:spacing w:before="100"/>
        <w:contextualSpacing w:val="0"/>
        <w:rPr>
          <w:color w:val="000000"/>
          <w:lang w:val="sv-SE"/>
        </w:rPr>
      </w:pPr>
      <w:r w:rsidRPr="00800D1B">
        <w:rPr>
          <w:b/>
          <w:bCs/>
          <w:color w:val="000000"/>
          <w:lang w:val="sv-SE"/>
        </w:rPr>
        <w:t>Befintliga och potentiella projektägare</w:t>
      </w:r>
      <w:r w:rsidRPr="00800D1B">
        <w:rPr>
          <w:color w:val="000000"/>
          <w:lang w:val="sv-SE"/>
        </w:rPr>
        <w:t>. De förstnämnda kan agera ambassadörer för programmen.</w:t>
      </w:r>
    </w:p>
    <w:p w14:paraId="27401FC8" w14:textId="77777777" w:rsidR="00F40231" w:rsidRPr="00800D1B" w:rsidRDefault="00F40231">
      <w:pPr>
        <w:pStyle w:val="Liststycke"/>
        <w:numPr>
          <w:ilvl w:val="0"/>
          <w:numId w:val="10"/>
        </w:numPr>
        <w:spacing w:before="100"/>
        <w:contextualSpacing w:val="0"/>
        <w:rPr>
          <w:color w:val="000000"/>
          <w:lang w:val="sv-SE"/>
        </w:rPr>
      </w:pPr>
      <w:r w:rsidRPr="00800D1B">
        <w:rPr>
          <w:b/>
          <w:bCs/>
          <w:color w:val="000000"/>
          <w:lang w:val="sv-SE"/>
        </w:rPr>
        <w:t xml:space="preserve">Allmänheten - </w:t>
      </w:r>
      <w:r w:rsidRPr="00800D1B">
        <w:rPr>
          <w:color w:val="000000"/>
          <w:lang w:val="sv-SE"/>
        </w:rPr>
        <w:t>för att föra EU närmare folket.</w:t>
      </w:r>
    </w:p>
    <w:p w14:paraId="62100E27" w14:textId="77777777" w:rsidR="00F40231" w:rsidRPr="00800D1B" w:rsidRDefault="00F40231">
      <w:pPr>
        <w:pStyle w:val="Liststycke"/>
        <w:numPr>
          <w:ilvl w:val="0"/>
          <w:numId w:val="10"/>
        </w:numPr>
        <w:spacing w:before="100"/>
        <w:contextualSpacing w:val="0"/>
        <w:rPr>
          <w:color w:val="000000"/>
          <w:lang w:val="sv-SE"/>
        </w:rPr>
      </w:pPr>
      <w:r w:rsidRPr="00800D1B">
        <w:rPr>
          <w:color w:val="000000"/>
          <w:lang w:val="sv-SE"/>
        </w:rPr>
        <w:t>Dessa nås via</w:t>
      </w:r>
      <w:r w:rsidRPr="00800D1B">
        <w:rPr>
          <w:b/>
          <w:bCs/>
          <w:color w:val="000000"/>
          <w:lang w:val="sv-SE"/>
        </w:rPr>
        <w:t xml:space="preserve"> media och opinionsbildare</w:t>
      </w:r>
      <w:r w:rsidRPr="00800D1B">
        <w:rPr>
          <w:color w:val="000000"/>
          <w:lang w:val="sv-SE"/>
        </w:rPr>
        <w:t>. Regional, nationell och fackpress kan sprida projektexempel, gärna de av strategisk betydelse, och berätta om investeringarnas strukturpåverkan.</w:t>
      </w:r>
    </w:p>
    <w:p w14:paraId="1CFBC77C" w14:textId="77777777" w:rsidR="00F40231" w:rsidRPr="00800D1B" w:rsidRDefault="00F40231">
      <w:pPr>
        <w:pStyle w:val="Liststycke"/>
        <w:numPr>
          <w:ilvl w:val="0"/>
          <w:numId w:val="10"/>
        </w:numPr>
        <w:spacing w:before="100"/>
        <w:contextualSpacing w:val="0"/>
        <w:rPr>
          <w:color w:val="000000"/>
          <w:lang w:val="sv-SE"/>
        </w:rPr>
      </w:pPr>
      <w:r w:rsidRPr="00800D1B">
        <w:rPr>
          <w:b/>
          <w:bCs/>
          <w:color w:val="000000"/>
          <w:lang w:val="sv-SE"/>
        </w:rPr>
        <w:t>Politiker</w:t>
      </w:r>
    </w:p>
    <w:p w14:paraId="0220A74F" w14:textId="77777777" w:rsidR="00F40231" w:rsidRPr="00800D1B" w:rsidRDefault="00F40231">
      <w:pPr>
        <w:pStyle w:val="Liststycke"/>
        <w:numPr>
          <w:ilvl w:val="0"/>
          <w:numId w:val="10"/>
        </w:numPr>
        <w:spacing w:before="100"/>
        <w:contextualSpacing w:val="0"/>
        <w:rPr>
          <w:color w:val="000000"/>
          <w:lang w:val="sv-SE"/>
        </w:rPr>
      </w:pPr>
      <w:r w:rsidRPr="00800D1B">
        <w:rPr>
          <w:b/>
          <w:bCs/>
          <w:color w:val="000000"/>
          <w:lang w:val="sv-SE"/>
        </w:rPr>
        <w:t>Regionerna</w:t>
      </w:r>
      <w:r w:rsidRPr="00800D1B">
        <w:rPr>
          <w:color w:val="000000"/>
          <w:lang w:val="sv-SE"/>
        </w:rPr>
        <w:t xml:space="preserve"> är en viktig partner för utvecklingsfrågor och i vidareförmedling av information.</w:t>
      </w:r>
    </w:p>
    <w:p w14:paraId="39BF2B36" w14:textId="77777777" w:rsidR="00F40231" w:rsidRPr="00800D1B" w:rsidRDefault="00F40231">
      <w:pPr>
        <w:pStyle w:val="Liststycke"/>
        <w:numPr>
          <w:ilvl w:val="0"/>
          <w:numId w:val="10"/>
        </w:numPr>
        <w:spacing w:before="100"/>
        <w:contextualSpacing w:val="0"/>
        <w:rPr>
          <w:color w:val="000000"/>
          <w:lang w:val="sv-SE"/>
        </w:rPr>
      </w:pPr>
      <w:r w:rsidRPr="00800D1B">
        <w:rPr>
          <w:b/>
          <w:bCs/>
          <w:color w:val="000000"/>
          <w:lang w:val="sv-SE"/>
        </w:rPr>
        <w:t>Strukturfondspartnerskap</w:t>
      </w:r>
    </w:p>
    <w:p w14:paraId="75E98238" w14:textId="77777777" w:rsidR="00F40231" w:rsidRPr="00800D1B" w:rsidRDefault="00F40231">
      <w:pPr>
        <w:pStyle w:val="Liststycke"/>
        <w:numPr>
          <w:ilvl w:val="0"/>
          <w:numId w:val="10"/>
        </w:numPr>
        <w:spacing w:before="100"/>
        <w:contextualSpacing w:val="0"/>
        <w:rPr>
          <w:color w:val="000000"/>
          <w:lang w:val="sv-SE"/>
        </w:rPr>
      </w:pPr>
      <w:r w:rsidRPr="00800D1B">
        <w:rPr>
          <w:b/>
          <w:bCs/>
          <w:color w:val="000000"/>
          <w:lang w:val="sv-SE"/>
        </w:rPr>
        <w:t>Övervakningskommitté, kommissionen och förvaltande myndigheter som omfattas av förordningen om gemensamma bestämmelser.</w:t>
      </w:r>
    </w:p>
    <w:p w14:paraId="1A3599C1" w14:textId="77777777" w:rsidR="00F40231" w:rsidRPr="00800D1B" w:rsidRDefault="00F40231" w:rsidP="00497963">
      <w:pPr>
        <w:pStyle w:val="Rubrik3"/>
        <w:numPr>
          <w:ilvl w:val="0"/>
          <w:numId w:val="0"/>
        </w:numPr>
        <w:spacing w:before="100" w:after="100"/>
        <w:ind w:left="72"/>
        <w:contextualSpacing w:val="0"/>
        <w:rPr>
          <w:b/>
          <w:bCs/>
          <w:lang w:val="sv-SE"/>
        </w:rPr>
      </w:pPr>
      <w:r w:rsidRPr="00800D1B">
        <w:rPr>
          <w:b/>
          <w:bCs/>
          <w:lang w:val="sv-SE"/>
        </w:rPr>
        <w:t xml:space="preserve">Övergripande åtgärder </w:t>
      </w:r>
    </w:p>
    <w:p w14:paraId="15583AE3" w14:textId="77777777" w:rsidR="00F40231" w:rsidRPr="00800D1B" w:rsidRDefault="00F40231">
      <w:pPr>
        <w:pStyle w:val="Liststycke"/>
        <w:numPr>
          <w:ilvl w:val="0"/>
          <w:numId w:val="10"/>
        </w:numPr>
        <w:spacing w:before="100"/>
        <w:contextualSpacing w:val="0"/>
        <w:rPr>
          <w:color w:val="000000"/>
          <w:lang w:val="sv-SE"/>
        </w:rPr>
      </w:pPr>
      <w:r w:rsidRPr="00800D1B">
        <w:rPr>
          <w:color w:val="000000"/>
          <w:lang w:val="sv-SE"/>
        </w:rPr>
        <w:t>Visa nyttan med investeringarna genom en resultatspridningsmodell som bygger på ett strategiskt val av resultat, till exempel portföljanalyserna. Säkerställa att insatser av strategisk betydelse kommuniceras i enlighet med regelverket.</w:t>
      </w:r>
    </w:p>
    <w:p w14:paraId="74D7CBA9" w14:textId="77777777" w:rsidR="00F40231" w:rsidRPr="00800D1B" w:rsidRDefault="00F40231">
      <w:pPr>
        <w:pStyle w:val="Liststycke"/>
        <w:numPr>
          <w:ilvl w:val="0"/>
          <w:numId w:val="10"/>
        </w:numPr>
        <w:spacing w:before="100"/>
        <w:contextualSpacing w:val="0"/>
        <w:rPr>
          <w:color w:val="000000"/>
          <w:lang w:val="sv-SE"/>
        </w:rPr>
      </w:pPr>
      <w:r w:rsidRPr="00800D1B">
        <w:rPr>
          <w:color w:val="000000"/>
          <w:lang w:val="sv-SE"/>
        </w:rPr>
        <w:t>Inkludera bakomliggande samhällsutmaning, nyttan för samhälle och individ samt siffror och statistik i allt innehåll som skapas, oavsett kanal.</w:t>
      </w:r>
    </w:p>
    <w:p w14:paraId="15AD1140" w14:textId="77777777" w:rsidR="00F40231" w:rsidRPr="00800D1B" w:rsidRDefault="00F40231">
      <w:pPr>
        <w:pStyle w:val="Liststycke"/>
        <w:numPr>
          <w:ilvl w:val="0"/>
          <w:numId w:val="10"/>
        </w:numPr>
        <w:spacing w:before="100"/>
        <w:contextualSpacing w:val="0"/>
        <w:rPr>
          <w:color w:val="000000"/>
          <w:lang w:val="sv-SE"/>
        </w:rPr>
      </w:pPr>
      <w:r w:rsidRPr="00800D1B">
        <w:rPr>
          <w:color w:val="000000"/>
          <w:lang w:val="sv-SE"/>
        </w:rPr>
        <w:t>Event under programperioden.</w:t>
      </w:r>
    </w:p>
    <w:p w14:paraId="2B7B8BA9" w14:textId="77777777" w:rsidR="00F40231" w:rsidRPr="00800D1B" w:rsidRDefault="00F40231">
      <w:pPr>
        <w:pStyle w:val="Liststycke"/>
        <w:numPr>
          <w:ilvl w:val="0"/>
          <w:numId w:val="10"/>
        </w:numPr>
        <w:spacing w:before="100"/>
        <w:contextualSpacing w:val="0"/>
        <w:rPr>
          <w:color w:val="000000"/>
          <w:lang w:val="sv-SE"/>
        </w:rPr>
      </w:pPr>
      <w:r w:rsidRPr="00800D1B">
        <w:rPr>
          <w:color w:val="000000"/>
          <w:lang w:val="sv-SE"/>
        </w:rPr>
        <w:t>Tillhandahålla stöd till projekt för att skapa och sprida resultat.</w:t>
      </w:r>
    </w:p>
    <w:p w14:paraId="3DA989D8" w14:textId="77777777" w:rsidR="00F40231" w:rsidRPr="00800D1B" w:rsidRDefault="00F40231">
      <w:pPr>
        <w:pStyle w:val="Liststycke"/>
        <w:numPr>
          <w:ilvl w:val="0"/>
          <w:numId w:val="10"/>
        </w:numPr>
        <w:spacing w:before="100"/>
        <w:contextualSpacing w:val="0"/>
        <w:rPr>
          <w:color w:val="000000"/>
          <w:lang w:val="sv-SE"/>
        </w:rPr>
      </w:pPr>
      <w:r w:rsidRPr="00800D1B">
        <w:rPr>
          <w:color w:val="000000"/>
          <w:lang w:val="sv-SE"/>
        </w:rPr>
        <w:t>Arbeta med övriga sju fonder som omfattas av förordningen om gemensamma bestämmelser. Stämma av aktiviteter med nationell kommunikationssamordnare för att avgöra vägval</w:t>
      </w:r>
    </w:p>
    <w:p w14:paraId="2C19E6D5" w14:textId="77777777" w:rsidR="00F40231" w:rsidRPr="00800D1B" w:rsidRDefault="00F40231" w:rsidP="00497963">
      <w:pPr>
        <w:pStyle w:val="Rubrik3"/>
        <w:numPr>
          <w:ilvl w:val="0"/>
          <w:numId w:val="0"/>
        </w:numPr>
        <w:spacing w:before="100" w:after="100"/>
        <w:ind w:left="72"/>
        <w:contextualSpacing w:val="0"/>
        <w:rPr>
          <w:b/>
          <w:bCs/>
          <w:lang w:val="sv-SE"/>
        </w:rPr>
      </w:pPr>
      <w:r w:rsidRPr="00800D1B">
        <w:rPr>
          <w:b/>
          <w:bCs/>
          <w:lang w:val="sv-SE"/>
        </w:rPr>
        <w:t>Kanaler</w:t>
      </w:r>
    </w:p>
    <w:p w14:paraId="78B9382A" w14:textId="3CA8553D" w:rsidR="00F40231" w:rsidRPr="00800D1B" w:rsidRDefault="00000000" w:rsidP="00F40231">
      <w:pPr>
        <w:spacing w:before="100"/>
        <w:ind w:left="72"/>
        <w:rPr>
          <w:color w:val="000000"/>
          <w:lang w:val="sv-SE"/>
        </w:rPr>
      </w:pPr>
      <w:hyperlink r:id="rId104" w:history="1">
        <w:r w:rsidR="00F40231" w:rsidRPr="00800D1B">
          <w:rPr>
            <w:rStyle w:val="Hyperlnk"/>
            <w:b/>
            <w:bCs/>
            <w:color w:val="000000" w:themeColor="text1"/>
            <w:u w:val="none"/>
            <w:lang w:val="sv-SE"/>
          </w:rPr>
          <w:t>tillvaxtverket.se -</w:t>
        </w:r>
      </w:hyperlink>
      <w:r w:rsidR="00F40231" w:rsidRPr="00800D1B">
        <w:rPr>
          <w:b/>
          <w:bCs/>
          <w:color w:val="FFFF00"/>
          <w:lang w:val="sv-SE"/>
        </w:rPr>
        <w:t xml:space="preserve"> </w:t>
      </w:r>
      <w:r w:rsidR="00F40231" w:rsidRPr="00800D1B">
        <w:rPr>
          <w:b/>
          <w:bCs/>
          <w:color w:val="000000"/>
          <w:lang w:val="sv-SE"/>
        </w:rPr>
        <w:t xml:space="preserve">den programspecifika webbsidan. </w:t>
      </w:r>
      <w:r w:rsidR="00F40231" w:rsidRPr="00800D1B">
        <w:rPr>
          <w:color w:val="000000"/>
          <w:lang w:val="sv-SE"/>
        </w:rPr>
        <w:t>Kunskap, nätverk och finansiering</w:t>
      </w:r>
      <w:r w:rsidR="00F40231" w:rsidRPr="00800D1B">
        <w:rPr>
          <w:b/>
          <w:bCs/>
          <w:color w:val="000000"/>
          <w:lang w:val="sv-SE"/>
        </w:rPr>
        <w:t xml:space="preserve"> </w:t>
      </w:r>
      <w:r w:rsidR="00F40231" w:rsidRPr="00800D1B">
        <w:rPr>
          <w:color w:val="000000"/>
          <w:lang w:val="sv-SE"/>
        </w:rPr>
        <w:t>i fokus. Huvudsaklig informationskälla för projekt.</w:t>
      </w:r>
    </w:p>
    <w:p w14:paraId="74ACABB3" w14:textId="77777777" w:rsidR="00F40231" w:rsidRPr="00800D1B" w:rsidRDefault="00F40231" w:rsidP="00F40231">
      <w:pPr>
        <w:spacing w:before="100"/>
        <w:ind w:left="72"/>
        <w:rPr>
          <w:color w:val="000000"/>
          <w:lang w:val="sv-SE"/>
        </w:rPr>
      </w:pPr>
      <w:r w:rsidRPr="00800D1B">
        <w:rPr>
          <w:b/>
          <w:bCs/>
          <w:color w:val="000000"/>
          <w:lang w:val="sv-SE"/>
        </w:rPr>
        <w:t>Fondgemensam webbportal</w:t>
      </w:r>
      <w:r w:rsidRPr="00800D1B">
        <w:rPr>
          <w:color w:val="000000"/>
          <w:lang w:val="sv-SE"/>
        </w:rPr>
        <w:t xml:space="preserve"> -</w:t>
      </w:r>
      <w:r w:rsidRPr="00800D1B">
        <w:rPr>
          <w:b/>
          <w:bCs/>
          <w:color w:val="000000"/>
          <w:lang w:val="sv-SE"/>
        </w:rPr>
        <w:t xml:space="preserve"> </w:t>
      </w:r>
      <w:r w:rsidRPr="00800D1B">
        <w:rPr>
          <w:color w:val="000000"/>
          <w:lang w:val="sv-SE"/>
        </w:rPr>
        <w:t>Information om de EU-fonder som omfattas av samma förordning.</w:t>
      </w:r>
    </w:p>
    <w:p w14:paraId="1F43E964" w14:textId="77777777" w:rsidR="00F40231" w:rsidRPr="00800D1B" w:rsidRDefault="00F40231" w:rsidP="00F40231">
      <w:pPr>
        <w:spacing w:before="100"/>
        <w:ind w:left="72"/>
        <w:rPr>
          <w:color w:val="000000"/>
          <w:lang w:val="sv-SE"/>
        </w:rPr>
      </w:pPr>
      <w:r w:rsidRPr="00800D1B">
        <w:rPr>
          <w:b/>
          <w:bCs/>
          <w:color w:val="000000"/>
          <w:lang w:val="sv-SE"/>
        </w:rPr>
        <w:t xml:space="preserve">Event och informationsmöten - </w:t>
      </w:r>
      <w:r w:rsidRPr="00800D1B">
        <w:rPr>
          <w:color w:val="000000"/>
          <w:lang w:val="sv-SE"/>
        </w:rPr>
        <w:t>Relationsbyggande.</w:t>
      </w:r>
    </w:p>
    <w:p w14:paraId="0B5D6272" w14:textId="77777777" w:rsidR="00F40231" w:rsidRPr="00800D1B" w:rsidRDefault="00F40231" w:rsidP="00F40231">
      <w:pPr>
        <w:spacing w:before="100"/>
        <w:ind w:left="72"/>
        <w:rPr>
          <w:color w:val="000000"/>
          <w:lang w:val="sv-SE"/>
        </w:rPr>
      </w:pPr>
      <w:r w:rsidRPr="00800D1B">
        <w:rPr>
          <w:b/>
          <w:bCs/>
          <w:color w:val="000000"/>
          <w:lang w:val="sv-SE"/>
        </w:rPr>
        <w:t>Media</w:t>
      </w:r>
      <w:r w:rsidRPr="00800D1B">
        <w:rPr>
          <w:color w:val="000000"/>
          <w:lang w:val="sv-SE"/>
        </w:rPr>
        <w:t xml:space="preserve"> - Resultat, utvärderingar och insatser av strategisk betydelse i fokus.</w:t>
      </w:r>
    </w:p>
    <w:p w14:paraId="18965CF9" w14:textId="77777777" w:rsidR="00F40231" w:rsidRPr="00800D1B" w:rsidRDefault="00F40231" w:rsidP="00F40231">
      <w:pPr>
        <w:spacing w:before="100"/>
        <w:ind w:left="72"/>
        <w:rPr>
          <w:color w:val="000000"/>
          <w:lang w:val="sv-SE"/>
        </w:rPr>
      </w:pPr>
      <w:r w:rsidRPr="00800D1B">
        <w:rPr>
          <w:b/>
          <w:bCs/>
          <w:color w:val="000000"/>
          <w:lang w:val="sv-SE"/>
        </w:rPr>
        <w:t xml:space="preserve">Sociala kanaler – </w:t>
      </w:r>
      <w:r w:rsidRPr="00800D1B">
        <w:rPr>
          <w:color w:val="000000"/>
          <w:lang w:val="sv-SE"/>
        </w:rPr>
        <w:t>I första hand Facebook, Instagram, Linkedin. Twitter i enstaka fall. Kanalval anpassas av kommunikationsprodukt. Med integrerad kommunikation låter vi olika kanaler förstärka varandra. Kanalerna anpassas från utbud och lämplighet och kan variera över tid. En del av budgeten avsätts årligen för att marknadsföra inlägg.</w:t>
      </w:r>
    </w:p>
    <w:p w14:paraId="5B7980B7" w14:textId="77777777" w:rsidR="00F40231" w:rsidRPr="00800D1B" w:rsidRDefault="00F40231" w:rsidP="00F40231">
      <w:pPr>
        <w:spacing w:before="100"/>
        <w:ind w:left="72"/>
        <w:rPr>
          <w:color w:val="000000"/>
          <w:lang w:val="sv-SE"/>
        </w:rPr>
      </w:pPr>
      <w:r w:rsidRPr="00800D1B">
        <w:rPr>
          <w:b/>
          <w:bCs/>
          <w:color w:val="000000"/>
          <w:lang w:val="sv-SE"/>
        </w:rPr>
        <w:t>Nyhetsbrev</w:t>
      </w:r>
      <w:r w:rsidRPr="00800D1B">
        <w:rPr>
          <w:color w:val="000000"/>
          <w:lang w:val="sv-SE"/>
        </w:rPr>
        <w:t xml:space="preserve"> - Utlysningar, resultat, inbjudningar.</w:t>
      </w:r>
    </w:p>
    <w:p w14:paraId="5F4BD887" w14:textId="77777777" w:rsidR="00F40231" w:rsidRPr="00800D1B" w:rsidRDefault="00F40231" w:rsidP="00F40231">
      <w:pPr>
        <w:spacing w:before="100"/>
        <w:ind w:left="72"/>
        <w:rPr>
          <w:color w:val="000000"/>
          <w:lang w:val="sv-SE"/>
        </w:rPr>
      </w:pPr>
      <w:r w:rsidRPr="00800D1B">
        <w:rPr>
          <w:b/>
          <w:bCs/>
          <w:color w:val="000000"/>
          <w:lang w:val="sv-SE"/>
        </w:rPr>
        <w:t>Bloggen</w:t>
      </w:r>
      <w:r w:rsidRPr="00800D1B">
        <w:rPr>
          <w:color w:val="000000"/>
          <w:lang w:val="sv-SE"/>
        </w:rPr>
        <w:t xml:space="preserve"> - Tillväxtverkets arbetssätt</w:t>
      </w:r>
    </w:p>
    <w:p w14:paraId="7BBE8A08" w14:textId="77777777" w:rsidR="00F40231" w:rsidRPr="00800D1B" w:rsidRDefault="00F40231" w:rsidP="00497963">
      <w:pPr>
        <w:pStyle w:val="Rubrik3"/>
        <w:numPr>
          <w:ilvl w:val="0"/>
          <w:numId w:val="0"/>
        </w:numPr>
        <w:spacing w:before="100" w:after="100"/>
        <w:ind w:left="72"/>
        <w:contextualSpacing w:val="0"/>
        <w:rPr>
          <w:b/>
          <w:bCs/>
          <w:lang w:val="sv-SE"/>
        </w:rPr>
      </w:pPr>
      <w:r w:rsidRPr="00800D1B">
        <w:rPr>
          <w:b/>
          <w:bCs/>
          <w:lang w:val="sv-SE"/>
        </w:rPr>
        <w:t>Budskap</w:t>
      </w:r>
    </w:p>
    <w:p w14:paraId="57C250B0" w14:textId="77777777" w:rsidR="00F40231" w:rsidRPr="00800D1B" w:rsidRDefault="00F40231" w:rsidP="00F40231">
      <w:pPr>
        <w:spacing w:before="100"/>
        <w:ind w:left="72"/>
        <w:rPr>
          <w:color w:val="000000"/>
          <w:lang w:val="sv-SE"/>
        </w:rPr>
      </w:pPr>
      <w:r w:rsidRPr="00800D1B">
        <w:rPr>
          <w:i/>
          <w:iCs/>
          <w:color w:val="000000"/>
          <w:lang w:val="sv-SE"/>
        </w:rPr>
        <w:t>“Tillsammans stärker vi hållbar regional utveckling”</w:t>
      </w:r>
    </w:p>
    <w:p w14:paraId="549E4C79" w14:textId="77777777" w:rsidR="00F40231" w:rsidRPr="00800D1B" w:rsidRDefault="00F40231" w:rsidP="00497963">
      <w:pPr>
        <w:pStyle w:val="Rubrik3"/>
        <w:numPr>
          <w:ilvl w:val="0"/>
          <w:numId w:val="0"/>
        </w:numPr>
        <w:spacing w:before="100" w:after="100"/>
        <w:ind w:left="72"/>
        <w:contextualSpacing w:val="0"/>
        <w:rPr>
          <w:b/>
          <w:bCs/>
          <w:lang w:val="sv-SE"/>
        </w:rPr>
      </w:pPr>
      <w:r w:rsidRPr="00800D1B">
        <w:rPr>
          <w:b/>
          <w:bCs/>
          <w:lang w:val="sv-SE"/>
        </w:rPr>
        <w:t>Budget</w:t>
      </w:r>
    </w:p>
    <w:p w14:paraId="57E8A44F" w14:textId="2849982F" w:rsidR="00F40231" w:rsidRPr="00800D1B" w:rsidRDefault="00F40231" w:rsidP="00F40231">
      <w:pPr>
        <w:spacing w:before="100"/>
        <w:ind w:left="72"/>
        <w:rPr>
          <w:color w:val="000000"/>
          <w:lang w:val="sv-SE"/>
        </w:rPr>
      </w:pPr>
      <w:r w:rsidRPr="00800D1B">
        <w:rPr>
          <w:color w:val="000000"/>
          <w:lang w:val="sv-SE"/>
        </w:rPr>
        <w:t>Cirka 200 000 euro per år för köpta tjänster och personal för samtliga nio regionalfondsprogram inom målet Investering för sysselsättning och tillväxt.</w:t>
      </w:r>
    </w:p>
    <w:p w14:paraId="41DDCA3A" w14:textId="77777777" w:rsidR="00497963" w:rsidRPr="00800D1B" w:rsidRDefault="00497963" w:rsidP="00F40231">
      <w:pPr>
        <w:spacing w:before="100"/>
        <w:ind w:left="72"/>
        <w:rPr>
          <w:color w:val="000000"/>
          <w:lang w:val="sv-SE"/>
        </w:rPr>
        <w:sectPr w:rsidR="00497963" w:rsidRPr="00800D1B" w:rsidSect="00947135">
          <w:pgSz w:w="11906" w:h="16838"/>
          <w:pgMar w:top="720" w:right="936" w:bottom="864" w:left="720" w:header="0" w:footer="72" w:gutter="0"/>
          <w:cols w:space="720"/>
          <w:noEndnote/>
          <w:docGrid w:linePitch="360"/>
        </w:sectPr>
      </w:pPr>
    </w:p>
    <w:p w14:paraId="2D066CA2" w14:textId="77C9D257" w:rsidR="00A77B3E" w:rsidRPr="00800D1B" w:rsidRDefault="00623E14" w:rsidP="00F40231">
      <w:pPr>
        <w:pStyle w:val="Rubrik2"/>
        <w:spacing w:before="100"/>
        <w:ind w:left="180" w:hanging="180"/>
        <w:rPr>
          <w:lang w:val="sv-SE"/>
        </w:rPr>
      </w:pPr>
      <w:bookmarkStart w:id="225" w:name="_Toc256000466"/>
      <w:r w:rsidRPr="00800D1B">
        <w:rPr>
          <w:lang w:val="sv-SE"/>
        </w:rPr>
        <w:t>Användning av enhetskostnader, enhetsbelopp, schablonsatser och finansiering utan koppling till kostnader</w:t>
      </w:r>
      <w:bookmarkEnd w:id="225"/>
    </w:p>
    <w:p w14:paraId="2D066CA3" w14:textId="77777777" w:rsidR="00A77B3E" w:rsidRPr="00800D1B" w:rsidRDefault="00623E14">
      <w:pPr>
        <w:spacing w:before="100"/>
        <w:rPr>
          <w:color w:val="000000"/>
          <w:sz w:val="12"/>
          <w:lang w:val="sv-SE"/>
        </w:rPr>
      </w:pPr>
      <w:r w:rsidRPr="00800D1B">
        <w:rPr>
          <w:color w:val="000000"/>
          <w:lang w:val="sv-SE"/>
        </w:rPr>
        <w:t>Referens: artiklarna 94 och 95 i förordningen om gemensamma bestämmelser</w:t>
      </w:r>
    </w:p>
    <w:p w14:paraId="2D066CA4" w14:textId="397FA4A6" w:rsidR="00A77B3E" w:rsidRPr="00800D1B" w:rsidRDefault="00623E14" w:rsidP="00F40231">
      <w:pPr>
        <w:pStyle w:val="Rubrik3"/>
        <w:numPr>
          <w:ilvl w:val="0"/>
          <w:numId w:val="0"/>
        </w:numPr>
        <w:spacing w:before="300" w:after="100"/>
        <w:contextualSpacing w:val="0"/>
        <w:rPr>
          <w:lang w:val="sv-SE"/>
        </w:rPr>
      </w:pPr>
      <w:bookmarkStart w:id="226" w:name="_Toc256000467"/>
      <w:r w:rsidRPr="00800D1B">
        <w:rPr>
          <w:lang w:val="sv-SE"/>
        </w:rPr>
        <w:t>Tabell 14: Användning av enhetskostnader, enhetsbelopp, schablonsatser och finansiering utan koppling till kostnader</w:t>
      </w:r>
      <w:bookmarkEnd w:id="226"/>
    </w:p>
    <w:tbl>
      <w:tblPr>
        <w:tblStyle w:val="Tabellrutnt"/>
        <w:tblW w:w="5000" w:type="pct"/>
        <w:tblLook w:val="04A0" w:firstRow="1" w:lastRow="0" w:firstColumn="1" w:lastColumn="0" w:noHBand="0" w:noVBand="1"/>
        <w:tblDescription w:val="En tabell med tre kolumner: Avsedd användning av artiklarna 94 och 95 i förordningen om gemensamma bestämmelser; Ja; Nej. Tabellen visar information om Användning av enhetskostnader, enhetsbelopp, schablonsatser och finansiering utan koppling till kostnader."/>
      </w:tblPr>
      <w:tblGrid>
        <w:gridCol w:w="9335"/>
        <w:gridCol w:w="430"/>
        <w:gridCol w:w="475"/>
      </w:tblGrid>
      <w:tr w:rsidR="003422DB" w:rsidRPr="00800D1B" w14:paraId="2D066CA9" w14:textId="77777777" w:rsidTr="00A26CDD">
        <w:tc>
          <w:tcPr>
            <w:tcW w:w="0" w:type="auto"/>
          </w:tcPr>
          <w:p w14:paraId="2D066CA6" w14:textId="77777777" w:rsidR="00A77B3E" w:rsidRPr="00800D1B" w:rsidRDefault="00623E14" w:rsidP="00A26CDD">
            <w:pPr>
              <w:spacing w:before="100" w:after="100"/>
              <w:ind w:left="-72"/>
              <w:jc w:val="center"/>
              <w:rPr>
                <w:color w:val="000000"/>
                <w:sz w:val="20"/>
                <w:lang w:val="sv-SE"/>
              </w:rPr>
            </w:pPr>
            <w:r w:rsidRPr="00800D1B">
              <w:rPr>
                <w:color w:val="000000"/>
                <w:sz w:val="20"/>
                <w:lang w:val="sv-SE"/>
              </w:rPr>
              <w:t>Avsedd användning av artiklarna 94 och 95 i förordningen om gemensamma bestämmelser</w:t>
            </w:r>
          </w:p>
        </w:tc>
        <w:tc>
          <w:tcPr>
            <w:tcW w:w="0" w:type="auto"/>
          </w:tcPr>
          <w:p w14:paraId="2D066CA7" w14:textId="77777777" w:rsidR="00A77B3E" w:rsidRPr="00800D1B" w:rsidRDefault="00623E14" w:rsidP="00A26CDD">
            <w:pPr>
              <w:spacing w:before="100" w:after="100"/>
              <w:ind w:left="-72"/>
              <w:jc w:val="center"/>
              <w:rPr>
                <w:color w:val="000000"/>
                <w:sz w:val="20"/>
                <w:lang w:val="sv-SE"/>
              </w:rPr>
            </w:pPr>
            <w:r w:rsidRPr="00800D1B">
              <w:rPr>
                <w:color w:val="000000"/>
                <w:sz w:val="20"/>
                <w:lang w:val="sv-SE"/>
              </w:rPr>
              <w:t>Ja</w:t>
            </w:r>
          </w:p>
        </w:tc>
        <w:tc>
          <w:tcPr>
            <w:tcW w:w="0" w:type="auto"/>
          </w:tcPr>
          <w:p w14:paraId="2D066CA8" w14:textId="77777777" w:rsidR="00A77B3E" w:rsidRPr="00800D1B" w:rsidRDefault="00623E14" w:rsidP="00A26CDD">
            <w:pPr>
              <w:spacing w:before="100" w:after="100"/>
              <w:ind w:left="-72"/>
              <w:jc w:val="center"/>
              <w:rPr>
                <w:color w:val="000000"/>
                <w:sz w:val="20"/>
                <w:lang w:val="sv-SE"/>
              </w:rPr>
            </w:pPr>
            <w:r w:rsidRPr="00800D1B">
              <w:rPr>
                <w:color w:val="000000"/>
                <w:sz w:val="20"/>
                <w:lang w:val="sv-SE"/>
              </w:rPr>
              <w:t>Nej</w:t>
            </w:r>
          </w:p>
        </w:tc>
      </w:tr>
      <w:tr w:rsidR="003422DB" w:rsidRPr="00800D1B" w14:paraId="2D066CAD" w14:textId="77777777" w:rsidTr="00A26CDD">
        <w:tc>
          <w:tcPr>
            <w:tcW w:w="0" w:type="auto"/>
          </w:tcPr>
          <w:p w14:paraId="2D066CAA" w14:textId="77777777" w:rsidR="00A77B3E" w:rsidRPr="00800D1B" w:rsidRDefault="00623E14" w:rsidP="00A26CDD">
            <w:pPr>
              <w:spacing w:before="100" w:after="100"/>
              <w:ind w:left="-72"/>
              <w:rPr>
                <w:color w:val="000000"/>
                <w:sz w:val="20"/>
                <w:lang w:val="sv-SE"/>
              </w:rPr>
            </w:pPr>
            <w:r w:rsidRPr="00800D1B">
              <w:rPr>
                <w:color w:val="000000"/>
                <w:sz w:val="20"/>
                <w:lang w:val="sv-SE"/>
              </w:rPr>
              <w:t>Från och med antagandet kommer programmet att använda ersättning av unionens bidrag på grundval av enhetskostnader, enhetsbelopp och schablonsatser inom en prioritering i enlighet med artikel 94 i förordningen om gemensamma bestämmelser</w:t>
            </w:r>
          </w:p>
        </w:tc>
        <w:tc>
          <w:tcPr>
            <w:tcW w:w="0" w:type="auto"/>
          </w:tcPr>
          <w:p w14:paraId="2D066CAB" w14:textId="7A683679" w:rsidR="00A77B3E" w:rsidRPr="00800D1B" w:rsidRDefault="00891E00" w:rsidP="00A26CDD">
            <w:pPr>
              <w:spacing w:before="100" w:after="100"/>
              <w:ind w:left="-72"/>
              <w:rPr>
                <w:color w:val="000000"/>
                <w:sz w:val="18"/>
                <w:szCs w:val="18"/>
                <w:lang w:val="sv-SE"/>
              </w:rPr>
            </w:pPr>
            <w:r w:rsidRPr="00800D1B">
              <w:rPr>
                <w:rFonts w:ascii="Segoe UI Emoji" w:hAnsi="Segoe UI Emoji" w:cs="Segoe UI Emoji"/>
                <w:color w:val="000000"/>
                <w:sz w:val="18"/>
                <w:szCs w:val="18"/>
                <w:lang w:val="sv-SE"/>
              </w:rPr>
              <w:t>⬜</w:t>
            </w:r>
          </w:p>
        </w:tc>
        <w:tc>
          <w:tcPr>
            <w:tcW w:w="0" w:type="auto"/>
          </w:tcPr>
          <w:p w14:paraId="2D066CAC" w14:textId="68F3C417" w:rsidR="00A77B3E" w:rsidRPr="00800D1B" w:rsidRDefault="00891E00" w:rsidP="00A26CDD">
            <w:pPr>
              <w:spacing w:before="100" w:after="100"/>
              <w:ind w:left="-72"/>
              <w:rPr>
                <w:color w:val="000000"/>
                <w:sz w:val="18"/>
                <w:szCs w:val="18"/>
                <w:lang w:val="sv-SE"/>
              </w:rPr>
            </w:pPr>
            <w:r w:rsidRPr="00800D1B">
              <w:rPr>
                <w:rFonts w:ascii="Segoe UI Emoji" w:hAnsi="Segoe UI Emoji" w:cs="Segoe UI Emoji"/>
                <w:color w:val="000000"/>
                <w:sz w:val="18"/>
                <w:szCs w:val="18"/>
                <w:lang w:val="sv-SE"/>
              </w:rPr>
              <w:t>⬜</w:t>
            </w:r>
          </w:p>
        </w:tc>
      </w:tr>
      <w:tr w:rsidR="003422DB" w:rsidRPr="00800D1B" w14:paraId="2D066CB1" w14:textId="77777777" w:rsidTr="00A26CDD">
        <w:tc>
          <w:tcPr>
            <w:tcW w:w="0" w:type="auto"/>
          </w:tcPr>
          <w:p w14:paraId="2D066CAE" w14:textId="77777777" w:rsidR="00A77B3E" w:rsidRPr="00800D1B" w:rsidRDefault="00623E14" w:rsidP="00A26CDD">
            <w:pPr>
              <w:spacing w:before="100" w:after="100"/>
              <w:ind w:left="-72"/>
              <w:rPr>
                <w:color w:val="000000"/>
                <w:sz w:val="20"/>
                <w:lang w:val="sv-SE"/>
              </w:rPr>
            </w:pPr>
            <w:r w:rsidRPr="00800D1B">
              <w:rPr>
                <w:color w:val="000000"/>
                <w:sz w:val="20"/>
                <w:lang w:val="sv-SE"/>
              </w:rPr>
              <w:t>Från och med antagandet kommer programmet att använda ersättning av unionens bidrag på grundval av finansiering utan koppling till kostnader i enlighet med artikel 95 i förordningen om gemensamma bestämmelser</w:t>
            </w:r>
          </w:p>
        </w:tc>
        <w:tc>
          <w:tcPr>
            <w:tcW w:w="0" w:type="auto"/>
          </w:tcPr>
          <w:p w14:paraId="2D066CAF" w14:textId="7857D933" w:rsidR="00A77B3E" w:rsidRPr="00800D1B" w:rsidRDefault="00891E00" w:rsidP="00A26CDD">
            <w:pPr>
              <w:spacing w:before="100" w:after="100"/>
              <w:ind w:left="-72"/>
              <w:rPr>
                <w:color w:val="000000"/>
                <w:sz w:val="18"/>
                <w:szCs w:val="18"/>
                <w:lang w:val="sv-SE"/>
              </w:rPr>
            </w:pPr>
            <w:r w:rsidRPr="00800D1B">
              <w:rPr>
                <w:rFonts w:ascii="Segoe UI Emoji" w:hAnsi="Segoe UI Emoji" w:cs="Segoe UI Emoji"/>
                <w:color w:val="000000"/>
                <w:sz w:val="18"/>
                <w:szCs w:val="18"/>
                <w:lang w:val="sv-SE"/>
              </w:rPr>
              <w:t>⬜</w:t>
            </w:r>
          </w:p>
        </w:tc>
        <w:tc>
          <w:tcPr>
            <w:tcW w:w="0" w:type="auto"/>
          </w:tcPr>
          <w:p w14:paraId="2D066CB0" w14:textId="4245A010" w:rsidR="00A77B3E" w:rsidRPr="00800D1B" w:rsidRDefault="00891E00" w:rsidP="00A26CDD">
            <w:pPr>
              <w:spacing w:before="100" w:after="100"/>
              <w:ind w:left="-72"/>
              <w:rPr>
                <w:color w:val="000000"/>
                <w:sz w:val="18"/>
                <w:szCs w:val="18"/>
                <w:lang w:val="sv-SE"/>
              </w:rPr>
            </w:pPr>
            <w:r w:rsidRPr="00800D1B">
              <w:rPr>
                <w:rFonts w:ascii="Segoe UI Emoji" w:hAnsi="Segoe UI Emoji" w:cs="Segoe UI Emoji"/>
                <w:color w:val="000000"/>
                <w:sz w:val="18"/>
                <w:szCs w:val="18"/>
                <w:lang w:val="sv-SE"/>
              </w:rPr>
              <w:t>⬜</w:t>
            </w:r>
          </w:p>
        </w:tc>
      </w:tr>
    </w:tbl>
    <w:p w14:paraId="2D066CB2" w14:textId="77777777" w:rsidR="00A77B3E" w:rsidRPr="00800D1B" w:rsidRDefault="00A77B3E">
      <w:pPr>
        <w:spacing w:before="100"/>
        <w:jc w:val="center"/>
        <w:rPr>
          <w:color w:val="000000"/>
          <w:sz w:val="20"/>
          <w:lang w:val="sv-SE"/>
        </w:rPr>
        <w:sectPr w:rsidR="00A77B3E" w:rsidRPr="00800D1B" w:rsidSect="00497963">
          <w:pgSz w:w="11906" w:h="16838"/>
          <w:pgMar w:top="720" w:right="936" w:bottom="864" w:left="720" w:header="0" w:footer="72" w:gutter="0"/>
          <w:cols w:space="720"/>
          <w:noEndnote/>
          <w:docGrid w:linePitch="360"/>
        </w:sectPr>
      </w:pPr>
    </w:p>
    <w:p w14:paraId="2D066CB3" w14:textId="7FAAA446" w:rsidR="00A77B3E" w:rsidRPr="00800D1B" w:rsidRDefault="00623E14" w:rsidP="008D48E0">
      <w:pPr>
        <w:pStyle w:val="Rubrik2"/>
        <w:numPr>
          <w:ilvl w:val="0"/>
          <w:numId w:val="0"/>
        </w:numPr>
        <w:rPr>
          <w:b/>
          <w:lang w:val="sv-SE"/>
        </w:rPr>
      </w:pPr>
      <w:bookmarkStart w:id="227" w:name="_Toc256000468"/>
      <w:r w:rsidRPr="00800D1B">
        <w:rPr>
          <w:lang w:val="sv-SE"/>
        </w:rPr>
        <w:t>Tillägg 1: Bidrag från unionen på grundval av enhetskostnader, enhetsbelopp och schablonsatser</w:t>
      </w:r>
      <w:bookmarkEnd w:id="227"/>
    </w:p>
    <w:p w14:paraId="2D066CB4" w14:textId="5BCD8680" w:rsidR="00A77B3E" w:rsidRPr="00800D1B" w:rsidRDefault="00623E14">
      <w:pPr>
        <w:pStyle w:val="Rubrik3"/>
        <w:numPr>
          <w:ilvl w:val="0"/>
          <w:numId w:val="58"/>
        </w:numPr>
        <w:spacing w:before="300" w:after="200"/>
        <w:ind w:left="360"/>
        <w:contextualSpacing w:val="0"/>
        <w:rPr>
          <w:lang w:val="sv-SE"/>
        </w:rPr>
      </w:pPr>
      <w:bookmarkStart w:id="228" w:name="_Toc256000469"/>
      <w:r w:rsidRPr="00800D1B">
        <w:rPr>
          <w:lang w:val="sv-SE"/>
        </w:rPr>
        <w:t>Sammanfattning av de viktigaste delarna</w:t>
      </w:r>
      <w:bookmarkEnd w:id="228"/>
    </w:p>
    <w:tbl>
      <w:tblPr>
        <w:tblStyle w:val="Tabellrutnt"/>
        <w:tblW w:w="5000" w:type="pct"/>
        <w:tblLook w:val="04A0" w:firstRow="1" w:lastRow="0" w:firstColumn="1" w:lastColumn="0" w:noHBand="0" w:noVBand="1"/>
        <w:tblDescription w:val="En tabell med tio kolumner: Prioritering; Fond; Specifikt mål; Regionkategori; Beräknad procentandel av det totala anslaget inom prioriteringen på vilken det förenklade kostnadsalternativet kommer att tillämpas; Typ av insats som omfattas; Indikator som leder till ersättning; Måttenhet för den indikator som leder till ersättning; Typ av förenklat kostnadsalternativ (standardskala för enhetskostnader, enhetsbelopp eller schablonsatser); Belopp (i euro) eller procentsats (i fråga om schablonsatser) för det förenklade kostnadsalternativet. Tabellen visar information om Sammanfattning av de viktigaste delarna."/>
      </w:tblPr>
      <w:tblGrid>
        <w:gridCol w:w="997"/>
        <w:gridCol w:w="995"/>
        <w:gridCol w:w="1990"/>
        <w:gridCol w:w="1992"/>
        <w:gridCol w:w="1497"/>
        <w:gridCol w:w="997"/>
        <w:gridCol w:w="998"/>
        <w:gridCol w:w="997"/>
        <w:gridCol w:w="998"/>
        <w:gridCol w:w="1494"/>
        <w:gridCol w:w="1018"/>
        <w:gridCol w:w="1199"/>
      </w:tblGrid>
      <w:tr w:rsidR="003422DB" w:rsidRPr="00BD3045" w14:paraId="2D066CC0" w14:textId="77777777" w:rsidTr="00A26CDD">
        <w:tc>
          <w:tcPr>
            <w:tcW w:w="999" w:type="dxa"/>
            <w:vMerge w:val="restart"/>
            <w:vAlign w:val="center"/>
          </w:tcPr>
          <w:p w14:paraId="2D066CB6" w14:textId="77777777" w:rsidR="00A77B3E" w:rsidRPr="00800D1B" w:rsidRDefault="00623E14" w:rsidP="00A26CDD">
            <w:pPr>
              <w:spacing w:before="100" w:after="100"/>
              <w:ind w:left="-72"/>
              <w:jc w:val="center"/>
              <w:rPr>
                <w:color w:val="000000"/>
                <w:sz w:val="12"/>
                <w:lang w:val="sv-SE"/>
              </w:rPr>
            </w:pPr>
            <w:r w:rsidRPr="00800D1B">
              <w:rPr>
                <w:color w:val="000000"/>
                <w:sz w:val="12"/>
                <w:lang w:val="sv-SE"/>
              </w:rPr>
              <w:t>Prioritering</w:t>
            </w:r>
          </w:p>
        </w:tc>
        <w:tc>
          <w:tcPr>
            <w:tcW w:w="997" w:type="dxa"/>
            <w:vMerge w:val="restart"/>
            <w:vAlign w:val="center"/>
          </w:tcPr>
          <w:p w14:paraId="2D066CB7" w14:textId="77777777" w:rsidR="00A77B3E" w:rsidRPr="00800D1B" w:rsidRDefault="00623E14" w:rsidP="00A26CDD">
            <w:pPr>
              <w:spacing w:before="100" w:after="100"/>
              <w:ind w:left="-72"/>
              <w:jc w:val="center"/>
              <w:rPr>
                <w:color w:val="000000"/>
                <w:sz w:val="12"/>
                <w:lang w:val="sv-SE"/>
              </w:rPr>
            </w:pPr>
            <w:r w:rsidRPr="00800D1B">
              <w:rPr>
                <w:color w:val="000000"/>
                <w:sz w:val="12"/>
                <w:lang w:val="sv-SE"/>
              </w:rPr>
              <w:t>Fond</w:t>
            </w:r>
          </w:p>
        </w:tc>
        <w:tc>
          <w:tcPr>
            <w:tcW w:w="1994" w:type="dxa"/>
            <w:vMerge w:val="restart"/>
            <w:vAlign w:val="center"/>
          </w:tcPr>
          <w:p w14:paraId="2D066CB8" w14:textId="77777777" w:rsidR="00A77B3E" w:rsidRPr="00800D1B" w:rsidRDefault="00623E14" w:rsidP="00A26CDD">
            <w:pPr>
              <w:spacing w:before="100" w:after="100"/>
              <w:ind w:left="-72"/>
              <w:jc w:val="center"/>
              <w:rPr>
                <w:color w:val="000000"/>
                <w:sz w:val="12"/>
                <w:lang w:val="sv-SE"/>
              </w:rPr>
            </w:pPr>
            <w:r w:rsidRPr="00800D1B">
              <w:rPr>
                <w:color w:val="000000"/>
                <w:sz w:val="12"/>
                <w:lang w:val="sv-SE"/>
              </w:rPr>
              <w:t>Specifikt mål</w:t>
            </w:r>
          </w:p>
        </w:tc>
        <w:tc>
          <w:tcPr>
            <w:tcW w:w="1995" w:type="dxa"/>
            <w:vMerge w:val="restart"/>
            <w:vAlign w:val="center"/>
          </w:tcPr>
          <w:p w14:paraId="2D066CB9" w14:textId="77777777" w:rsidR="00A77B3E" w:rsidRPr="00800D1B" w:rsidRDefault="00623E14" w:rsidP="00A26CDD">
            <w:pPr>
              <w:spacing w:before="100" w:after="100"/>
              <w:ind w:left="-72"/>
              <w:jc w:val="center"/>
              <w:rPr>
                <w:color w:val="000000"/>
                <w:sz w:val="12"/>
                <w:lang w:val="sv-SE"/>
              </w:rPr>
            </w:pPr>
            <w:r w:rsidRPr="00800D1B">
              <w:rPr>
                <w:color w:val="000000"/>
                <w:sz w:val="12"/>
                <w:lang w:val="sv-SE"/>
              </w:rPr>
              <w:t>Regionkategori</w:t>
            </w:r>
          </w:p>
        </w:tc>
        <w:tc>
          <w:tcPr>
            <w:tcW w:w="1498" w:type="dxa"/>
            <w:vMerge w:val="restart"/>
          </w:tcPr>
          <w:p w14:paraId="2D066CBA" w14:textId="7B120224" w:rsidR="00A77B3E" w:rsidRPr="00800D1B" w:rsidRDefault="00CF74CB" w:rsidP="00A26CDD">
            <w:pPr>
              <w:spacing w:before="100" w:after="100"/>
              <w:ind w:left="-72"/>
              <w:jc w:val="center"/>
              <w:rPr>
                <w:color w:val="000000"/>
                <w:sz w:val="12"/>
                <w:lang w:val="sv-SE"/>
              </w:rPr>
            </w:pPr>
            <w:r w:rsidRPr="00800D1B">
              <w:rPr>
                <w:color w:val="000000"/>
                <w:sz w:val="12"/>
                <w:lang w:val="sv-SE"/>
              </w:rPr>
              <w:t xml:space="preserve"> </w:t>
            </w:r>
            <w:r w:rsidR="00623E14" w:rsidRPr="00800D1B">
              <w:rPr>
                <w:color w:val="000000"/>
                <w:sz w:val="12"/>
                <w:lang w:val="sv-SE"/>
              </w:rPr>
              <w:t>Beräknad procentandel av det totala anslaget inom prioriteringen på vilken det förenklade kostnadsalternativet kommer att tillämpas</w:t>
            </w:r>
            <w:r w:rsidRPr="00800D1B">
              <w:rPr>
                <w:color w:val="000000"/>
                <w:sz w:val="12"/>
                <w:lang w:val="sv-SE"/>
              </w:rPr>
              <w:t xml:space="preserve"> </w:t>
            </w:r>
          </w:p>
        </w:tc>
        <w:tc>
          <w:tcPr>
            <w:tcW w:w="1997" w:type="dxa"/>
            <w:gridSpan w:val="2"/>
          </w:tcPr>
          <w:p w14:paraId="2D066CBB" w14:textId="77777777" w:rsidR="00A77B3E" w:rsidRPr="00800D1B" w:rsidRDefault="00623E14" w:rsidP="00A26CDD">
            <w:pPr>
              <w:spacing w:before="100" w:after="100"/>
              <w:ind w:left="-72"/>
              <w:jc w:val="center"/>
              <w:rPr>
                <w:color w:val="000000"/>
                <w:sz w:val="12"/>
                <w:lang w:val="sv-SE"/>
              </w:rPr>
            </w:pPr>
            <w:r w:rsidRPr="00800D1B">
              <w:rPr>
                <w:color w:val="000000"/>
                <w:sz w:val="12"/>
                <w:lang w:val="sv-SE"/>
              </w:rPr>
              <w:t>Typ av insats som omfattas</w:t>
            </w:r>
          </w:p>
        </w:tc>
        <w:tc>
          <w:tcPr>
            <w:tcW w:w="1997" w:type="dxa"/>
            <w:gridSpan w:val="2"/>
          </w:tcPr>
          <w:p w14:paraId="2D066CBC" w14:textId="77777777" w:rsidR="00A77B3E" w:rsidRPr="00800D1B" w:rsidRDefault="00623E14" w:rsidP="00A26CDD">
            <w:pPr>
              <w:spacing w:before="100" w:after="100"/>
              <w:ind w:left="-72"/>
              <w:jc w:val="center"/>
              <w:rPr>
                <w:color w:val="000000"/>
                <w:sz w:val="12"/>
                <w:lang w:val="sv-SE"/>
              </w:rPr>
            </w:pPr>
            <w:r w:rsidRPr="00800D1B">
              <w:rPr>
                <w:color w:val="000000"/>
                <w:sz w:val="12"/>
                <w:lang w:val="sv-SE"/>
              </w:rPr>
              <w:t>Indikator som leder till ersättning</w:t>
            </w:r>
          </w:p>
        </w:tc>
        <w:tc>
          <w:tcPr>
            <w:tcW w:w="1496" w:type="dxa"/>
            <w:vMerge w:val="restart"/>
          </w:tcPr>
          <w:p w14:paraId="2D066CBD" w14:textId="23F01101" w:rsidR="00A77B3E" w:rsidRPr="00800D1B" w:rsidRDefault="00CF74CB" w:rsidP="00A26CDD">
            <w:pPr>
              <w:spacing w:before="100" w:after="100"/>
              <w:ind w:left="-72"/>
              <w:jc w:val="center"/>
              <w:rPr>
                <w:color w:val="000000"/>
                <w:sz w:val="12"/>
                <w:lang w:val="sv-SE"/>
              </w:rPr>
            </w:pPr>
            <w:r w:rsidRPr="00800D1B">
              <w:rPr>
                <w:color w:val="000000"/>
                <w:sz w:val="12"/>
                <w:lang w:val="sv-SE"/>
              </w:rPr>
              <w:t xml:space="preserve"> </w:t>
            </w:r>
            <w:r w:rsidR="00623E14" w:rsidRPr="00800D1B">
              <w:rPr>
                <w:color w:val="000000"/>
                <w:sz w:val="12"/>
                <w:lang w:val="sv-SE"/>
              </w:rPr>
              <w:t>Måttenhet för den indikator som leder till ersättning</w:t>
            </w:r>
            <w:r w:rsidRPr="00800D1B">
              <w:rPr>
                <w:color w:val="000000"/>
                <w:sz w:val="12"/>
                <w:lang w:val="sv-SE"/>
              </w:rPr>
              <w:t xml:space="preserve"> </w:t>
            </w:r>
          </w:p>
        </w:tc>
        <w:tc>
          <w:tcPr>
            <w:tcW w:w="1000" w:type="dxa"/>
            <w:vMerge w:val="restart"/>
          </w:tcPr>
          <w:p w14:paraId="2D066CBE" w14:textId="77777777" w:rsidR="00A77B3E" w:rsidRPr="00800D1B" w:rsidRDefault="00623E14" w:rsidP="00A26CDD">
            <w:pPr>
              <w:spacing w:before="100" w:after="100"/>
              <w:ind w:left="-72"/>
              <w:jc w:val="center"/>
              <w:rPr>
                <w:color w:val="000000"/>
                <w:sz w:val="12"/>
                <w:lang w:val="sv-SE"/>
              </w:rPr>
            </w:pPr>
            <w:r w:rsidRPr="00800D1B">
              <w:rPr>
                <w:color w:val="000000"/>
                <w:sz w:val="12"/>
                <w:lang w:val="sv-SE"/>
              </w:rPr>
              <w:t>Typ av förenklat kostnadsalternativ (standardskala för enhetskostnader, enhetsbelopp eller schablonsatser)</w:t>
            </w:r>
          </w:p>
        </w:tc>
        <w:tc>
          <w:tcPr>
            <w:tcW w:w="1199" w:type="dxa"/>
            <w:vMerge w:val="restart"/>
          </w:tcPr>
          <w:p w14:paraId="2D066CBF" w14:textId="77777777" w:rsidR="00A77B3E" w:rsidRPr="00800D1B" w:rsidRDefault="00623E14" w:rsidP="00A26CDD">
            <w:pPr>
              <w:spacing w:before="100" w:after="100"/>
              <w:ind w:left="-72"/>
              <w:jc w:val="center"/>
              <w:rPr>
                <w:color w:val="000000"/>
                <w:sz w:val="12"/>
                <w:lang w:val="sv-SE"/>
              </w:rPr>
            </w:pPr>
            <w:r w:rsidRPr="00800D1B">
              <w:rPr>
                <w:color w:val="000000"/>
                <w:sz w:val="12"/>
                <w:lang w:val="sv-SE"/>
              </w:rPr>
              <w:t>Belopp (i euro) eller procentsats (i fråga om schablonsatser) för det förenklade kostnadsalternativet</w:t>
            </w:r>
          </w:p>
        </w:tc>
      </w:tr>
      <w:tr w:rsidR="003422DB" w:rsidRPr="00800D1B" w14:paraId="2D066CCD" w14:textId="77777777" w:rsidTr="00A26CDD">
        <w:tc>
          <w:tcPr>
            <w:tcW w:w="999" w:type="dxa"/>
            <w:vMerge/>
          </w:tcPr>
          <w:p w14:paraId="2D066CC1" w14:textId="77777777" w:rsidR="00A77B3E" w:rsidRPr="00800D1B" w:rsidRDefault="00A77B3E" w:rsidP="00A26CDD">
            <w:pPr>
              <w:spacing w:before="100" w:after="100"/>
              <w:ind w:left="-72"/>
              <w:jc w:val="center"/>
              <w:rPr>
                <w:color w:val="000000"/>
                <w:sz w:val="12"/>
                <w:lang w:val="sv-SE"/>
              </w:rPr>
            </w:pPr>
          </w:p>
        </w:tc>
        <w:tc>
          <w:tcPr>
            <w:tcW w:w="997" w:type="dxa"/>
            <w:vMerge/>
          </w:tcPr>
          <w:p w14:paraId="2D066CC2" w14:textId="77777777" w:rsidR="00A77B3E" w:rsidRPr="00800D1B" w:rsidRDefault="00A77B3E" w:rsidP="00A26CDD">
            <w:pPr>
              <w:spacing w:before="100" w:after="100"/>
              <w:ind w:left="-72"/>
              <w:jc w:val="center"/>
              <w:rPr>
                <w:color w:val="000000"/>
                <w:sz w:val="12"/>
                <w:lang w:val="sv-SE"/>
              </w:rPr>
            </w:pPr>
          </w:p>
        </w:tc>
        <w:tc>
          <w:tcPr>
            <w:tcW w:w="1994" w:type="dxa"/>
            <w:vMerge/>
          </w:tcPr>
          <w:p w14:paraId="2D066CC3" w14:textId="77777777" w:rsidR="00A77B3E" w:rsidRPr="00800D1B" w:rsidRDefault="00A77B3E" w:rsidP="00A26CDD">
            <w:pPr>
              <w:spacing w:before="100" w:after="100"/>
              <w:ind w:left="-72"/>
              <w:jc w:val="center"/>
              <w:rPr>
                <w:color w:val="000000"/>
                <w:sz w:val="12"/>
                <w:lang w:val="sv-SE"/>
              </w:rPr>
            </w:pPr>
          </w:p>
        </w:tc>
        <w:tc>
          <w:tcPr>
            <w:tcW w:w="1995" w:type="dxa"/>
            <w:vMerge/>
          </w:tcPr>
          <w:p w14:paraId="2D066CC4" w14:textId="77777777" w:rsidR="00A77B3E" w:rsidRPr="00800D1B" w:rsidRDefault="00A77B3E" w:rsidP="00A26CDD">
            <w:pPr>
              <w:spacing w:before="100" w:after="100"/>
              <w:ind w:left="-72"/>
              <w:jc w:val="center"/>
              <w:rPr>
                <w:color w:val="000000"/>
                <w:sz w:val="12"/>
                <w:lang w:val="sv-SE"/>
              </w:rPr>
            </w:pPr>
          </w:p>
        </w:tc>
        <w:tc>
          <w:tcPr>
            <w:tcW w:w="1498" w:type="dxa"/>
            <w:vMerge/>
          </w:tcPr>
          <w:p w14:paraId="2D066CC5" w14:textId="77777777" w:rsidR="00A77B3E" w:rsidRPr="00800D1B" w:rsidRDefault="00A77B3E" w:rsidP="00A26CDD">
            <w:pPr>
              <w:spacing w:before="100" w:after="100"/>
              <w:ind w:left="-72"/>
              <w:jc w:val="center"/>
              <w:rPr>
                <w:color w:val="000000"/>
                <w:sz w:val="12"/>
                <w:lang w:val="sv-SE"/>
              </w:rPr>
            </w:pPr>
          </w:p>
        </w:tc>
        <w:tc>
          <w:tcPr>
            <w:tcW w:w="998" w:type="dxa"/>
          </w:tcPr>
          <w:p w14:paraId="2D066CC6" w14:textId="24361B10" w:rsidR="00A77B3E" w:rsidRPr="00800D1B" w:rsidRDefault="00623E14" w:rsidP="00A26CDD">
            <w:pPr>
              <w:spacing w:before="100" w:after="100"/>
              <w:ind w:left="-72"/>
              <w:jc w:val="center"/>
              <w:rPr>
                <w:color w:val="000000"/>
                <w:sz w:val="12"/>
                <w:lang w:val="sv-SE"/>
              </w:rPr>
            </w:pPr>
            <w:r w:rsidRPr="00800D1B">
              <w:rPr>
                <w:color w:val="000000"/>
                <w:sz w:val="12"/>
                <w:lang w:val="sv-SE"/>
              </w:rPr>
              <w:t>Kod</w:t>
            </w:r>
            <w:r w:rsidR="00C052D2" w:rsidRPr="00800D1B">
              <w:rPr>
                <w:rStyle w:val="Fotnotsreferens"/>
                <w:color w:val="000000"/>
                <w:sz w:val="12"/>
                <w:vertAlign w:val="baseline"/>
                <w:lang w:val="sv-SE"/>
              </w:rPr>
              <w:footnoteReference w:customMarkFollows="1" w:id="13"/>
              <w:t>(1)</w:t>
            </w:r>
          </w:p>
        </w:tc>
        <w:tc>
          <w:tcPr>
            <w:tcW w:w="999" w:type="dxa"/>
          </w:tcPr>
          <w:p w14:paraId="2D066CC7" w14:textId="77777777" w:rsidR="00A77B3E" w:rsidRPr="00800D1B" w:rsidRDefault="00623E14" w:rsidP="00A26CDD">
            <w:pPr>
              <w:spacing w:before="100" w:after="100"/>
              <w:ind w:left="-72"/>
              <w:jc w:val="center"/>
              <w:rPr>
                <w:color w:val="000000"/>
                <w:sz w:val="12"/>
                <w:lang w:val="sv-SE"/>
              </w:rPr>
            </w:pPr>
            <w:r w:rsidRPr="00800D1B">
              <w:rPr>
                <w:color w:val="000000"/>
                <w:sz w:val="12"/>
                <w:lang w:val="sv-SE"/>
              </w:rPr>
              <w:t>Beskrivning</w:t>
            </w:r>
          </w:p>
        </w:tc>
        <w:tc>
          <w:tcPr>
            <w:tcW w:w="998" w:type="dxa"/>
          </w:tcPr>
          <w:p w14:paraId="2D066CC8" w14:textId="5CE6FAF3" w:rsidR="00A77B3E" w:rsidRPr="00800D1B" w:rsidRDefault="00623E14" w:rsidP="00A26CDD">
            <w:pPr>
              <w:spacing w:before="100" w:after="100"/>
              <w:ind w:left="-72"/>
              <w:jc w:val="center"/>
              <w:rPr>
                <w:color w:val="000000"/>
                <w:sz w:val="12"/>
                <w:lang w:val="sv-SE"/>
              </w:rPr>
            </w:pPr>
            <w:r w:rsidRPr="00800D1B">
              <w:rPr>
                <w:color w:val="000000"/>
                <w:sz w:val="12"/>
                <w:lang w:val="sv-SE"/>
              </w:rPr>
              <w:t>Kod</w:t>
            </w:r>
            <w:r w:rsidR="00C052D2" w:rsidRPr="00800D1B">
              <w:rPr>
                <w:rStyle w:val="Fotnotsreferens"/>
                <w:color w:val="000000"/>
                <w:sz w:val="12"/>
                <w:vertAlign w:val="baseline"/>
                <w:lang w:val="sv-SE"/>
              </w:rPr>
              <w:footnoteReference w:customMarkFollows="1" w:id="14"/>
              <w:t>(2)</w:t>
            </w:r>
          </w:p>
        </w:tc>
        <w:tc>
          <w:tcPr>
            <w:tcW w:w="999" w:type="dxa"/>
          </w:tcPr>
          <w:p w14:paraId="2D066CC9" w14:textId="77777777" w:rsidR="00A77B3E" w:rsidRPr="00800D1B" w:rsidRDefault="00623E14" w:rsidP="00A26CDD">
            <w:pPr>
              <w:spacing w:before="100" w:after="100"/>
              <w:ind w:left="-72"/>
              <w:jc w:val="center"/>
              <w:rPr>
                <w:color w:val="000000"/>
                <w:sz w:val="12"/>
                <w:lang w:val="sv-SE"/>
              </w:rPr>
            </w:pPr>
            <w:r w:rsidRPr="00800D1B">
              <w:rPr>
                <w:color w:val="000000"/>
                <w:sz w:val="12"/>
                <w:lang w:val="sv-SE"/>
              </w:rPr>
              <w:t>Beskrivning</w:t>
            </w:r>
          </w:p>
        </w:tc>
        <w:tc>
          <w:tcPr>
            <w:tcW w:w="1496" w:type="dxa"/>
            <w:vMerge/>
          </w:tcPr>
          <w:p w14:paraId="2D066CCA" w14:textId="77777777" w:rsidR="00A77B3E" w:rsidRPr="00800D1B" w:rsidRDefault="00A77B3E" w:rsidP="00A26CDD">
            <w:pPr>
              <w:spacing w:before="100" w:after="100"/>
              <w:ind w:left="-72"/>
              <w:jc w:val="center"/>
              <w:rPr>
                <w:color w:val="000000"/>
                <w:sz w:val="12"/>
                <w:lang w:val="sv-SE"/>
              </w:rPr>
            </w:pPr>
          </w:p>
        </w:tc>
        <w:tc>
          <w:tcPr>
            <w:tcW w:w="1000" w:type="dxa"/>
            <w:vMerge/>
          </w:tcPr>
          <w:p w14:paraId="2D066CCB" w14:textId="77777777" w:rsidR="00A77B3E" w:rsidRPr="00800D1B" w:rsidRDefault="00A77B3E" w:rsidP="00A26CDD">
            <w:pPr>
              <w:spacing w:before="100" w:after="100"/>
              <w:ind w:left="-72"/>
              <w:jc w:val="center"/>
              <w:rPr>
                <w:color w:val="000000"/>
                <w:sz w:val="12"/>
                <w:lang w:val="sv-SE"/>
              </w:rPr>
            </w:pPr>
          </w:p>
        </w:tc>
        <w:tc>
          <w:tcPr>
            <w:tcW w:w="1199" w:type="dxa"/>
            <w:vMerge/>
          </w:tcPr>
          <w:p w14:paraId="2D066CCC" w14:textId="77777777" w:rsidR="00A77B3E" w:rsidRPr="00800D1B" w:rsidRDefault="00A77B3E" w:rsidP="00A26CDD">
            <w:pPr>
              <w:spacing w:before="100" w:after="100"/>
              <w:ind w:left="-72"/>
              <w:jc w:val="center"/>
              <w:rPr>
                <w:color w:val="000000"/>
                <w:sz w:val="12"/>
                <w:lang w:val="sv-SE"/>
              </w:rPr>
            </w:pPr>
          </w:p>
        </w:tc>
      </w:tr>
    </w:tbl>
    <w:p w14:paraId="2D066CCF" w14:textId="5FE1C532" w:rsidR="00A77B3E" w:rsidRPr="00800D1B" w:rsidRDefault="00A77B3E">
      <w:pPr>
        <w:spacing w:before="100"/>
        <w:rPr>
          <w:color w:val="000000"/>
          <w:sz w:val="16"/>
          <w:lang w:val="sv-SE"/>
        </w:rPr>
      </w:pPr>
    </w:p>
    <w:p w14:paraId="2D066CD0" w14:textId="77777777" w:rsidR="00A77B3E" w:rsidRPr="00800D1B" w:rsidRDefault="00A77B3E">
      <w:pPr>
        <w:spacing w:before="100"/>
        <w:rPr>
          <w:color w:val="000000"/>
          <w:lang w:val="sv-SE"/>
        </w:rPr>
        <w:sectPr w:rsidR="00A77B3E" w:rsidRPr="00800D1B" w:rsidSect="0065165D">
          <w:headerReference w:type="even" r:id="rId105"/>
          <w:headerReference w:type="default" r:id="rId106"/>
          <w:footerReference w:type="even" r:id="rId107"/>
          <w:footerReference w:type="default" r:id="rId108"/>
          <w:headerReference w:type="first" r:id="rId109"/>
          <w:footerReference w:type="first" r:id="rId110"/>
          <w:footnotePr>
            <w:numRestart w:val="eachPage"/>
          </w:footnotePr>
          <w:pgSz w:w="16838" w:h="11906" w:orient="landscape"/>
          <w:pgMar w:top="720" w:right="720" w:bottom="864" w:left="936" w:header="288" w:footer="72" w:gutter="0"/>
          <w:cols w:space="720"/>
          <w:noEndnote/>
          <w:docGrid w:linePitch="360"/>
        </w:sectPr>
      </w:pPr>
    </w:p>
    <w:p w14:paraId="2D066CD1" w14:textId="77777777" w:rsidR="00A77B3E" w:rsidRPr="00800D1B" w:rsidRDefault="00623E14" w:rsidP="00FA531D">
      <w:pPr>
        <w:spacing w:before="240"/>
        <w:rPr>
          <w:color w:val="000000"/>
          <w:lang w:val="sv-SE"/>
        </w:rPr>
      </w:pPr>
      <w:r w:rsidRPr="00800D1B">
        <w:rPr>
          <w:color w:val="000000"/>
          <w:lang w:val="sv-SE"/>
        </w:rPr>
        <w:t>Tillägg 1: Bidrag från unionen på grundval av enhetskostnader, enhetsbelopp och schablonsatser</w:t>
      </w:r>
    </w:p>
    <w:p w14:paraId="2D066CD2" w14:textId="086A6188" w:rsidR="00A77B3E" w:rsidRPr="00800D1B" w:rsidRDefault="00623E14">
      <w:pPr>
        <w:pStyle w:val="Rubrik3"/>
        <w:numPr>
          <w:ilvl w:val="0"/>
          <w:numId w:val="58"/>
        </w:numPr>
        <w:spacing w:before="160" w:after="400"/>
        <w:ind w:left="270" w:hanging="270"/>
        <w:contextualSpacing w:val="0"/>
        <w:rPr>
          <w:lang w:val="sv-SE"/>
        </w:rPr>
      </w:pPr>
      <w:bookmarkStart w:id="229" w:name="_Toc256000470"/>
      <w:r w:rsidRPr="00800D1B">
        <w:rPr>
          <w:lang w:val="sv-SE"/>
        </w:rPr>
        <w:t xml:space="preserve"> Uppgifter per typ av insats</w:t>
      </w:r>
      <w:bookmarkEnd w:id="229"/>
    </w:p>
    <w:p w14:paraId="2D066CD4" w14:textId="696507DA" w:rsidR="00A77B3E" w:rsidRPr="00800D1B" w:rsidRDefault="00623E14" w:rsidP="00D40548">
      <w:pPr>
        <w:pStyle w:val="Rubrik3"/>
        <w:numPr>
          <w:ilvl w:val="0"/>
          <w:numId w:val="0"/>
        </w:numPr>
        <w:spacing w:before="300" w:after="100"/>
        <w:contextualSpacing w:val="0"/>
        <w:rPr>
          <w:lang w:val="sv-SE"/>
        </w:rPr>
      </w:pPr>
      <w:bookmarkStart w:id="230" w:name="_Toc256000471"/>
      <w:r w:rsidRPr="00800D1B">
        <w:rPr>
          <w:lang w:val="sv-SE"/>
        </w:rPr>
        <w:t>C. Beräkning av standardiserade skalor för enhetskostnader, enhetsbelopp eller schablonsatser</w:t>
      </w:r>
      <w:bookmarkEnd w:id="230"/>
    </w:p>
    <w:p w14:paraId="2D066CD5" w14:textId="56A257B3" w:rsidR="00A77B3E" w:rsidRPr="00800D1B" w:rsidRDefault="00623E14">
      <w:pPr>
        <w:pStyle w:val="Liststycke"/>
        <w:numPr>
          <w:ilvl w:val="0"/>
          <w:numId w:val="97"/>
        </w:numPr>
        <w:spacing w:after="360"/>
        <w:ind w:left="180" w:hanging="180"/>
        <w:rPr>
          <w:lang w:val="sv-SE"/>
        </w:rPr>
      </w:pPr>
      <w:bookmarkStart w:id="231" w:name="_Toc256000472"/>
      <w:r w:rsidRPr="00800D1B">
        <w:rPr>
          <w:lang w:val="sv-SE"/>
        </w:rPr>
        <w:t>Uppgiftskälla som använts för beräkningen av de standardiserade skalorna för enhetskostnader, enhetsbelopp eller schablonsatser (vem tog fram, samlade in och registrerade uppgifterna, plats för datalagring, brytdatum, validering etc.).</w:t>
      </w:r>
      <w:bookmarkEnd w:id="231"/>
    </w:p>
    <w:tbl>
      <w:tblPr>
        <w:tblStyle w:val="Tabellrutnt"/>
        <w:tblW w:w="4950" w:type="pct"/>
        <w:tblLook w:val="04A0" w:firstRow="1" w:lastRow="0" w:firstColumn="1" w:lastColumn="0" w:noHBand="0" w:noVBand="1"/>
      </w:tblPr>
      <w:tblGrid>
        <w:gridCol w:w="15020"/>
      </w:tblGrid>
      <w:tr w:rsidR="003422DB" w:rsidRPr="00BD3045" w14:paraId="2D066CD8" w14:textId="77777777" w:rsidTr="00A26CDD">
        <w:tc>
          <w:tcPr>
            <w:tcW w:w="15020" w:type="dxa"/>
          </w:tcPr>
          <w:p w14:paraId="2D066CD7" w14:textId="77777777" w:rsidR="00A77B3E" w:rsidRPr="00800D1B" w:rsidRDefault="00A77B3E" w:rsidP="00A26CDD">
            <w:pPr>
              <w:spacing w:before="100" w:after="100"/>
              <w:rPr>
                <w:color w:val="000000"/>
                <w:lang w:val="sv-SE"/>
              </w:rPr>
            </w:pPr>
          </w:p>
        </w:tc>
      </w:tr>
    </w:tbl>
    <w:p w14:paraId="2D066CDA" w14:textId="55D74891" w:rsidR="00A77B3E" w:rsidRPr="00800D1B" w:rsidRDefault="00623E14">
      <w:pPr>
        <w:pStyle w:val="Liststycke"/>
        <w:numPr>
          <w:ilvl w:val="0"/>
          <w:numId w:val="97"/>
        </w:numPr>
        <w:spacing w:before="400" w:after="400"/>
        <w:ind w:left="180" w:hanging="180"/>
        <w:rPr>
          <w:lang w:val="sv-SE"/>
        </w:rPr>
      </w:pPr>
      <w:bookmarkStart w:id="232" w:name="_Toc256000473"/>
      <w:r w:rsidRPr="00800D1B">
        <w:rPr>
          <w:lang w:val="sv-SE"/>
        </w:rPr>
        <w:t>Ange varför den föreslagna metoden och beräkningen på grundval av artikel 94.2 i förordningen om gemensamma bestämmelser är relevant för insatstypen.</w:t>
      </w:r>
      <w:bookmarkEnd w:id="232"/>
    </w:p>
    <w:tbl>
      <w:tblPr>
        <w:tblStyle w:val="Tabellrutnt"/>
        <w:tblW w:w="4950" w:type="pct"/>
        <w:tblLook w:val="04A0" w:firstRow="1" w:lastRow="0" w:firstColumn="1" w:lastColumn="0" w:noHBand="0" w:noVBand="1"/>
      </w:tblPr>
      <w:tblGrid>
        <w:gridCol w:w="15020"/>
      </w:tblGrid>
      <w:tr w:rsidR="003422DB" w:rsidRPr="00BD3045" w14:paraId="2D066CDD" w14:textId="77777777" w:rsidTr="00977927">
        <w:tc>
          <w:tcPr>
            <w:tcW w:w="15020" w:type="dxa"/>
            <w:tcBorders>
              <w:bottom w:val="single" w:sz="4" w:space="0" w:color="auto"/>
            </w:tcBorders>
          </w:tcPr>
          <w:p w14:paraId="2D066CDC" w14:textId="77777777" w:rsidR="00A77B3E" w:rsidRPr="00800D1B" w:rsidRDefault="00A77B3E" w:rsidP="00A26CDD">
            <w:pPr>
              <w:spacing w:before="100" w:after="100"/>
              <w:rPr>
                <w:color w:val="000000"/>
                <w:lang w:val="sv-SE"/>
              </w:rPr>
            </w:pPr>
          </w:p>
        </w:tc>
      </w:tr>
    </w:tbl>
    <w:p w14:paraId="2D066CDF" w14:textId="397DC4BF" w:rsidR="00A77B3E" w:rsidRPr="00800D1B" w:rsidRDefault="00623E14">
      <w:pPr>
        <w:pStyle w:val="Liststycke"/>
        <w:numPr>
          <w:ilvl w:val="0"/>
          <w:numId w:val="97"/>
        </w:numPr>
        <w:spacing w:before="400" w:after="400"/>
        <w:ind w:left="180" w:hanging="180"/>
        <w:rPr>
          <w:lang w:val="sv-SE"/>
        </w:rPr>
      </w:pPr>
      <w:bookmarkStart w:id="233" w:name="_Toc256000474"/>
      <w:r w:rsidRPr="00800D1B">
        <w:rPr>
          <w:lang w:val="sv-SE"/>
        </w:rPr>
        <w:t>Ange hur beräkningarna gjordes, särskilt eventuella antaganden i fråga om kvalitet eller kvantitet. I relevanta fall ska statistiska belägg och referensvärden användas och på begäran tillhandahållas i ett format som kommissionen kan använda.</w:t>
      </w:r>
      <w:bookmarkEnd w:id="233"/>
    </w:p>
    <w:tbl>
      <w:tblPr>
        <w:tblStyle w:val="Tabellrutnt"/>
        <w:tblW w:w="4950" w:type="pct"/>
        <w:tblLook w:val="04A0" w:firstRow="1" w:lastRow="0" w:firstColumn="1" w:lastColumn="0" w:noHBand="0" w:noVBand="1"/>
      </w:tblPr>
      <w:tblGrid>
        <w:gridCol w:w="15020"/>
      </w:tblGrid>
      <w:tr w:rsidR="003422DB" w:rsidRPr="00BD3045" w14:paraId="2D066CE2" w14:textId="77777777" w:rsidTr="00A26CDD">
        <w:tc>
          <w:tcPr>
            <w:tcW w:w="15020" w:type="dxa"/>
          </w:tcPr>
          <w:p w14:paraId="2D066CE1" w14:textId="77777777" w:rsidR="00A77B3E" w:rsidRPr="00800D1B" w:rsidRDefault="00A77B3E" w:rsidP="00A26CDD">
            <w:pPr>
              <w:spacing w:before="100" w:after="100"/>
              <w:rPr>
                <w:color w:val="000000"/>
                <w:lang w:val="sv-SE"/>
              </w:rPr>
            </w:pPr>
          </w:p>
        </w:tc>
      </w:tr>
    </w:tbl>
    <w:p w14:paraId="2D066CE4" w14:textId="028ACD76" w:rsidR="00A77B3E" w:rsidRPr="00800D1B" w:rsidRDefault="00623E14">
      <w:pPr>
        <w:pStyle w:val="Liststycke"/>
        <w:numPr>
          <w:ilvl w:val="0"/>
          <w:numId w:val="97"/>
        </w:numPr>
        <w:spacing w:before="400" w:after="400"/>
        <w:ind w:left="180" w:hanging="180"/>
        <w:rPr>
          <w:lang w:val="sv-SE"/>
        </w:rPr>
      </w:pPr>
      <w:bookmarkStart w:id="234" w:name="_Toc256000475"/>
      <w:r w:rsidRPr="00800D1B">
        <w:rPr>
          <w:lang w:val="sv-SE"/>
        </w:rPr>
        <w:t>Förklara hur ni har säkerställt att endast stödberättigande utgifter ingår i beräkningen av standardskalan av enhetskostnad, enhetsbelopp eller schablonsats.</w:t>
      </w:r>
      <w:bookmarkEnd w:id="234"/>
    </w:p>
    <w:tbl>
      <w:tblPr>
        <w:tblStyle w:val="Tabellrutnt"/>
        <w:tblW w:w="4950" w:type="pct"/>
        <w:tblLook w:val="04A0" w:firstRow="1" w:lastRow="0" w:firstColumn="1" w:lastColumn="0" w:noHBand="0" w:noVBand="1"/>
      </w:tblPr>
      <w:tblGrid>
        <w:gridCol w:w="15020"/>
      </w:tblGrid>
      <w:tr w:rsidR="003422DB" w:rsidRPr="00BD3045" w14:paraId="2D066CE7" w14:textId="77777777" w:rsidTr="00A26CDD">
        <w:tc>
          <w:tcPr>
            <w:tcW w:w="15020" w:type="dxa"/>
          </w:tcPr>
          <w:p w14:paraId="2D066CE6" w14:textId="77777777" w:rsidR="00A77B3E" w:rsidRPr="00800D1B" w:rsidRDefault="00A77B3E" w:rsidP="00A26CDD">
            <w:pPr>
              <w:spacing w:before="100" w:after="100"/>
              <w:rPr>
                <w:color w:val="000000"/>
                <w:lang w:val="sv-SE"/>
              </w:rPr>
            </w:pPr>
          </w:p>
        </w:tc>
      </w:tr>
    </w:tbl>
    <w:p w14:paraId="2D066CE9" w14:textId="616017DB" w:rsidR="00A77B3E" w:rsidRPr="00800D1B" w:rsidRDefault="00623E14">
      <w:pPr>
        <w:pStyle w:val="Liststycke"/>
        <w:numPr>
          <w:ilvl w:val="0"/>
          <w:numId w:val="97"/>
        </w:numPr>
        <w:spacing w:before="400" w:after="1920"/>
        <w:ind w:left="180" w:hanging="180"/>
        <w:rPr>
          <w:lang w:val="sv-SE"/>
        </w:rPr>
      </w:pPr>
      <w:bookmarkStart w:id="235" w:name="_Toc256000476"/>
      <w:r w:rsidRPr="00800D1B">
        <w:rPr>
          <w:lang w:val="sv-SE"/>
        </w:rPr>
        <w:t>Revisionsmyndighetens eller revisionsmyndigheternas bedömning av beräkningsmetoden, beloppen och arrangemangen för att säkerställa kontroll, insamling och lagring av uppgifter samt uppgifternas kvalitet.</w:t>
      </w:r>
      <w:bookmarkEnd w:id="235"/>
    </w:p>
    <w:tbl>
      <w:tblPr>
        <w:tblStyle w:val="Tabellrutnt"/>
        <w:tblW w:w="4950" w:type="pct"/>
        <w:tblLook w:val="04A0" w:firstRow="1" w:lastRow="0" w:firstColumn="1" w:lastColumn="0" w:noHBand="0" w:noVBand="1"/>
      </w:tblPr>
      <w:tblGrid>
        <w:gridCol w:w="15020"/>
      </w:tblGrid>
      <w:tr w:rsidR="003422DB" w:rsidRPr="00BD3045" w14:paraId="2D066CEC" w14:textId="77777777" w:rsidTr="00A26CDD">
        <w:tc>
          <w:tcPr>
            <w:tcW w:w="15020" w:type="dxa"/>
          </w:tcPr>
          <w:p w14:paraId="2D066CEB" w14:textId="77777777" w:rsidR="00A77B3E" w:rsidRPr="00800D1B" w:rsidRDefault="00A77B3E" w:rsidP="00A26CDD">
            <w:pPr>
              <w:spacing w:before="100" w:after="100"/>
              <w:rPr>
                <w:color w:val="000000"/>
                <w:lang w:val="sv-SE"/>
              </w:rPr>
            </w:pPr>
          </w:p>
        </w:tc>
      </w:tr>
    </w:tbl>
    <w:p w14:paraId="2D066CED" w14:textId="77777777" w:rsidR="00A77B3E" w:rsidRPr="00800D1B" w:rsidRDefault="00A77B3E">
      <w:pPr>
        <w:spacing w:before="100"/>
        <w:rPr>
          <w:color w:val="000000"/>
          <w:lang w:val="sv-SE"/>
        </w:rPr>
        <w:sectPr w:rsidR="00A77B3E" w:rsidRPr="00800D1B" w:rsidSect="0065165D">
          <w:pgSz w:w="16838" w:h="11906" w:orient="landscape"/>
          <w:pgMar w:top="720" w:right="720" w:bottom="864" w:left="936" w:header="288" w:footer="72" w:gutter="0"/>
          <w:cols w:space="720"/>
          <w:noEndnote/>
          <w:docGrid w:linePitch="360"/>
        </w:sectPr>
      </w:pPr>
    </w:p>
    <w:p w14:paraId="2D066CEE" w14:textId="79FB1E3E" w:rsidR="00A77B3E" w:rsidRPr="00800D1B" w:rsidRDefault="00623E14" w:rsidP="008D48E0">
      <w:pPr>
        <w:pStyle w:val="Rubrik2"/>
        <w:numPr>
          <w:ilvl w:val="0"/>
          <w:numId w:val="0"/>
        </w:numPr>
        <w:spacing w:after="260"/>
        <w:rPr>
          <w:lang w:val="sv-SE"/>
        </w:rPr>
      </w:pPr>
      <w:bookmarkStart w:id="236" w:name="_Toc256000477"/>
      <w:r w:rsidRPr="00800D1B">
        <w:rPr>
          <w:lang w:val="sv-SE"/>
        </w:rPr>
        <w:t>Tillägg 2: Bidrag från unionen på grundval av finansiering som inte är kopplad till kostnaderna</w:t>
      </w:r>
      <w:bookmarkEnd w:id="236"/>
    </w:p>
    <w:p w14:paraId="2D066CEF" w14:textId="5D9A01B7" w:rsidR="00A77B3E" w:rsidRPr="00800D1B" w:rsidRDefault="00623E14">
      <w:pPr>
        <w:pStyle w:val="Rubrik3"/>
        <w:numPr>
          <w:ilvl w:val="0"/>
          <w:numId w:val="59"/>
        </w:numPr>
        <w:spacing w:before="300" w:after="300"/>
        <w:ind w:left="360"/>
        <w:contextualSpacing w:val="0"/>
        <w:rPr>
          <w:lang w:val="sv-SE"/>
        </w:rPr>
      </w:pPr>
      <w:bookmarkStart w:id="237" w:name="_Toc256000478"/>
      <w:r w:rsidRPr="00800D1B">
        <w:rPr>
          <w:lang w:val="sv-SE"/>
        </w:rPr>
        <w:t>Sammanfattning av de viktigaste delarna</w:t>
      </w:r>
      <w:bookmarkEnd w:id="237"/>
    </w:p>
    <w:tbl>
      <w:tblPr>
        <w:tblStyle w:val="Tabellrutnt"/>
        <w:tblW w:w="5000" w:type="pct"/>
        <w:tblLook w:val="04A0" w:firstRow="1" w:lastRow="0" w:firstColumn="1" w:lastColumn="0" w:noHBand="0" w:noVBand="1"/>
        <w:tblDescription w:val="En tabell med tio kolumner: Prioritering; Fond; Specifikt mål; Regionkategori; Belopp som omfattas av finansiering som inte är kopplad till kostnader; Typ av insats som omfattas etc. Tabellen visar information om Sammanfattning av de viktigaste delarna."/>
      </w:tblPr>
      <w:tblGrid>
        <w:gridCol w:w="984"/>
        <w:gridCol w:w="972"/>
        <w:gridCol w:w="1936"/>
        <w:gridCol w:w="994"/>
        <w:gridCol w:w="1464"/>
        <w:gridCol w:w="970"/>
        <w:gridCol w:w="987"/>
        <w:gridCol w:w="1476"/>
        <w:gridCol w:w="970"/>
        <w:gridCol w:w="987"/>
        <w:gridCol w:w="1476"/>
        <w:gridCol w:w="1956"/>
      </w:tblGrid>
      <w:tr w:rsidR="003422DB" w:rsidRPr="00BD3045" w14:paraId="2D066CFB" w14:textId="77777777" w:rsidTr="000E2E27">
        <w:tc>
          <w:tcPr>
            <w:tcW w:w="984" w:type="dxa"/>
            <w:vMerge w:val="restart"/>
            <w:vAlign w:val="center"/>
          </w:tcPr>
          <w:p w14:paraId="2D066CF1" w14:textId="77777777" w:rsidR="00A77B3E" w:rsidRPr="00800D1B" w:rsidRDefault="00623E14" w:rsidP="000E2E27">
            <w:pPr>
              <w:spacing w:before="100"/>
              <w:jc w:val="center"/>
              <w:rPr>
                <w:color w:val="000000"/>
                <w:sz w:val="12"/>
                <w:lang w:val="sv-SE"/>
              </w:rPr>
            </w:pPr>
            <w:r w:rsidRPr="00800D1B">
              <w:rPr>
                <w:color w:val="000000"/>
                <w:sz w:val="12"/>
                <w:lang w:val="sv-SE"/>
              </w:rPr>
              <w:t>Prioritering</w:t>
            </w:r>
          </w:p>
        </w:tc>
        <w:tc>
          <w:tcPr>
            <w:tcW w:w="972" w:type="dxa"/>
            <w:vMerge w:val="restart"/>
            <w:vAlign w:val="center"/>
          </w:tcPr>
          <w:p w14:paraId="2D066CF2" w14:textId="77777777" w:rsidR="00A77B3E" w:rsidRPr="00800D1B" w:rsidRDefault="00623E14" w:rsidP="000E2E27">
            <w:pPr>
              <w:spacing w:before="100"/>
              <w:jc w:val="center"/>
              <w:rPr>
                <w:color w:val="000000"/>
                <w:sz w:val="12"/>
                <w:lang w:val="sv-SE"/>
              </w:rPr>
            </w:pPr>
            <w:r w:rsidRPr="00800D1B">
              <w:rPr>
                <w:color w:val="000000"/>
                <w:sz w:val="12"/>
                <w:lang w:val="sv-SE"/>
              </w:rPr>
              <w:t>Fond</w:t>
            </w:r>
          </w:p>
        </w:tc>
        <w:tc>
          <w:tcPr>
            <w:tcW w:w="1936" w:type="dxa"/>
            <w:vMerge w:val="restart"/>
            <w:vAlign w:val="center"/>
          </w:tcPr>
          <w:p w14:paraId="2D066CF3" w14:textId="77777777" w:rsidR="00A77B3E" w:rsidRPr="00800D1B" w:rsidRDefault="00623E14" w:rsidP="000E2E27">
            <w:pPr>
              <w:spacing w:before="100"/>
              <w:jc w:val="center"/>
              <w:rPr>
                <w:color w:val="000000"/>
                <w:sz w:val="12"/>
                <w:lang w:val="sv-SE"/>
              </w:rPr>
            </w:pPr>
            <w:r w:rsidRPr="00800D1B">
              <w:rPr>
                <w:color w:val="000000"/>
                <w:sz w:val="12"/>
                <w:lang w:val="sv-SE"/>
              </w:rPr>
              <w:t>Specifikt mål</w:t>
            </w:r>
          </w:p>
        </w:tc>
        <w:tc>
          <w:tcPr>
            <w:tcW w:w="994" w:type="dxa"/>
            <w:vMerge w:val="restart"/>
            <w:vAlign w:val="center"/>
          </w:tcPr>
          <w:p w14:paraId="2D066CF4" w14:textId="77777777" w:rsidR="00A77B3E" w:rsidRPr="00800D1B" w:rsidRDefault="00623E14" w:rsidP="000E2E27">
            <w:pPr>
              <w:spacing w:before="100"/>
              <w:jc w:val="center"/>
              <w:rPr>
                <w:color w:val="000000"/>
                <w:sz w:val="12"/>
                <w:lang w:val="sv-SE"/>
              </w:rPr>
            </w:pPr>
            <w:r w:rsidRPr="00800D1B">
              <w:rPr>
                <w:color w:val="000000"/>
                <w:sz w:val="12"/>
                <w:lang w:val="sv-SE"/>
              </w:rPr>
              <w:t>Regionkategori</w:t>
            </w:r>
          </w:p>
        </w:tc>
        <w:tc>
          <w:tcPr>
            <w:tcW w:w="1464" w:type="dxa"/>
            <w:vMerge w:val="restart"/>
            <w:vAlign w:val="center"/>
          </w:tcPr>
          <w:p w14:paraId="2D066CF5" w14:textId="77777777" w:rsidR="00A77B3E" w:rsidRPr="00800D1B" w:rsidRDefault="00623E14" w:rsidP="000E2E27">
            <w:pPr>
              <w:spacing w:before="100"/>
              <w:jc w:val="center"/>
              <w:rPr>
                <w:color w:val="000000"/>
                <w:sz w:val="12"/>
                <w:lang w:val="sv-SE"/>
              </w:rPr>
            </w:pPr>
            <w:r w:rsidRPr="00800D1B">
              <w:rPr>
                <w:color w:val="000000"/>
                <w:sz w:val="12"/>
                <w:lang w:val="sv-SE"/>
              </w:rPr>
              <w:t>Belopp som omfattas av finansiering som inte är kopplad till kostnader</w:t>
            </w:r>
          </w:p>
        </w:tc>
        <w:tc>
          <w:tcPr>
            <w:tcW w:w="1957" w:type="dxa"/>
            <w:gridSpan w:val="2"/>
            <w:vAlign w:val="center"/>
          </w:tcPr>
          <w:p w14:paraId="2D066CF6" w14:textId="77777777" w:rsidR="00A77B3E" w:rsidRPr="00800D1B" w:rsidRDefault="00623E14" w:rsidP="000E2E27">
            <w:pPr>
              <w:spacing w:before="100" w:after="100"/>
              <w:jc w:val="center"/>
              <w:rPr>
                <w:color w:val="000000"/>
                <w:sz w:val="12"/>
                <w:lang w:val="sv-SE"/>
              </w:rPr>
            </w:pPr>
            <w:r w:rsidRPr="00800D1B">
              <w:rPr>
                <w:color w:val="000000"/>
                <w:sz w:val="12"/>
                <w:lang w:val="sv-SE"/>
              </w:rPr>
              <w:t>Typ av insats som omfattas</w:t>
            </w:r>
          </w:p>
        </w:tc>
        <w:tc>
          <w:tcPr>
            <w:tcW w:w="1476" w:type="dxa"/>
            <w:vMerge w:val="restart"/>
            <w:vAlign w:val="center"/>
          </w:tcPr>
          <w:p w14:paraId="2D066CF7" w14:textId="77777777" w:rsidR="00A77B3E" w:rsidRPr="00800D1B" w:rsidRDefault="00623E14" w:rsidP="000E2E27">
            <w:pPr>
              <w:spacing w:before="200" w:after="200"/>
              <w:jc w:val="center"/>
              <w:rPr>
                <w:color w:val="000000"/>
                <w:sz w:val="12"/>
                <w:lang w:val="sv-SE"/>
              </w:rPr>
            </w:pPr>
            <w:r w:rsidRPr="00800D1B">
              <w:rPr>
                <w:color w:val="000000"/>
                <w:sz w:val="12"/>
                <w:lang w:val="sv-SE"/>
              </w:rPr>
              <w:t>Villkor som ska uppfyllas/resultat som ska uppnås för att leda till ersättning från kommissionen</w:t>
            </w:r>
          </w:p>
        </w:tc>
        <w:tc>
          <w:tcPr>
            <w:tcW w:w="1957" w:type="dxa"/>
            <w:gridSpan w:val="2"/>
            <w:vAlign w:val="center"/>
          </w:tcPr>
          <w:p w14:paraId="2D066CF8" w14:textId="77777777" w:rsidR="00A77B3E" w:rsidRPr="00800D1B" w:rsidRDefault="00623E14" w:rsidP="000E2E27">
            <w:pPr>
              <w:spacing w:before="100" w:after="100"/>
              <w:jc w:val="center"/>
              <w:rPr>
                <w:color w:val="000000"/>
                <w:sz w:val="12"/>
                <w:lang w:val="sv-SE"/>
              </w:rPr>
            </w:pPr>
            <w:r w:rsidRPr="00800D1B">
              <w:rPr>
                <w:color w:val="000000"/>
                <w:sz w:val="12"/>
                <w:lang w:val="sv-SE"/>
              </w:rPr>
              <w:t>Indikator</w:t>
            </w:r>
          </w:p>
        </w:tc>
        <w:tc>
          <w:tcPr>
            <w:tcW w:w="1476" w:type="dxa"/>
            <w:vMerge w:val="restart"/>
            <w:vAlign w:val="center"/>
          </w:tcPr>
          <w:p w14:paraId="2D066CF9" w14:textId="77777777" w:rsidR="00A77B3E" w:rsidRPr="00800D1B" w:rsidRDefault="00623E14" w:rsidP="000E2E27">
            <w:pPr>
              <w:spacing w:before="100"/>
              <w:jc w:val="center"/>
              <w:rPr>
                <w:color w:val="000000"/>
                <w:sz w:val="12"/>
                <w:lang w:val="sv-SE"/>
              </w:rPr>
            </w:pPr>
            <w:r w:rsidRPr="00800D1B">
              <w:rPr>
                <w:color w:val="000000"/>
                <w:sz w:val="12"/>
                <w:lang w:val="sv-SE"/>
              </w:rPr>
              <w:t>Måttenhet för indikatorn på de villkor som ska uppfyllas/resultat som ska uppnås för att leda till ersättning från kommissionen</w:t>
            </w:r>
          </w:p>
        </w:tc>
        <w:tc>
          <w:tcPr>
            <w:tcW w:w="1956" w:type="dxa"/>
            <w:vMerge w:val="restart"/>
            <w:vAlign w:val="center"/>
          </w:tcPr>
          <w:p w14:paraId="2D066CFA" w14:textId="77777777" w:rsidR="00A77B3E" w:rsidRPr="00800D1B" w:rsidRDefault="00623E14" w:rsidP="000E2E27">
            <w:pPr>
              <w:spacing w:before="100"/>
              <w:jc w:val="center"/>
              <w:rPr>
                <w:color w:val="000000"/>
                <w:sz w:val="12"/>
                <w:lang w:val="sv-SE"/>
              </w:rPr>
            </w:pPr>
            <w:r w:rsidRPr="00800D1B">
              <w:rPr>
                <w:color w:val="000000"/>
                <w:sz w:val="12"/>
                <w:lang w:val="sv-SE"/>
              </w:rPr>
              <w:t>Planerad typ av ersättningsmetod som används för ersättning till bidragsmottagaren</w:t>
            </w:r>
          </w:p>
        </w:tc>
      </w:tr>
      <w:tr w:rsidR="003422DB" w:rsidRPr="00800D1B" w14:paraId="2D066D08" w14:textId="77777777" w:rsidTr="000E2E27">
        <w:tc>
          <w:tcPr>
            <w:tcW w:w="984" w:type="dxa"/>
            <w:vMerge/>
            <w:vAlign w:val="center"/>
          </w:tcPr>
          <w:p w14:paraId="2D066CFC" w14:textId="77777777" w:rsidR="00A77B3E" w:rsidRPr="00800D1B" w:rsidRDefault="00A77B3E" w:rsidP="000E2E27">
            <w:pPr>
              <w:spacing w:before="100"/>
              <w:jc w:val="center"/>
              <w:rPr>
                <w:color w:val="000000"/>
                <w:sz w:val="12"/>
                <w:lang w:val="sv-SE"/>
              </w:rPr>
            </w:pPr>
          </w:p>
        </w:tc>
        <w:tc>
          <w:tcPr>
            <w:tcW w:w="972" w:type="dxa"/>
            <w:vMerge/>
            <w:vAlign w:val="center"/>
          </w:tcPr>
          <w:p w14:paraId="2D066CFD" w14:textId="77777777" w:rsidR="00A77B3E" w:rsidRPr="00800D1B" w:rsidRDefault="00A77B3E" w:rsidP="000E2E27">
            <w:pPr>
              <w:spacing w:before="100"/>
              <w:jc w:val="center"/>
              <w:rPr>
                <w:color w:val="000000"/>
                <w:sz w:val="12"/>
                <w:lang w:val="sv-SE"/>
              </w:rPr>
            </w:pPr>
          </w:p>
        </w:tc>
        <w:tc>
          <w:tcPr>
            <w:tcW w:w="1936" w:type="dxa"/>
            <w:vMerge/>
            <w:vAlign w:val="center"/>
          </w:tcPr>
          <w:p w14:paraId="2D066CFE" w14:textId="77777777" w:rsidR="00A77B3E" w:rsidRPr="00800D1B" w:rsidRDefault="00A77B3E" w:rsidP="000E2E27">
            <w:pPr>
              <w:spacing w:before="100"/>
              <w:jc w:val="center"/>
              <w:rPr>
                <w:color w:val="000000"/>
                <w:sz w:val="12"/>
                <w:lang w:val="sv-SE"/>
              </w:rPr>
            </w:pPr>
          </w:p>
        </w:tc>
        <w:tc>
          <w:tcPr>
            <w:tcW w:w="994" w:type="dxa"/>
            <w:vMerge/>
            <w:vAlign w:val="center"/>
          </w:tcPr>
          <w:p w14:paraId="2D066CFF" w14:textId="77777777" w:rsidR="00A77B3E" w:rsidRPr="00800D1B" w:rsidRDefault="00A77B3E" w:rsidP="000E2E27">
            <w:pPr>
              <w:spacing w:before="100"/>
              <w:jc w:val="center"/>
              <w:rPr>
                <w:color w:val="000000"/>
                <w:sz w:val="12"/>
                <w:lang w:val="sv-SE"/>
              </w:rPr>
            </w:pPr>
          </w:p>
        </w:tc>
        <w:tc>
          <w:tcPr>
            <w:tcW w:w="1464" w:type="dxa"/>
            <w:vMerge/>
            <w:vAlign w:val="center"/>
          </w:tcPr>
          <w:p w14:paraId="2D066D00" w14:textId="77777777" w:rsidR="00A77B3E" w:rsidRPr="00800D1B" w:rsidRDefault="00A77B3E" w:rsidP="000E2E27">
            <w:pPr>
              <w:spacing w:before="100"/>
              <w:jc w:val="center"/>
              <w:rPr>
                <w:color w:val="000000"/>
                <w:sz w:val="12"/>
                <w:lang w:val="sv-SE"/>
              </w:rPr>
            </w:pPr>
          </w:p>
        </w:tc>
        <w:tc>
          <w:tcPr>
            <w:tcW w:w="970" w:type="dxa"/>
            <w:vAlign w:val="center"/>
          </w:tcPr>
          <w:p w14:paraId="2D066D01" w14:textId="679C47F2" w:rsidR="00A77B3E" w:rsidRPr="00800D1B" w:rsidRDefault="00623E14" w:rsidP="000E2E27">
            <w:pPr>
              <w:spacing w:before="100"/>
              <w:jc w:val="center"/>
              <w:rPr>
                <w:color w:val="000000"/>
                <w:sz w:val="12"/>
                <w:lang w:val="sv-SE"/>
              </w:rPr>
            </w:pPr>
            <w:r w:rsidRPr="00800D1B">
              <w:rPr>
                <w:color w:val="000000"/>
                <w:sz w:val="12"/>
                <w:lang w:val="sv-SE"/>
              </w:rPr>
              <w:t xml:space="preserve">Kod </w:t>
            </w:r>
            <w:r w:rsidR="00E516B6" w:rsidRPr="00800D1B">
              <w:rPr>
                <w:rStyle w:val="Fotnotsreferens"/>
                <w:color w:val="000000"/>
                <w:sz w:val="12"/>
                <w:vertAlign w:val="baseline"/>
                <w:lang w:val="sv-SE"/>
              </w:rPr>
              <w:footnoteReference w:customMarkFollows="1" w:id="15"/>
              <w:t>(1)</w:t>
            </w:r>
          </w:p>
        </w:tc>
        <w:tc>
          <w:tcPr>
            <w:tcW w:w="987" w:type="dxa"/>
            <w:vAlign w:val="center"/>
          </w:tcPr>
          <w:p w14:paraId="2D066D02" w14:textId="77777777" w:rsidR="00A77B3E" w:rsidRPr="00800D1B" w:rsidRDefault="00623E14" w:rsidP="000E2E27">
            <w:pPr>
              <w:spacing w:before="100"/>
              <w:jc w:val="center"/>
              <w:rPr>
                <w:color w:val="000000"/>
                <w:sz w:val="12"/>
                <w:lang w:val="sv-SE"/>
              </w:rPr>
            </w:pPr>
            <w:r w:rsidRPr="00800D1B">
              <w:rPr>
                <w:color w:val="000000"/>
                <w:sz w:val="12"/>
                <w:lang w:val="sv-SE"/>
              </w:rPr>
              <w:t>Beskrivning</w:t>
            </w:r>
          </w:p>
        </w:tc>
        <w:tc>
          <w:tcPr>
            <w:tcW w:w="1476" w:type="dxa"/>
            <w:vMerge/>
            <w:vAlign w:val="center"/>
          </w:tcPr>
          <w:p w14:paraId="2D066D03" w14:textId="77777777" w:rsidR="00A77B3E" w:rsidRPr="00800D1B" w:rsidRDefault="00A77B3E" w:rsidP="000E2E27">
            <w:pPr>
              <w:spacing w:before="100"/>
              <w:jc w:val="center"/>
              <w:rPr>
                <w:color w:val="000000"/>
                <w:sz w:val="12"/>
                <w:lang w:val="sv-SE"/>
              </w:rPr>
            </w:pPr>
          </w:p>
        </w:tc>
        <w:tc>
          <w:tcPr>
            <w:tcW w:w="970" w:type="dxa"/>
            <w:vAlign w:val="center"/>
          </w:tcPr>
          <w:p w14:paraId="2D066D04" w14:textId="38A356DB" w:rsidR="00A77B3E" w:rsidRPr="00800D1B" w:rsidRDefault="00623E14" w:rsidP="000E2E27">
            <w:pPr>
              <w:spacing w:before="100"/>
              <w:jc w:val="center"/>
              <w:rPr>
                <w:color w:val="000000"/>
                <w:sz w:val="12"/>
                <w:lang w:val="sv-SE"/>
              </w:rPr>
            </w:pPr>
            <w:r w:rsidRPr="00800D1B">
              <w:rPr>
                <w:color w:val="000000"/>
                <w:sz w:val="12"/>
                <w:lang w:val="sv-SE"/>
              </w:rPr>
              <w:t>Kod</w:t>
            </w:r>
            <w:r w:rsidR="00E516B6" w:rsidRPr="00800D1B">
              <w:rPr>
                <w:rStyle w:val="Fotnotsreferens"/>
                <w:color w:val="000000"/>
                <w:sz w:val="12"/>
                <w:vertAlign w:val="baseline"/>
                <w:lang w:val="sv-SE"/>
              </w:rPr>
              <w:footnoteReference w:customMarkFollows="1" w:id="16"/>
              <w:t>(2)</w:t>
            </w:r>
          </w:p>
        </w:tc>
        <w:tc>
          <w:tcPr>
            <w:tcW w:w="987" w:type="dxa"/>
            <w:vAlign w:val="center"/>
          </w:tcPr>
          <w:p w14:paraId="2D066D05" w14:textId="77777777" w:rsidR="00A77B3E" w:rsidRPr="00800D1B" w:rsidRDefault="00623E14" w:rsidP="000E2E27">
            <w:pPr>
              <w:spacing w:before="100"/>
              <w:jc w:val="center"/>
              <w:rPr>
                <w:color w:val="000000"/>
                <w:sz w:val="12"/>
                <w:lang w:val="sv-SE"/>
              </w:rPr>
            </w:pPr>
            <w:r w:rsidRPr="00800D1B">
              <w:rPr>
                <w:color w:val="000000"/>
                <w:sz w:val="12"/>
                <w:lang w:val="sv-SE"/>
              </w:rPr>
              <w:t>Beskrivning</w:t>
            </w:r>
          </w:p>
        </w:tc>
        <w:tc>
          <w:tcPr>
            <w:tcW w:w="1476" w:type="dxa"/>
            <w:vMerge/>
            <w:vAlign w:val="center"/>
          </w:tcPr>
          <w:p w14:paraId="2D066D06" w14:textId="77777777" w:rsidR="00A77B3E" w:rsidRPr="00800D1B" w:rsidRDefault="00A77B3E" w:rsidP="000E2E27">
            <w:pPr>
              <w:spacing w:before="100"/>
              <w:jc w:val="center"/>
              <w:rPr>
                <w:color w:val="000000"/>
                <w:sz w:val="12"/>
                <w:lang w:val="sv-SE"/>
              </w:rPr>
            </w:pPr>
          </w:p>
        </w:tc>
        <w:tc>
          <w:tcPr>
            <w:tcW w:w="1956" w:type="dxa"/>
            <w:vMerge/>
            <w:vAlign w:val="center"/>
          </w:tcPr>
          <w:p w14:paraId="2D066D07" w14:textId="77777777" w:rsidR="00A77B3E" w:rsidRPr="00800D1B" w:rsidRDefault="00A77B3E" w:rsidP="000E2E27">
            <w:pPr>
              <w:spacing w:before="100"/>
              <w:jc w:val="center"/>
              <w:rPr>
                <w:color w:val="000000"/>
                <w:sz w:val="12"/>
                <w:lang w:val="sv-SE"/>
              </w:rPr>
            </w:pPr>
          </w:p>
        </w:tc>
      </w:tr>
    </w:tbl>
    <w:p w14:paraId="2D066D0A" w14:textId="0C500DAA" w:rsidR="00A77B3E" w:rsidRPr="00800D1B" w:rsidRDefault="00A77B3E">
      <w:pPr>
        <w:spacing w:before="100"/>
        <w:rPr>
          <w:color w:val="000000"/>
          <w:sz w:val="12"/>
          <w:lang w:val="sv-SE"/>
        </w:rPr>
      </w:pPr>
    </w:p>
    <w:p w14:paraId="2D066D0B" w14:textId="77777777" w:rsidR="00A77B3E" w:rsidRPr="00800D1B" w:rsidRDefault="00A77B3E">
      <w:pPr>
        <w:spacing w:before="100"/>
        <w:rPr>
          <w:color w:val="000000"/>
          <w:sz w:val="12"/>
          <w:lang w:val="sv-SE"/>
        </w:rPr>
        <w:sectPr w:rsidR="00A77B3E" w:rsidRPr="00800D1B" w:rsidSect="0065165D">
          <w:headerReference w:type="even" r:id="rId111"/>
          <w:headerReference w:type="default" r:id="rId112"/>
          <w:footerReference w:type="even" r:id="rId113"/>
          <w:footerReference w:type="default" r:id="rId114"/>
          <w:headerReference w:type="first" r:id="rId115"/>
          <w:footerReference w:type="first" r:id="rId116"/>
          <w:footnotePr>
            <w:numRestart w:val="eachPage"/>
          </w:footnotePr>
          <w:pgSz w:w="16838" w:h="11906" w:orient="landscape"/>
          <w:pgMar w:top="720" w:right="720" w:bottom="864" w:left="936" w:header="288" w:footer="72" w:gutter="0"/>
          <w:cols w:space="720"/>
          <w:noEndnote/>
          <w:docGrid w:linePitch="360"/>
        </w:sectPr>
      </w:pPr>
    </w:p>
    <w:p w14:paraId="2D066D0C" w14:textId="6332331C" w:rsidR="00A77B3E" w:rsidRPr="00800D1B" w:rsidRDefault="00623E14">
      <w:pPr>
        <w:pStyle w:val="Rubrik3"/>
        <w:numPr>
          <w:ilvl w:val="0"/>
          <w:numId w:val="59"/>
        </w:numPr>
        <w:spacing w:before="300" w:after="300"/>
        <w:ind w:left="360"/>
        <w:contextualSpacing w:val="0"/>
        <w:rPr>
          <w:lang w:val="sv-SE"/>
        </w:rPr>
      </w:pPr>
      <w:bookmarkStart w:id="238" w:name="_Toc256000479"/>
      <w:r w:rsidRPr="00800D1B">
        <w:rPr>
          <w:lang w:val="sv-SE"/>
        </w:rPr>
        <w:t>Uppgifter per typ av insats</w:t>
      </w:r>
      <w:bookmarkEnd w:id="238"/>
    </w:p>
    <w:p w14:paraId="2D066D0D" w14:textId="77777777" w:rsidR="00A77B3E" w:rsidRPr="00800D1B" w:rsidRDefault="00A77B3E">
      <w:pPr>
        <w:spacing w:before="100"/>
        <w:rPr>
          <w:color w:val="000000"/>
          <w:lang w:val="sv-SE"/>
        </w:rPr>
        <w:sectPr w:rsidR="00A77B3E" w:rsidRPr="00800D1B" w:rsidSect="0065165D">
          <w:headerReference w:type="even" r:id="rId117"/>
          <w:headerReference w:type="default" r:id="rId118"/>
          <w:footerReference w:type="even" r:id="rId119"/>
          <w:footerReference w:type="default" r:id="rId120"/>
          <w:headerReference w:type="first" r:id="rId121"/>
          <w:footerReference w:type="first" r:id="rId122"/>
          <w:pgSz w:w="11906" w:h="16838"/>
          <w:pgMar w:top="720" w:right="936" w:bottom="864" w:left="720" w:header="0" w:footer="72" w:gutter="0"/>
          <w:cols w:space="720"/>
          <w:noEndnote/>
          <w:docGrid w:linePitch="360"/>
        </w:sectPr>
      </w:pPr>
    </w:p>
    <w:p w14:paraId="2D066D0E" w14:textId="329E4B13" w:rsidR="00A77B3E" w:rsidRPr="00800D1B" w:rsidRDefault="00623E14" w:rsidP="008D48E0">
      <w:pPr>
        <w:pStyle w:val="Rubrik2"/>
        <w:numPr>
          <w:ilvl w:val="0"/>
          <w:numId w:val="0"/>
        </w:numPr>
        <w:spacing w:after="260"/>
        <w:rPr>
          <w:lang w:val="sv-SE"/>
        </w:rPr>
      </w:pPr>
      <w:bookmarkStart w:id="239" w:name="_Toc256000480"/>
      <w:r w:rsidRPr="00800D1B">
        <w:rPr>
          <w:lang w:val="sv-SE"/>
        </w:rPr>
        <w:t>Tillägg 3: Förteckning över planerade insatser av strategisk betydelse med en tidplan</w:t>
      </w:r>
      <w:bookmarkEnd w:id="239"/>
    </w:p>
    <w:p w14:paraId="2D066D0F" w14:textId="77777777" w:rsidR="00A77B3E" w:rsidRPr="00800D1B" w:rsidRDefault="00A77B3E">
      <w:pPr>
        <w:spacing w:before="100"/>
        <w:rPr>
          <w:color w:val="000000"/>
          <w:sz w:val="0"/>
          <w:lang w:val="sv-SE"/>
        </w:rPr>
      </w:pPr>
    </w:p>
    <w:p w14:paraId="2D066D10" w14:textId="0F0E8385" w:rsidR="00A77B3E" w:rsidRPr="00800D1B" w:rsidRDefault="00623E14" w:rsidP="00261501">
      <w:pPr>
        <w:spacing w:before="100" w:after="120"/>
        <w:rPr>
          <w:color w:val="000000"/>
          <w:sz w:val="0"/>
          <w:lang w:val="sv-SE"/>
        </w:rPr>
      </w:pPr>
      <w:r w:rsidRPr="00800D1B">
        <w:rPr>
          <w:color w:val="000000"/>
          <w:lang w:val="sv-SE"/>
        </w:rPr>
        <w:t>Artikel 22.3 i förordningen om gemensamma bestämmelser</w:t>
      </w:r>
    </w:p>
    <w:p w14:paraId="491D1C17" w14:textId="6F5C407B" w:rsidR="002D215A" w:rsidRPr="00800D1B" w:rsidRDefault="002D215A" w:rsidP="00F15D04">
      <w:pPr>
        <w:pBdr>
          <w:top w:val="single" w:sz="4" w:space="10" w:color="auto"/>
          <w:left w:val="single" w:sz="4" w:space="4" w:color="auto"/>
          <w:right w:val="single" w:sz="4" w:space="4" w:color="auto"/>
        </w:pBdr>
        <w:spacing w:before="100" w:after="400"/>
        <w:ind w:left="90"/>
        <w:rPr>
          <w:color w:val="000000"/>
          <w:lang w:val="sv-SE"/>
        </w:rPr>
      </w:pPr>
      <w:r w:rsidRPr="00800D1B">
        <w:rPr>
          <w:color w:val="000000"/>
          <w:lang w:val="sv-SE"/>
        </w:rPr>
        <w:t>Den digitala omvandlingen av samhället är en av de identifierade transformationer som fordras för att nå målen i Agenda 2030. Transformationen skapar både utmaningar och möjligheter och påverkar samtliga sektorer i grunden.</w:t>
      </w:r>
    </w:p>
    <w:p w14:paraId="484A6067" w14:textId="68ACA52D" w:rsidR="002D215A" w:rsidRPr="00800D1B" w:rsidRDefault="002D215A" w:rsidP="00A52AEE">
      <w:pPr>
        <w:pBdr>
          <w:left w:val="single" w:sz="4" w:space="4" w:color="auto"/>
          <w:bottom w:val="single" w:sz="4" w:space="10" w:color="auto"/>
          <w:right w:val="single" w:sz="4" w:space="4" w:color="auto"/>
        </w:pBdr>
        <w:spacing w:before="100"/>
        <w:ind w:left="101"/>
        <w:rPr>
          <w:color w:val="000000"/>
          <w:lang w:val="sv-SE"/>
        </w:rPr>
      </w:pPr>
      <w:r w:rsidRPr="00800D1B">
        <w:rPr>
          <w:color w:val="000000"/>
          <w:lang w:val="sv-SE"/>
        </w:rPr>
        <w:t>Digitaliseringen är ett viktigt verktyg både för konkurrenskraften och för en hållbar regional och global utveckling. Samtidigt står delar av näringslivet och offentlig sektor inför utmaningar i att använda den nya tekniken. För att öka det regionala näringslivets och offentlig sektors förmåga att ta tillvara på digitaliseringens möjligheter ska Eruf Övre Norrland möjliggöra synergier med programmet för ett digitalt Europa och utveckla Europeiska digitala innovationshubbar samt digitala innovationshubbar. För att öka digitaliseringstakten ska programmet också kunna bidra med spets, expertis, forskning, nätverk och testmiljöer. Programmet för Övre Norrland planerar därför följande insatser av strategisk betydelse;– Utveckla EDIH och/eller digitala innovationshubbar genom finansiering via Eruf Dessa anses vara strategiska ur ett regionalt, nationellt och europeiskt perspektiv.Preliminär tidplan: Beslut inom specifikt mål 1.2 planeras under 2022. Genomförandet planeras till 2022–2027.Den totala budgeten för specifikt mål 1.2 är preliminärt för merutvecklade områden 15,7 miljoner euro och för Yttre randområden 680 828 euro. Delar av denna budget planeras användas till att utveckla EDIH och/eller digitala innovationshubbar.</w:t>
      </w:r>
    </w:p>
    <w:p w14:paraId="2D066D17" w14:textId="77777777" w:rsidR="00A77B3E" w:rsidRPr="00800D1B" w:rsidRDefault="00A77B3E">
      <w:pPr>
        <w:spacing w:before="100"/>
        <w:rPr>
          <w:color w:val="000000"/>
          <w:lang w:val="sv-SE"/>
        </w:rPr>
        <w:sectPr w:rsidR="00A77B3E" w:rsidRPr="00800D1B" w:rsidSect="0065165D">
          <w:headerReference w:type="even" r:id="rId123"/>
          <w:headerReference w:type="default" r:id="rId124"/>
          <w:footerReference w:type="even" r:id="rId125"/>
          <w:footerReference w:type="default" r:id="rId126"/>
          <w:headerReference w:type="first" r:id="rId127"/>
          <w:footerReference w:type="first" r:id="rId128"/>
          <w:pgSz w:w="11906" w:h="16838"/>
          <w:pgMar w:top="720" w:right="936" w:bottom="864" w:left="720" w:header="0" w:footer="72" w:gutter="0"/>
          <w:cols w:space="720"/>
          <w:noEndnote/>
          <w:docGrid w:linePitch="360"/>
        </w:sectPr>
      </w:pPr>
    </w:p>
    <w:p w14:paraId="2D066D18" w14:textId="1872BA90" w:rsidR="00A77B3E" w:rsidRPr="00800D1B" w:rsidRDefault="00623E14" w:rsidP="008D48E0">
      <w:pPr>
        <w:pStyle w:val="Rubrik2"/>
        <w:numPr>
          <w:ilvl w:val="0"/>
          <w:numId w:val="0"/>
        </w:numPr>
        <w:spacing w:after="260"/>
        <w:rPr>
          <w:lang w:val="sv-SE"/>
        </w:rPr>
      </w:pPr>
      <w:bookmarkStart w:id="240" w:name="_Toc256000481"/>
      <w:r w:rsidRPr="00800D1B">
        <w:rPr>
          <w:lang w:val="sv-SE"/>
        </w:rPr>
        <w:t>DOKUMENT</w:t>
      </w:r>
      <w:bookmarkEnd w:id="240"/>
    </w:p>
    <w:tbl>
      <w:tblPr>
        <w:tblStyle w:val="Tabellrutnt"/>
        <w:tblW w:w="5000" w:type="pct"/>
        <w:tblLook w:val="04A0" w:firstRow="1" w:lastRow="0" w:firstColumn="1" w:lastColumn="0" w:noHBand="0" w:noVBand="1"/>
        <w:tblDescription w:val="En tabell med åtta kolumner: Dokumentrubrik; Dokumenttyp; Datum för dokumentet; Lokal referens; Kommissionens referensnummer; Dokumentation; Skickat den; Skickat av. Tabellen visar information om Dokument."/>
      </w:tblPr>
      <w:tblGrid>
        <w:gridCol w:w="1908"/>
        <w:gridCol w:w="1730"/>
        <w:gridCol w:w="1081"/>
        <w:gridCol w:w="1729"/>
        <w:gridCol w:w="1729"/>
        <w:gridCol w:w="4185"/>
        <w:gridCol w:w="1081"/>
        <w:gridCol w:w="1729"/>
      </w:tblGrid>
      <w:tr w:rsidR="003422DB" w:rsidRPr="00800D1B" w14:paraId="2D066D22" w14:textId="77777777" w:rsidTr="0035552F">
        <w:trPr>
          <w:trHeight w:val="240"/>
        </w:trPr>
        <w:tc>
          <w:tcPr>
            <w:tcW w:w="1908" w:type="dxa"/>
          </w:tcPr>
          <w:p w14:paraId="2D066D1A" w14:textId="77777777" w:rsidR="00A77B3E" w:rsidRPr="00800D1B" w:rsidRDefault="00623E14" w:rsidP="0035552F">
            <w:pPr>
              <w:spacing w:before="100"/>
              <w:ind w:right="-90"/>
              <w:jc w:val="center"/>
              <w:rPr>
                <w:color w:val="000000"/>
                <w:sz w:val="16"/>
                <w:lang w:val="sv-SE"/>
              </w:rPr>
            </w:pPr>
            <w:r w:rsidRPr="00800D1B">
              <w:rPr>
                <w:color w:val="000000"/>
                <w:sz w:val="16"/>
                <w:lang w:val="sv-SE"/>
              </w:rPr>
              <w:t>Dokumentrubrik</w:t>
            </w:r>
          </w:p>
        </w:tc>
        <w:tc>
          <w:tcPr>
            <w:tcW w:w="1730" w:type="dxa"/>
          </w:tcPr>
          <w:p w14:paraId="2D066D1B" w14:textId="77777777" w:rsidR="00A77B3E" w:rsidRPr="00800D1B" w:rsidRDefault="00623E14" w:rsidP="0035552F">
            <w:pPr>
              <w:spacing w:before="100"/>
              <w:ind w:right="-90"/>
              <w:jc w:val="center"/>
              <w:rPr>
                <w:color w:val="000000"/>
                <w:sz w:val="16"/>
                <w:lang w:val="sv-SE"/>
              </w:rPr>
            </w:pPr>
            <w:r w:rsidRPr="00800D1B">
              <w:rPr>
                <w:color w:val="000000"/>
                <w:sz w:val="16"/>
                <w:lang w:val="sv-SE"/>
              </w:rPr>
              <w:t>Dokumenttyp</w:t>
            </w:r>
          </w:p>
        </w:tc>
        <w:tc>
          <w:tcPr>
            <w:tcW w:w="1081" w:type="dxa"/>
          </w:tcPr>
          <w:p w14:paraId="2D066D1C" w14:textId="77777777" w:rsidR="00A77B3E" w:rsidRPr="00800D1B" w:rsidRDefault="00623E14" w:rsidP="0035552F">
            <w:pPr>
              <w:spacing w:before="100"/>
              <w:ind w:right="-90"/>
              <w:jc w:val="center"/>
              <w:rPr>
                <w:color w:val="000000"/>
                <w:sz w:val="16"/>
                <w:lang w:val="sv-SE"/>
              </w:rPr>
            </w:pPr>
            <w:r w:rsidRPr="00800D1B">
              <w:rPr>
                <w:color w:val="000000"/>
                <w:sz w:val="16"/>
                <w:lang w:val="sv-SE"/>
              </w:rPr>
              <w:t>Datum för dokumentet</w:t>
            </w:r>
          </w:p>
        </w:tc>
        <w:tc>
          <w:tcPr>
            <w:tcW w:w="1729" w:type="dxa"/>
          </w:tcPr>
          <w:p w14:paraId="2D066D1D" w14:textId="77777777" w:rsidR="00A77B3E" w:rsidRPr="00800D1B" w:rsidRDefault="00623E14" w:rsidP="0035552F">
            <w:pPr>
              <w:spacing w:before="100"/>
              <w:ind w:right="-90"/>
              <w:jc w:val="center"/>
              <w:rPr>
                <w:color w:val="000000"/>
                <w:sz w:val="16"/>
                <w:lang w:val="sv-SE"/>
              </w:rPr>
            </w:pPr>
            <w:r w:rsidRPr="00800D1B">
              <w:rPr>
                <w:color w:val="000000"/>
                <w:sz w:val="16"/>
                <w:lang w:val="sv-SE"/>
              </w:rPr>
              <w:t>Lokal referens</w:t>
            </w:r>
          </w:p>
        </w:tc>
        <w:tc>
          <w:tcPr>
            <w:tcW w:w="1729" w:type="dxa"/>
          </w:tcPr>
          <w:p w14:paraId="2D066D1E" w14:textId="77777777" w:rsidR="00A77B3E" w:rsidRPr="00800D1B" w:rsidRDefault="00623E14" w:rsidP="0035552F">
            <w:pPr>
              <w:spacing w:before="100" w:after="100"/>
              <w:ind w:right="-90"/>
              <w:jc w:val="center"/>
              <w:rPr>
                <w:color w:val="000000"/>
                <w:sz w:val="16"/>
                <w:lang w:val="sv-SE"/>
              </w:rPr>
            </w:pPr>
            <w:r w:rsidRPr="00800D1B">
              <w:rPr>
                <w:color w:val="000000"/>
                <w:sz w:val="16"/>
                <w:lang w:val="sv-SE"/>
              </w:rPr>
              <w:t>Kommissionens referensnummer</w:t>
            </w:r>
          </w:p>
        </w:tc>
        <w:tc>
          <w:tcPr>
            <w:tcW w:w="4185" w:type="dxa"/>
          </w:tcPr>
          <w:p w14:paraId="2D066D1F" w14:textId="77777777" w:rsidR="00A77B3E" w:rsidRPr="00800D1B" w:rsidRDefault="00623E14" w:rsidP="0035552F">
            <w:pPr>
              <w:spacing w:before="100"/>
              <w:ind w:right="-90"/>
              <w:jc w:val="center"/>
              <w:rPr>
                <w:color w:val="000000"/>
                <w:sz w:val="16"/>
                <w:lang w:val="sv-SE"/>
              </w:rPr>
            </w:pPr>
            <w:r w:rsidRPr="00800D1B">
              <w:rPr>
                <w:color w:val="000000"/>
                <w:sz w:val="16"/>
                <w:lang w:val="sv-SE"/>
              </w:rPr>
              <w:t>Dokumentation</w:t>
            </w:r>
          </w:p>
        </w:tc>
        <w:tc>
          <w:tcPr>
            <w:tcW w:w="1081" w:type="dxa"/>
          </w:tcPr>
          <w:p w14:paraId="2D066D20" w14:textId="77777777" w:rsidR="00A77B3E" w:rsidRPr="00800D1B" w:rsidRDefault="00623E14" w:rsidP="0035552F">
            <w:pPr>
              <w:spacing w:before="100"/>
              <w:ind w:right="-90"/>
              <w:jc w:val="center"/>
              <w:rPr>
                <w:color w:val="000000"/>
                <w:sz w:val="16"/>
                <w:lang w:val="sv-SE"/>
              </w:rPr>
            </w:pPr>
            <w:r w:rsidRPr="00800D1B">
              <w:rPr>
                <w:color w:val="000000"/>
                <w:sz w:val="16"/>
                <w:lang w:val="sv-SE"/>
              </w:rPr>
              <w:t>Skickat den</w:t>
            </w:r>
          </w:p>
        </w:tc>
        <w:tc>
          <w:tcPr>
            <w:tcW w:w="1729" w:type="dxa"/>
          </w:tcPr>
          <w:p w14:paraId="2D066D21" w14:textId="77777777" w:rsidR="00A77B3E" w:rsidRPr="00800D1B" w:rsidRDefault="00623E14" w:rsidP="0035552F">
            <w:pPr>
              <w:spacing w:before="100"/>
              <w:ind w:right="-90"/>
              <w:jc w:val="center"/>
              <w:rPr>
                <w:color w:val="000000"/>
                <w:sz w:val="16"/>
                <w:lang w:val="sv-SE"/>
              </w:rPr>
            </w:pPr>
            <w:r w:rsidRPr="00800D1B">
              <w:rPr>
                <w:color w:val="000000"/>
                <w:sz w:val="16"/>
                <w:lang w:val="sv-SE"/>
              </w:rPr>
              <w:t>Skickat av</w:t>
            </w:r>
          </w:p>
        </w:tc>
      </w:tr>
      <w:tr w:rsidR="003422DB" w:rsidRPr="00800D1B" w14:paraId="2D066D2B" w14:textId="77777777" w:rsidTr="0035552F">
        <w:trPr>
          <w:trHeight w:val="240"/>
        </w:trPr>
        <w:tc>
          <w:tcPr>
            <w:tcW w:w="1908" w:type="dxa"/>
          </w:tcPr>
          <w:p w14:paraId="2D066D23" w14:textId="77777777" w:rsidR="00A77B3E" w:rsidRPr="00800D1B" w:rsidRDefault="00623E14" w:rsidP="0035552F">
            <w:pPr>
              <w:spacing w:before="100" w:after="100"/>
              <w:ind w:left="-14" w:right="-90"/>
              <w:rPr>
                <w:color w:val="000000"/>
                <w:sz w:val="16"/>
                <w:lang w:val="sv-SE"/>
              </w:rPr>
            </w:pPr>
            <w:r w:rsidRPr="00800D1B">
              <w:rPr>
                <w:color w:val="000000"/>
                <w:sz w:val="16"/>
                <w:lang w:val="sv-SE"/>
              </w:rPr>
              <w:t>Beskrivning av hur horisontella/övergripande principer (art. 9 CPR) hanteras i förberedelser, genomförande, uppföljning, rapportering och utvärdering av program</w:t>
            </w:r>
          </w:p>
        </w:tc>
        <w:tc>
          <w:tcPr>
            <w:tcW w:w="1730" w:type="dxa"/>
          </w:tcPr>
          <w:p w14:paraId="2D066D24" w14:textId="77777777" w:rsidR="00A77B3E" w:rsidRPr="00800D1B" w:rsidRDefault="00623E14" w:rsidP="0035552F">
            <w:pPr>
              <w:spacing w:before="100"/>
              <w:ind w:left="-14" w:right="-90"/>
              <w:rPr>
                <w:color w:val="000000"/>
                <w:sz w:val="16"/>
                <w:lang w:val="sv-SE"/>
              </w:rPr>
            </w:pPr>
            <w:r w:rsidRPr="00800D1B">
              <w:rPr>
                <w:color w:val="000000"/>
                <w:sz w:val="16"/>
                <w:lang w:val="sv-SE"/>
              </w:rPr>
              <w:t>Kompletterande information</w:t>
            </w:r>
          </w:p>
        </w:tc>
        <w:tc>
          <w:tcPr>
            <w:tcW w:w="1081" w:type="dxa"/>
          </w:tcPr>
          <w:p w14:paraId="2D066D25" w14:textId="77777777" w:rsidR="00A77B3E" w:rsidRPr="00800D1B" w:rsidRDefault="00623E14" w:rsidP="0035552F">
            <w:pPr>
              <w:spacing w:before="100"/>
              <w:ind w:left="-14" w:right="-90"/>
              <w:rPr>
                <w:color w:val="000000"/>
                <w:sz w:val="16"/>
                <w:lang w:val="sv-SE"/>
              </w:rPr>
            </w:pPr>
            <w:r w:rsidRPr="00800D1B">
              <w:rPr>
                <w:color w:val="000000"/>
                <w:sz w:val="16"/>
                <w:lang w:val="sv-SE"/>
              </w:rPr>
              <w:t>2022-apr-28</w:t>
            </w:r>
          </w:p>
        </w:tc>
        <w:tc>
          <w:tcPr>
            <w:tcW w:w="1729" w:type="dxa"/>
          </w:tcPr>
          <w:p w14:paraId="2D066D26" w14:textId="77777777" w:rsidR="00A77B3E" w:rsidRPr="00800D1B" w:rsidRDefault="00A77B3E" w:rsidP="0035552F">
            <w:pPr>
              <w:spacing w:before="100"/>
              <w:ind w:left="-14" w:right="-90"/>
              <w:rPr>
                <w:color w:val="000000"/>
                <w:sz w:val="16"/>
                <w:lang w:val="sv-SE"/>
              </w:rPr>
            </w:pPr>
          </w:p>
        </w:tc>
        <w:tc>
          <w:tcPr>
            <w:tcW w:w="1729" w:type="dxa"/>
          </w:tcPr>
          <w:p w14:paraId="2D066D27" w14:textId="77777777" w:rsidR="00A77B3E" w:rsidRPr="00800D1B" w:rsidRDefault="00623E14" w:rsidP="0035552F">
            <w:pPr>
              <w:spacing w:before="100"/>
              <w:ind w:left="-14" w:right="-90"/>
              <w:rPr>
                <w:color w:val="000000"/>
                <w:sz w:val="16"/>
                <w:lang w:val="sv-SE"/>
              </w:rPr>
            </w:pPr>
            <w:r w:rsidRPr="00800D1B">
              <w:rPr>
                <w:color w:val="000000"/>
                <w:sz w:val="16"/>
                <w:lang w:val="sv-SE"/>
              </w:rPr>
              <w:t>Ares(2022)7848786</w:t>
            </w:r>
          </w:p>
        </w:tc>
        <w:tc>
          <w:tcPr>
            <w:tcW w:w="4185" w:type="dxa"/>
          </w:tcPr>
          <w:p w14:paraId="2D066D28" w14:textId="77777777" w:rsidR="00A77B3E" w:rsidRPr="00800D1B" w:rsidRDefault="00623E14" w:rsidP="0035552F">
            <w:pPr>
              <w:spacing w:before="100"/>
              <w:ind w:left="-14" w:right="-90"/>
              <w:rPr>
                <w:color w:val="000000"/>
                <w:sz w:val="16"/>
                <w:lang w:val="sv-SE"/>
              </w:rPr>
            </w:pPr>
            <w:r w:rsidRPr="00800D1B">
              <w:rPr>
                <w:color w:val="000000"/>
                <w:sz w:val="16"/>
                <w:lang w:val="sv-SE"/>
              </w:rPr>
              <w:t>Beskrivning av hur horisontella/övergripande principer (art. 9 CPR) hanteras i förberedelser, genomförande, uppföljning, rapportering och utvärdering av program</w:t>
            </w:r>
          </w:p>
        </w:tc>
        <w:tc>
          <w:tcPr>
            <w:tcW w:w="1081" w:type="dxa"/>
          </w:tcPr>
          <w:p w14:paraId="2D066D29" w14:textId="77777777" w:rsidR="00A77B3E" w:rsidRPr="00800D1B" w:rsidRDefault="00623E14" w:rsidP="0035552F">
            <w:pPr>
              <w:spacing w:before="100"/>
              <w:ind w:left="-14" w:right="-90"/>
              <w:rPr>
                <w:color w:val="000000"/>
                <w:sz w:val="16"/>
                <w:lang w:val="sv-SE"/>
              </w:rPr>
            </w:pPr>
            <w:r w:rsidRPr="00800D1B">
              <w:rPr>
                <w:color w:val="000000"/>
                <w:sz w:val="16"/>
                <w:lang w:val="sv-SE"/>
              </w:rPr>
              <w:t>2022-nov-14</w:t>
            </w:r>
          </w:p>
        </w:tc>
        <w:tc>
          <w:tcPr>
            <w:tcW w:w="1729" w:type="dxa"/>
          </w:tcPr>
          <w:p w14:paraId="2D066D2A" w14:textId="77777777" w:rsidR="00A77B3E" w:rsidRPr="00800D1B" w:rsidRDefault="00623E14" w:rsidP="0035552F">
            <w:pPr>
              <w:spacing w:before="100"/>
              <w:ind w:left="-14" w:right="-90"/>
              <w:rPr>
                <w:color w:val="000000"/>
                <w:sz w:val="16"/>
                <w:lang w:val="sv-SE"/>
              </w:rPr>
            </w:pPr>
            <w:r w:rsidRPr="00800D1B">
              <w:rPr>
                <w:color w:val="000000"/>
                <w:sz w:val="16"/>
                <w:lang w:val="sv-SE"/>
              </w:rPr>
              <w:t>Moberg, Mattias</w:t>
            </w:r>
          </w:p>
        </w:tc>
      </w:tr>
      <w:tr w:rsidR="003422DB" w:rsidRPr="00800D1B" w14:paraId="2D066D34" w14:textId="77777777" w:rsidTr="0035552F">
        <w:trPr>
          <w:trHeight w:val="240"/>
        </w:trPr>
        <w:tc>
          <w:tcPr>
            <w:tcW w:w="1908" w:type="dxa"/>
          </w:tcPr>
          <w:p w14:paraId="2D066D2C" w14:textId="77777777" w:rsidR="00A77B3E" w:rsidRPr="00800D1B" w:rsidRDefault="00623E14" w:rsidP="0035552F">
            <w:pPr>
              <w:spacing w:before="100"/>
              <w:ind w:right="-90"/>
              <w:rPr>
                <w:color w:val="000000"/>
                <w:sz w:val="16"/>
                <w:lang w:val="sv-SE"/>
              </w:rPr>
            </w:pPr>
            <w:r w:rsidRPr="00800D1B">
              <w:rPr>
                <w:color w:val="000000"/>
                <w:sz w:val="16"/>
                <w:lang w:val="sv-SE"/>
              </w:rPr>
              <w:t>Programme snapshot 2021SE16RFPR008 1.1</w:t>
            </w:r>
          </w:p>
        </w:tc>
        <w:tc>
          <w:tcPr>
            <w:tcW w:w="1730" w:type="dxa"/>
          </w:tcPr>
          <w:p w14:paraId="2D066D2D" w14:textId="77777777" w:rsidR="00A77B3E" w:rsidRPr="00800D1B" w:rsidRDefault="00623E14" w:rsidP="0035552F">
            <w:pPr>
              <w:spacing w:before="100"/>
              <w:ind w:left="-14" w:right="-90"/>
              <w:rPr>
                <w:color w:val="000000"/>
                <w:sz w:val="16"/>
                <w:lang w:val="sv-SE"/>
              </w:rPr>
            </w:pPr>
            <w:r w:rsidRPr="00800D1B">
              <w:rPr>
                <w:color w:val="000000"/>
                <w:sz w:val="16"/>
                <w:lang w:val="sv-SE"/>
              </w:rPr>
              <w:t>Dataöversikt innan du skickar</w:t>
            </w:r>
          </w:p>
        </w:tc>
        <w:tc>
          <w:tcPr>
            <w:tcW w:w="1081" w:type="dxa"/>
          </w:tcPr>
          <w:p w14:paraId="2D066D2E" w14:textId="77777777" w:rsidR="00A77B3E" w:rsidRPr="00800D1B" w:rsidRDefault="00623E14" w:rsidP="0035552F">
            <w:pPr>
              <w:spacing w:before="100"/>
              <w:ind w:left="-14" w:right="-90"/>
              <w:rPr>
                <w:color w:val="000000"/>
                <w:sz w:val="16"/>
                <w:lang w:val="sv-SE"/>
              </w:rPr>
            </w:pPr>
            <w:r w:rsidRPr="00800D1B">
              <w:rPr>
                <w:color w:val="000000"/>
                <w:sz w:val="16"/>
                <w:lang w:val="sv-SE"/>
              </w:rPr>
              <w:t>2022-nov-14</w:t>
            </w:r>
          </w:p>
        </w:tc>
        <w:tc>
          <w:tcPr>
            <w:tcW w:w="1729" w:type="dxa"/>
          </w:tcPr>
          <w:p w14:paraId="2D066D2F" w14:textId="77777777" w:rsidR="00A77B3E" w:rsidRPr="00800D1B" w:rsidRDefault="00A77B3E" w:rsidP="0035552F">
            <w:pPr>
              <w:spacing w:before="100"/>
              <w:ind w:left="-14" w:right="-90"/>
              <w:rPr>
                <w:color w:val="000000"/>
                <w:sz w:val="16"/>
                <w:lang w:val="sv-SE"/>
              </w:rPr>
            </w:pPr>
          </w:p>
        </w:tc>
        <w:tc>
          <w:tcPr>
            <w:tcW w:w="1729" w:type="dxa"/>
          </w:tcPr>
          <w:p w14:paraId="2D066D30" w14:textId="77777777" w:rsidR="00A77B3E" w:rsidRPr="00800D1B" w:rsidRDefault="00623E14" w:rsidP="0035552F">
            <w:pPr>
              <w:spacing w:before="100"/>
              <w:ind w:left="-14" w:right="-90"/>
              <w:rPr>
                <w:color w:val="000000"/>
                <w:sz w:val="16"/>
                <w:lang w:val="sv-SE"/>
              </w:rPr>
            </w:pPr>
            <w:r w:rsidRPr="00800D1B">
              <w:rPr>
                <w:color w:val="000000"/>
                <w:sz w:val="16"/>
                <w:lang w:val="sv-SE"/>
              </w:rPr>
              <w:t>Ares(2022)7848786</w:t>
            </w:r>
          </w:p>
        </w:tc>
        <w:tc>
          <w:tcPr>
            <w:tcW w:w="4185" w:type="dxa"/>
          </w:tcPr>
          <w:p w14:paraId="2D066D31" w14:textId="1A544BE4" w:rsidR="00A77B3E" w:rsidRPr="00800D1B" w:rsidRDefault="00623E14" w:rsidP="00E97156">
            <w:pPr>
              <w:spacing w:before="100" w:after="100"/>
              <w:ind w:left="-14" w:right="-90"/>
              <w:rPr>
                <w:color w:val="000000"/>
                <w:sz w:val="16"/>
                <w:lang w:val="sv-SE"/>
              </w:rPr>
            </w:pPr>
            <w:r w:rsidRPr="00800D1B">
              <w:rPr>
                <w:color w:val="000000"/>
                <w:sz w:val="16"/>
                <w:lang w:val="sv-SE"/>
              </w:rPr>
              <w:t>Programme_snapshot_2021SE16RFPR008_1.1_sv_en.pdf</w:t>
            </w:r>
            <w:r w:rsidR="00E97156" w:rsidRPr="00800D1B">
              <w:rPr>
                <w:color w:val="000000"/>
                <w:sz w:val="16"/>
                <w:lang w:val="sv-SE"/>
              </w:rPr>
              <w:t xml:space="preserve"> </w:t>
            </w:r>
            <w:r w:rsidRPr="00800D1B">
              <w:rPr>
                <w:color w:val="000000"/>
                <w:sz w:val="16"/>
                <w:lang w:val="sv-SE"/>
              </w:rPr>
              <w:t>Programme_snapshot_2021SE16RFPR008_1.1_sv.pdf</w:t>
            </w:r>
            <w:r w:rsidR="00E97156" w:rsidRPr="00800D1B">
              <w:rPr>
                <w:color w:val="000000"/>
                <w:sz w:val="16"/>
                <w:lang w:val="sv-SE"/>
              </w:rPr>
              <w:t xml:space="preserve"> </w:t>
            </w:r>
            <w:r w:rsidRPr="00800D1B">
              <w:rPr>
                <w:color w:val="000000"/>
                <w:sz w:val="16"/>
                <w:lang w:val="sv-SE"/>
              </w:rPr>
              <w:t>Programme_snapshot_2021SE16RFPR008_1.1_en.pdf</w:t>
            </w:r>
          </w:p>
        </w:tc>
        <w:tc>
          <w:tcPr>
            <w:tcW w:w="1081" w:type="dxa"/>
          </w:tcPr>
          <w:p w14:paraId="2D066D32" w14:textId="77777777" w:rsidR="00A77B3E" w:rsidRPr="00800D1B" w:rsidRDefault="00623E14" w:rsidP="0035552F">
            <w:pPr>
              <w:spacing w:before="100"/>
              <w:ind w:left="-14" w:right="-90"/>
              <w:rPr>
                <w:color w:val="000000"/>
                <w:sz w:val="16"/>
                <w:lang w:val="sv-SE"/>
              </w:rPr>
            </w:pPr>
            <w:r w:rsidRPr="00800D1B">
              <w:rPr>
                <w:color w:val="000000"/>
                <w:sz w:val="16"/>
                <w:lang w:val="sv-SE"/>
              </w:rPr>
              <w:t>2022-nov-14</w:t>
            </w:r>
          </w:p>
        </w:tc>
        <w:tc>
          <w:tcPr>
            <w:tcW w:w="1729" w:type="dxa"/>
          </w:tcPr>
          <w:p w14:paraId="2D066D33" w14:textId="77777777" w:rsidR="00A77B3E" w:rsidRPr="00800D1B" w:rsidRDefault="00623E14" w:rsidP="0035552F">
            <w:pPr>
              <w:spacing w:before="100"/>
              <w:ind w:left="-14" w:right="-90"/>
              <w:rPr>
                <w:color w:val="000000"/>
                <w:sz w:val="16"/>
                <w:lang w:val="sv-SE"/>
              </w:rPr>
            </w:pPr>
            <w:r w:rsidRPr="00800D1B">
              <w:rPr>
                <w:color w:val="000000"/>
                <w:sz w:val="16"/>
                <w:lang w:val="sv-SE"/>
              </w:rPr>
              <w:t>Moberg, Mattias</w:t>
            </w:r>
          </w:p>
        </w:tc>
      </w:tr>
    </w:tbl>
    <w:p w14:paraId="2D066D35" w14:textId="77777777" w:rsidR="00A77B3E" w:rsidRPr="00800D1B" w:rsidRDefault="00A77B3E" w:rsidP="0035552F">
      <w:pPr>
        <w:rPr>
          <w:lang w:val="sv-SE"/>
        </w:rPr>
      </w:pPr>
    </w:p>
    <w:sectPr w:rsidR="00A77B3E" w:rsidRPr="00800D1B" w:rsidSect="0065165D">
      <w:headerReference w:type="even" r:id="rId129"/>
      <w:headerReference w:type="default" r:id="rId130"/>
      <w:footerReference w:type="even" r:id="rId131"/>
      <w:footerReference w:type="default" r:id="rId132"/>
      <w:headerReference w:type="first" r:id="rId133"/>
      <w:footerReference w:type="first" r:id="rId134"/>
      <w:pgSz w:w="16838" w:h="11906" w:orient="landscape"/>
      <w:pgMar w:top="720" w:right="720" w:bottom="864" w:left="936" w:header="288" w:footer="72"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BFDAA" w14:textId="77777777" w:rsidR="00535746" w:rsidRDefault="00535746">
      <w:r>
        <w:separator/>
      </w:r>
    </w:p>
  </w:endnote>
  <w:endnote w:type="continuationSeparator" w:id="0">
    <w:p w14:paraId="08F86A0A" w14:textId="77777777" w:rsidR="00535746" w:rsidRDefault="00535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0"/>
      <w:gridCol w:w="2169"/>
      <w:gridCol w:w="4041"/>
    </w:tblGrid>
    <w:tr w:rsidR="003422DB" w14:paraId="2D066D3C" w14:textId="77777777" w:rsidTr="00F854FB">
      <w:trPr>
        <w:trHeight w:val="240"/>
      </w:trPr>
      <w:tc>
        <w:tcPr>
          <w:tcW w:w="0" w:type="auto"/>
        </w:tcPr>
        <w:p w14:paraId="2D066D39" w14:textId="77777777" w:rsidR="003422DB" w:rsidRDefault="00623E14">
          <w:pPr>
            <w:rPr>
              <w:b/>
              <w:color w:val="000000"/>
            </w:rPr>
          </w:pPr>
          <w:r>
            <w:rPr>
              <w:b/>
              <w:color w:val="000000"/>
              <w:sz w:val="32"/>
            </w:rPr>
            <w:t>SV</w:t>
          </w:r>
        </w:p>
      </w:tc>
      <w:tc>
        <w:tcPr>
          <w:tcW w:w="0" w:type="auto"/>
        </w:tcPr>
        <w:p w14:paraId="2D066D3A" w14:textId="77777777" w:rsidR="003422DB" w:rsidRDefault="00623E14">
          <w:pPr>
            <w:jc w:val="center"/>
            <w:rPr>
              <w:b/>
              <w:color w:val="000000"/>
              <w:sz w:val="32"/>
            </w:rPr>
          </w:pPr>
          <w:r>
            <w:rPr>
              <w:b/>
              <w:color w:val="000000"/>
            </w:rPr>
            <w:fldChar w:fldCharType="begin"/>
          </w:r>
          <w:r>
            <w:rPr>
              <w:b/>
              <w:color w:val="000000"/>
            </w:rPr>
            <w:instrText>PAGE</w:instrText>
          </w:r>
          <w:r>
            <w:rPr>
              <w:b/>
              <w:color w:val="000000"/>
            </w:rPr>
            <w:fldChar w:fldCharType="separate"/>
          </w:r>
          <w:r>
            <w:rPr>
              <w:b/>
              <w:color w:val="000000"/>
            </w:rPr>
            <w:t>15</w:t>
          </w:r>
          <w:r>
            <w:rPr>
              <w:b/>
              <w:color w:val="000000"/>
            </w:rPr>
            <w:fldChar w:fldCharType="end"/>
          </w:r>
        </w:p>
      </w:tc>
      <w:tc>
        <w:tcPr>
          <w:tcW w:w="0" w:type="auto"/>
        </w:tcPr>
        <w:p w14:paraId="2D066D3B" w14:textId="77777777" w:rsidR="003422DB" w:rsidRDefault="00623E14">
          <w:pPr>
            <w:jc w:val="right"/>
            <w:rPr>
              <w:b/>
              <w:color w:val="000000"/>
              <w:sz w:val="32"/>
            </w:rPr>
          </w:pPr>
          <w:r>
            <w:rPr>
              <w:b/>
              <w:color w:val="000000"/>
              <w:sz w:val="32"/>
            </w:rPr>
            <w:t>SV</w:t>
          </w:r>
        </w:p>
      </w:tc>
    </w:tr>
  </w:tbl>
  <w:p w14:paraId="2D066D3D" w14:textId="77777777" w:rsidR="003422DB" w:rsidRDefault="003422DB">
    <w:pPr>
      <w:rPr>
        <w:b/>
        <w:color w:val="000000"/>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66D5D" w14:textId="77777777" w:rsidR="003422DB" w:rsidRDefault="003422DB"/>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66D60" w14:textId="77777777" w:rsidR="003422DB" w:rsidRDefault="003422DB"/>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0"/>
      <w:gridCol w:w="2169"/>
      <w:gridCol w:w="4041"/>
    </w:tblGrid>
    <w:tr w:rsidR="003422DB" w14:paraId="2D066D64" w14:textId="77777777" w:rsidTr="00AA62A6">
      <w:tc>
        <w:tcPr>
          <w:tcW w:w="0" w:type="auto"/>
        </w:tcPr>
        <w:p w14:paraId="2D066D61" w14:textId="77777777" w:rsidR="003422DB" w:rsidRDefault="00623E14" w:rsidP="005719E0">
          <w:pPr>
            <w:spacing w:after="100"/>
            <w:rPr>
              <w:b/>
              <w:color w:val="000000"/>
            </w:rPr>
          </w:pPr>
          <w:r>
            <w:rPr>
              <w:b/>
              <w:color w:val="000000"/>
              <w:sz w:val="32"/>
            </w:rPr>
            <w:t>SV</w:t>
          </w:r>
        </w:p>
      </w:tc>
      <w:tc>
        <w:tcPr>
          <w:tcW w:w="0" w:type="auto"/>
        </w:tcPr>
        <w:p w14:paraId="2D066D62" w14:textId="77777777" w:rsidR="003422DB" w:rsidRDefault="00623E14" w:rsidP="005719E0">
          <w:pPr>
            <w:spacing w:after="100"/>
            <w:jc w:val="center"/>
            <w:rPr>
              <w:b/>
              <w:color w:val="000000"/>
              <w:sz w:val="32"/>
            </w:rPr>
          </w:pPr>
          <w:r>
            <w:rPr>
              <w:b/>
              <w:color w:val="000000"/>
            </w:rPr>
            <w:fldChar w:fldCharType="begin"/>
          </w:r>
          <w:r>
            <w:rPr>
              <w:b/>
              <w:color w:val="000000"/>
            </w:rPr>
            <w:instrText>PAGE</w:instrText>
          </w:r>
          <w:r>
            <w:rPr>
              <w:b/>
              <w:color w:val="000000"/>
            </w:rPr>
            <w:fldChar w:fldCharType="separate"/>
          </w:r>
          <w:r>
            <w:rPr>
              <w:b/>
              <w:color w:val="000000"/>
            </w:rPr>
            <w:t>105</w:t>
          </w:r>
          <w:r>
            <w:rPr>
              <w:b/>
              <w:color w:val="000000"/>
            </w:rPr>
            <w:fldChar w:fldCharType="end"/>
          </w:r>
        </w:p>
      </w:tc>
      <w:tc>
        <w:tcPr>
          <w:tcW w:w="0" w:type="auto"/>
        </w:tcPr>
        <w:p w14:paraId="2D066D63" w14:textId="77777777" w:rsidR="003422DB" w:rsidRDefault="00623E14" w:rsidP="005719E0">
          <w:pPr>
            <w:spacing w:after="100"/>
            <w:jc w:val="right"/>
            <w:rPr>
              <w:b/>
              <w:color w:val="000000"/>
              <w:sz w:val="32"/>
            </w:rPr>
          </w:pPr>
          <w:r>
            <w:rPr>
              <w:b/>
              <w:color w:val="000000"/>
              <w:sz w:val="32"/>
            </w:rPr>
            <w:t>SV</w:t>
          </w:r>
        </w:p>
      </w:tc>
    </w:tr>
  </w:tbl>
  <w:p w14:paraId="2D066D65" w14:textId="77777777" w:rsidR="003422DB" w:rsidRDefault="003422DB">
    <w:pPr>
      <w:rPr>
        <w:b/>
        <w:color w:val="000000"/>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66D67" w14:textId="77777777" w:rsidR="003422DB" w:rsidRDefault="003422DB"/>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66D6A" w14:textId="77777777" w:rsidR="003422DB" w:rsidRDefault="003422DB"/>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0"/>
      <w:gridCol w:w="2169"/>
      <w:gridCol w:w="4041"/>
    </w:tblGrid>
    <w:tr w:rsidR="003422DB" w14:paraId="2D066D6E" w14:textId="77777777" w:rsidTr="00AA62A6">
      <w:tc>
        <w:tcPr>
          <w:tcW w:w="0" w:type="auto"/>
        </w:tcPr>
        <w:p w14:paraId="2D066D6B" w14:textId="77777777" w:rsidR="003422DB" w:rsidRDefault="00623E14" w:rsidP="00A26CDD">
          <w:pPr>
            <w:spacing w:after="100"/>
            <w:rPr>
              <w:b/>
              <w:color w:val="000000"/>
            </w:rPr>
          </w:pPr>
          <w:r>
            <w:rPr>
              <w:b/>
              <w:color w:val="000000"/>
              <w:sz w:val="32"/>
            </w:rPr>
            <w:t>SV</w:t>
          </w:r>
        </w:p>
      </w:tc>
      <w:tc>
        <w:tcPr>
          <w:tcW w:w="0" w:type="auto"/>
        </w:tcPr>
        <w:p w14:paraId="2D066D6C" w14:textId="77777777" w:rsidR="003422DB" w:rsidRDefault="00623E14" w:rsidP="00A26CDD">
          <w:pPr>
            <w:spacing w:after="100"/>
            <w:jc w:val="center"/>
            <w:rPr>
              <w:b/>
              <w:color w:val="000000"/>
              <w:sz w:val="32"/>
            </w:rPr>
          </w:pPr>
          <w:r>
            <w:rPr>
              <w:b/>
              <w:color w:val="000000"/>
            </w:rPr>
            <w:fldChar w:fldCharType="begin"/>
          </w:r>
          <w:r>
            <w:rPr>
              <w:b/>
              <w:color w:val="000000"/>
            </w:rPr>
            <w:instrText>PAGE</w:instrText>
          </w:r>
          <w:r>
            <w:rPr>
              <w:b/>
              <w:color w:val="000000"/>
            </w:rPr>
            <w:fldChar w:fldCharType="separate"/>
          </w:r>
          <w:r>
            <w:rPr>
              <w:b/>
              <w:color w:val="000000"/>
            </w:rPr>
            <w:t>134</w:t>
          </w:r>
          <w:r>
            <w:rPr>
              <w:b/>
              <w:color w:val="000000"/>
            </w:rPr>
            <w:fldChar w:fldCharType="end"/>
          </w:r>
        </w:p>
      </w:tc>
      <w:tc>
        <w:tcPr>
          <w:tcW w:w="0" w:type="auto"/>
        </w:tcPr>
        <w:p w14:paraId="2D066D6D" w14:textId="77777777" w:rsidR="003422DB" w:rsidRDefault="00623E14" w:rsidP="00A26CDD">
          <w:pPr>
            <w:spacing w:after="100"/>
            <w:jc w:val="right"/>
            <w:rPr>
              <w:b/>
              <w:color w:val="000000"/>
              <w:sz w:val="32"/>
            </w:rPr>
          </w:pPr>
          <w:r>
            <w:rPr>
              <w:b/>
              <w:color w:val="000000"/>
              <w:sz w:val="32"/>
            </w:rPr>
            <w:t>SV</w:t>
          </w:r>
        </w:p>
      </w:tc>
    </w:tr>
  </w:tbl>
  <w:p w14:paraId="2D066D6F" w14:textId="77777777" w:rsidR="003422DB" w:rsidRDefault="003422DB">
    <w:pPr>
      <w:rPr>
        <w:b/>
        <w:color w:val="000000"/>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66D71" w14:textId="77777777" w:rsidR="003422DB" w:rsidRDefault="003422DB"/>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66D74" w14:textId="77777777" w:rsidR="003422DB" w:rsidRDefault="003422DB"/>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0"/>
      <w:gridCol w:w="2169"/>
      <w:gridCol w:w="4041"/>
    </w:tblGrid>
    <w:tr w:rsidR="003422DB" w14:paraId="2D066D78" w14:textId="77777777" w:rsidTr="0035552F">
      <w:trPr>
        <w:trHeight w:val="160"/>
      </w:trPr>
      <w:tc>
        <w:tcPr>
          <w:tcW w:w="0" w:type="auto"/>
        </w:tcPr>
        <w:p w14:paraId="2D066D75" w14:textId="77777777" w:rsidR="003422DB" w:rsidRDefault="00623E14" w:rsidP="0035552F">
          <w:pPr>
            <w:spacing w:after="100"/>
            <w:rPr>
              <w:b/>
              <w:color w:val="000000"/>
            </w:rPr>
          </w:pPr>
          <w:r>
            <w:rPr>
              <w:b/>
              <w:color w:val="000000"/>
              <w:sz w:val="32"/>
            </w:rPr>
            <w:t>SV</w:t>
          </w:r>
        </w:p>
      </w:tc>
      <w:tc>
        <w:tcPr>
          <w:tcW w:w="0" w:type="auto"/>
        </w:tcPr>
        <w:p w14:paraId="2D066D76" w14:textId="77777777" w:rsidR="003422DB" w:rsidRDefault="00623E14" w:rsidP="0035552F">
          <w:pPr>
            <w:spacing w:after="100"/>
            <w:jc w:val="center"/>
            <w:rPr>
              <w:b/>
              <w:color w:val="000000"/>
              <w:sz w:val="32"/>
            </w:rPr>
          </w:pPr>
          <w:r>
            <w:rPr>
              <w:b/>
              <w:color w:val="000000"/>
            </w:rPr>
            <w:fldChar w:fldCharType="begin"/>
          </w:r>
          <w:r>
            <w:rPr>
              <w:b/>
              <w:color w:val="000000"/>
            </w:rPr>
            <w:instrText>PAGE</w:instrText>
          </w:r>
          <w:r>
            <w:rPr>
              <w:b/>
              <w:color w:val="000000"/>
            </w:rPr>
            <w:fldChar w:fldCharType="separate"/>
          </w:r>
          <w:r>
            <w:rPr>
              <w:b/>
              <w:color w:val="000000"/>
            </w:rPr>
            <w:t>140</w:t>
          </w:r>
          <w:r>
            <w:rPr>
              <w:b/>
              <w:color w:val="000000"/>
            </w:rPr>
            <w:fldChar w:fldCharType="end"/>
          </w:r>
        </w:p>
      </w:tc>
      <w:tc>
        <w:tcPr>
          <w:tcW w:w="0" w:type="auto"/>
        </w:tcPr>
        <w:p w14:paraId="2D066D77" w14:textId="77777777" w:rsidR="003422DB" w:rsidRDefault="00623E14" w:rsidP="0035552F">
          <w:pPr>
            <w:spacing w:after="100"/>
            <w:jc w:val="right"/>
            <w:rPr>
              <w:b/>
              <w:color w:val="000000"/>
              <w:sz w:val="32"/>
            </w:rPr>
          </w:pPr>
          <w:r>
            <w:rPr>
              <w:b/>
              <w:color w:val="000000"/>
              <w:sz w:val="32"/>
            </w:rPr>
            <w:t>SV</w:t>
          </w:r>
        </w:p>
      </w:tc>
    </w:tr>
  </w:tbl>
  <w:p w14:paraId="2D066D79" w14:textId="77777777" w:rsidR="003422DB" w:rsidRDefault="003422DB">
    <w:pPr>
      <w:rPr>
        <w:b/>
        <w:color w:val="000000"/>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66D7B" w14:textId="77777777" w:rsidR="003422DB" w:rsidRDefault="003422D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66D42" w14:textId="77777777" w:rsidR="003422DB" w:rsidRDefault="003422DB"/>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66D7E" w14:textId="77777777" w:rsidR="003422DB" w:rsidRDefault="003422DB"/>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0"/>
      <w:gridCol w:w="2169"/>
      <w:gridCol w:w="4041"/>
    </w:tblGrid>
    <w:tr w:rsidR="003422DB" w14:paraId="2D066D82" w14:textId="77777777" w:rsidTr="0035552F">
      <w:tc>
        <w:tcPr>
          <w:tcW w:w="0" w:type="auto"/>
        </w:tcPr>
        <w:p w14:paraId="2D066D7F" w14:textId="77777777" w:rsidR="003422DB" w:rsidRDefault="00623E14" w:rsidP="0035552F">
          <w:pPr>
            <w:spacing w:after="100"/>
            <w:rPr>
              <w:b/>
              <w:color w:val="000000"/>
            </w:rPr>
          </w:pPr>
          <w:r>
            <w:rPr>
              <w:b/>
              <w:color w:val="000000"/>
              <w:sz w:val="32"/>
            </w:rPr>
            <w:t>SV</w:t>
          </w:r>
        </w:p>
      </w:tc>
      <w:tc>
        <w:tcPr>
          <w:tcW w:w="0" w:type="auto"/>
        </w:tcPr>
        <w:p w14:paraId="2D066D80" w14:textId="77777777" w:rsidR="003422DB" w:rsidRDefault="00623E14" w:rsidP="0035552F">
          <w:pPr>
            <w:spacing w:after="100"/>
            <w:jc w:val="center"/>
            <w:rPr>
              <w:b/>
              <w:color w:val="000000"/>
              <w:sz w:val="32"/>
            </w:rPr>
          </w:pPr>
          <w:r>
            <w:rPr>
              <w:b/>
              <w:color w:val="000000"/>
            </w:rPr>
            <w:fldChar w:fldCharType="begin"/>
          </w:r>
          <w:r>
            <w:rPr>
              <w:b/>
              <w:color w:val="000000"/>
            </w:rPr>
            <w:instrText>PAGE</w:instrText>
          </w:r>
          <w:r>
            <w:rPr>
              <w:b/>
              <w:color w:val="000000"/>
            </w:rPr>
            <w:fldChar w:fldCharType="separate"/>
          </w:r>
          <w:r>
            <w:rPr>
              <w:b/>
              <w:color w:val="000000"/>
            </w:rPr>
            <w:t>143</w:t>
          </w:r>
          <w:r>
            <w:rPr>
              <w:b/>
              <w:color w:val="000000"/>
            </w:rPr>
            <w:fldChar w:fldCharType="end"/>
          </w:r>
        </w:p>
      </w:tc>
      <w:tc>
        <w:tcPr>
          <w:tcW w:w="0" w:type="auto"/>
        </w:tcPr>
        <w:p w14:paraId="2D066D81" w14:textId="77777777" w:rsidR="003422DB" w:rsidRDefault="00623E14" w:rsidP="0035552F">
          <w:pPr>
            <w:spacing w:after="100"/>
            <w:jc w:val="right"/>
            <w:rPr>
              <w:b/>
              <w:color w:val="000000"/>
              <w:sz w:val="32"/>
            </w:rPr>
          </w:pPr>
          <w:r>
            <w:rPr>
              <w:b/>
              <w:color w:val="000000"/>
              <w:sz w:val="32"/>
            </w:rPr>
            <w:t>SV</w:t>
          </w:r>
        </w:p>
      </w:tc>
    </w:tr>
  </w:tbl>
  <w:p w14:paraId="2D066D83" w14:textId="77777777" w:rsidR="003422DB" w:rsidRDefault="003422DB">
    <w:pPr>
      <w:rPr>
        <w:b/>
        <w:color w:val="000000"/>
      </w:rP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66D85" w14:textId="77777777" w:rsidR="003422DB" w:rsidRDefault="003422DB"/>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66D88" w14:textId="77777777" w:rsidR="003422DB" w:rsidRDefault="003422DB"/>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0"/>
      <w:gridCol w:w="2169"/>
      <w:gridCol w:w="4041"/>
    </w:tblGrid>
    <w:tr w:rsidR="003422DB" w14:paraId="2D066D8C" w14:textId="77777777" w:rsidTr="00AA62A6">
      <w:tc>
        <w:tcPr>
          <w:tcW w:w="0" w:type="auto"/>
        </w:tcPr>
        <w:p w14:paraId="2D066D89" w14:textId="77777777" w:rsidR="003422DB" w:rsidRDefault="00623E14" w:rsidP="0035552F">
          <w:pPr>
            <w:spacing w:after="100"/>
            <w:rPr>
              <w:b/>
              <w:color w:val="000000"/>
            </w:rPr>
          </w:pPr>
          <w:r>
            <w:rPr>
              <w:b/>
              <w:color w:val="000000"/>
              <w:sz w:val="32"/>
            </w:rPr>
            <w:t>SV</w:t>
          </w:r>
        </w:p>
      </w:tc>
      <w:tc>
        <w:tcPr>
          <w:tcW w:w="0" w:type="auto"/>
        </w:tcPr>
        <w:p w14:paraId="2D066D8A" w14:textId="77777777" w:rsidR="003422DB" w:rsidRDefault="00623E14" w:rsidP="0035552F">
          <w:pPr>
            <w:spacing w:after="100"/>
            <w:jc w:val="center"/>
            <w:rPr>
              <w:b/>
              <w:color w:val="000000"/>
              <w:sz w:val="32"/>
            </w:rPr>
          </w:pPr>
          <w:r>
            <w:rPr>
              <w:b/>
              <w:color w:val="000000"/>
            </w:rPr>
            <w:fldChar w:fldCharType="begin"/>
          </w:r>
          <w:r>
            <w:rPr>
              <w:b/>
              <w:color w:val="000000"/>
            </w:rPr>
            <w:instrText>PAGE</w:instrText>
          </w:r>
          <w:r>
            <w:rPr>
              <w:b/>
              <w:color w:val="000000"/>
            </w:rPr>
            <w:fldChar w:fldCharType="separate"/>
          </w:r>
          <w:r>
            <w:rPr>
              <w:b/>
              <w:color w:val="000000"/>
            </w:rPr>
            <w:t>144</w:t>
          </w:r>
          <w:r>
            <w:rPr>
              <w:b/>
              <w:color w:val="000000"/>
            </w:rPr>
            <w:fldChar w:fldCharType="end"/>
          </w:r>
        </w:p>
      </w:tc>
      <w:tc>
        <w:tcPr>
          <w:tcW w:w="0" w:type="auto"/>
        </w:tcPr>
        <w:p w14:paraId="2D066D8B" w14:textId="77777777" w:rsidR="003422DB" w:rsidRDefault="00623E14" w:rsidP="0035552F">
          <w:pPr>
            <w:spacing w:after="100"/>
            <w:jc w:val="right"/>
            <w:rPr>
              <w:b/>
              <w:color w:val="000000"/>
              <w:sz w:val="32"/>
            </w:rPr>
          </w:pPr>
          <w:r>
            <w:rPr>
              <w:b/>
              <w:color w:val="000000"/>
              <w:sz w:val="32"/>
            </w:rPr>
            <w:t>SV</w:t>
          </w:r>
        </w:p>
      </w:tc>
    </w:tr>
  </w:tbl>
  <w:p w14:paraId="2D066D8D" w14:textId="77777777" w:rsidR="003422DB" w:rsidRDefault="003422DB">
    <w:pPr>
      <w:rPr>
        <w:b/>
        <w:color w:val="000000"/>
      </w:rP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66D8F" w14:textId="77777777" w:rsidR="003422DB" w:rsidRDefault="003422DB"/>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66D92" w14:textId="77777777" w:rsidR="003422DB" w:rsidRDefault="003422DB"/>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0"/>
      <w:gridCol w:w="2169"/>
      <w:gridCol w:w="4041"/>
    </w:tblGrid>
    <w:tr w:rsidR="003422DB" w14:paraId="2D066D96" w14:textId="77777777" w:rsidTr="00AA62A6">
      <w:tc>
        <w:tcPr>
          <w:tcW w:w="0" w:type="auto"/>
        </w:tcPr>
        <w:p w14:paraId="2D066D93" w14:textId="77777777" w:rsidR="003422DB" w:rsidRDefault="00623E14">
          <w:pPr>
            <w:rPr>
              <w:b/>
              <w:color w:val="000000"/>
            </w:rPr>
          </w:pPr>
          <w:r>
            <w:rPr>
              <w:b/>
              <w:color w:val="000000"/>
              <w:sz w:val="32"/>
            </w:rPr>
            <w:t>SV</w:t>
          </w:r>
        </w:p>
      </w:tc>
      <w:tc>
        <w:tcPr>
          <w:tcW w:w="0" w:type="auto"/>
        </w:tcPr>
        <w:p w14:paraId="2D066D94" w14:textId="77777777" w:rsidR="003422DB" w:rsidRDefault="00623E14">
          <w:pPr>
            <w:jc w:val="center"/>
            <w:rPr>
              <w:b/>
              <w:color w:val="000000"/>
              <w:sz w:val="32"/>
            </w:rPr>
          </w:pPr>
          <w:r>
            <w:rPr>
              <w:b/>
              <w:color w:val="000000"/>
            </w:rPr>
            <w:fldChar w:fldCharType="begin"/>
          </w:r>
          <w:r>
            <w:rPr>
              <w:b/>
              <w:color w:val="000000"/>
            </w:rPr>
            <w:instrText>PAGE</w:instrText>
          </w:r>
          <w:r>
            <w:rPr>
              <w:b/>
              <w:color w:val="000000"/>
            </w:rPr>
            <w:fldChar w:fldCharType="separate"/>
          </w:r>
          <w:r>
            <w:rPr>
              <w:b/>
              <w:color w:val="000000"/>
            </w:rPr>
            <w:t>145</w:t>
          </w:r>
          <w:r>
            <w:rPr>
              <w:b/>
              <w:color w:val="000000"/>
            </w:rPr>
            <w:fldChar w:fldCharType="end"/>
          </w:r>
        </w:p>
      </w:tc>
      <w:tc>
        <w:tcPr>
          <w:tcW w:w="0" w:type="auto"/>
        </w:tcPr>
        <w:p w14:paraId="2D066D95" w14:textId="77777777" w:rsidR="003422DB" w:rsidRDefault="00623E14">
          <w:pPr>
            <w:jc w:val="right"/>
            <w:rPr>
              <w:b/>
              <w:color w:val="000000"/>
              <w:sz w:val="32"/>
            </w:rPr>
          </w:pPr>
          <w:r>
            <w:rPr>
              <w:b/>
              <w:color w:val="000000"/>
              <w:sz w:val="32"/>
            </w:rPr>
            <w:t>SV</w:t>
          </w:r>
        </w:p>
      </w:tc>
    </w:tr>
  </w:tbl>
  <w:p w14:paraId="2D066D97" w14:textId="77777777" w:rsidR="003422DB" w:rsidRDefault="003422DB">
    <w:pPr>
      <w:rPr>
        <w:b/>
        <w:color w:val="000000"/>
      </w:rP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66D99" w14:textId="77777777" w:rsidR="003422DB" w:rsidRDefault="003422DB"/>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66D9C" w14:textId="77777777" w:rsidR="003422DB" w:rsidRDefault="003422D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0"/>
      <w:gridCol w:w="2169"/>
      <w:gridCol w:w="4041"/>
    </w:tblGrid>
    <w:tr w:rsidR="003422DB" w14:paraId="2D066D46" w14:textId="77777777" w:rsidTr="005E3F5F">
      <w:trPr>
        <w:trHeight w:val="160"/>
      </w:trPr>
      <w:tc>
        <w:tcPr>
          <w:tcW w:w="0" w:type="auto"/>
        </w:tcPr>
        <w:p w14:paraId="2D066D43" w14:textId="77777777" w:rsidR="003422DB" w:rsidRDefault="00623E14" w:rsidP="005E3F5F">
          <w:pPr>
            <w:spacing w:after="100"/>
            <w:rPr>
              <w:b/>
              <w:color w:val="000000"/>
            </w:rPr>
          </w:pPr>
          <w:r>
            <w:rPr>
              <w:b/>
              <w:color w:val="000000"/>
              <w:sz w:val="32"/>
            </w:rPr>
            <w:t>SV</w:t>
          </w:r>
        </w:p>
      </w:tc>
      <w:tc>
        <w:tcPr>
          <w:tcW w:w="0" w:type="auto"/>
        </w:tcPr>
        <w:p w14:paraId="2D066D44" w14:textId="77777777" w:rsidR="003422DB" w:rsidRDefault="00623E14" w:rsidP="005E3F5F">
          <w:pPr>
            <w:spacing w:after="100"/>
            <w:jc w:val="center"/>
            <w:rPr>
              <w:b/>
              <w:color w:val="000000"/>
              <w:sz w:val="32"/>
            </w:rPr>
          </w:pPr>
          <w:r>
            <w:rPr>
              <w:b/>
              <w:color w:val="000000"/>
            </w:rPr>
            <w:fldChar w:fldCharType="begin"/>
          </w:r>
          <w:r>
            <w:rPr>
              <w:b/>
              <w:color w:val="000000"/>
            </w:rPr>
            <w:instrText>PAGE</w:instrText>
          </w:r>
          <w:r>
            <w:rPr>
              <w:b/>
              <w:color w:val="000000"/>
            </w:rPr>
            <w:fldChar w:fldCharType="separate"/>
          </w:r>
          <w:r>
            <w:rPr>
              <w:b/>
              <w:color w:val="000000"/>
            </w:rPr>
            <w:t>22</w:t>
          </w:r>
          <w:r>
            <w:rPr>
              <w:b/>
              <w:color w:val="000000"/>
            </w:rPr>
            <w:fldChar w:fldCharType="end"/>
          </w:r>
        </w:p>
      </w:tc>
      <w:tc>
        <w:tcPr>
          <w:tcW w:w="0" w:type="auto"/>
        </w:tcPr>
        <w:p w14:paraId="2D066D45" w14:textId="77777777" w:rsidR="003422DB" w:rsidRDefault="00623E14" w:rsidP="005E3F5F">
          <w:pPr>
            <w:spacing w:after="100"/>
            <w:jc w:val="right"/>
            <w:rPr>
              <w:b/>
              <w:color w:val="000000"/>
              <w:sz w:val="32"/>
            </w:rPr>
          </w:pPr>
          <w:r>
            <w:rPr>
              <w:b/>
              <w:color w:val="000000"/>
              <w:sz w:val="32"/>
            </w:rPr>
            <w:t>SV</w:t>
          </w:r>
        </w:p>
      </w:tc>
    </w:tr>
  </w:tbl>
  <w:p w14:paraId="2D066D47" w14:textId="77777777" w:rsidR="003422DB" w:rsidRDefault="003422DB">
    <w:pPr>
      <w:rPr>
        <w:b/>
        <w:color w:val="000000"/>
      </w:rP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0"/>
      <w:gridCol w:w="2169"/>
      <w:gridCol w:w="4041"/>
    </w:tblGrid>
    <w:tr w:rsidR="003422DB" w14:paraId="2D066DA0" w14:textId="77777777" w:rsidTr="00AA62A6">
      <w:tc>
        <w:tcPr>
          <w:tcW w:w="0" w:type="auto"/>
        </w:tcPr>
        <w:p w14:paraId="2D066D9D" w14:textId="77777777" w:rsidR="003422DB" w:rsidRDefault="00623E14">
          <w:pPr>
            <w:rPr>
              <w:b/>
              <w:color w:val="000000"/>
            </w:rPr>
          </w:pPr>
          <w:r>
            <w:rPr>
              <w:b/>
              <w:color w:val="000000"/>
              <w:sz w:val="32"/>
            </w:rPr>
            <w:t>SV</w:t>
          </w:r>
        </w:p>
      </w:tc>
      <w:tc>
        <w:tcPr>
          <w:tcW w:w="0" w:type="auto"/>
        </w:tcPr>
        <w:p w14:paraId="2D066D9E" w14:textId="77777777" w:rsidR="003422DB" w:rsidRDefault="00623E14">
          <w:pPr>
            <w:jc w:val="center"/>
            <w:rPr>
              <w:b/>
              <w:color w:val="000000"/>
              <w:sz w:val="32"/>
            </w:rPr>
          </w:pPr>
          <w:r>
            <w:rPr>
              <w:b/>
              <w:color w:val="000000"/>
            </w:rPr>
            <w:fldChar w:fldCharType="begin"/>
          </w:r>
          <w:r>
            <w:rPr>
              <w:b/>
              <w:color w:val="000000"/>
            </w:rPr>
            <w:instrText>PAGE</w:instrText>
          </w:r>
          <w:r>
            <w:rPr>
              <w:b/>
              <w:color w:val="000000"/>
            </w:rPr>
            <w:fldChar w:fldCharType="separate"/>
          </w:r>
          <w:r>
            <w:rPr>
              <w:b/>
              <w:color w:val="000000"/>
            </w:rPr>
            <w:t>146</w:t>
          </w:r>
          <w:r>
            <w:rPr>
              <w:b/>
              <w:color w:val="000000"/>
            </w:rPr>
            <w:fldChar w:fldCharType="end"/>
          </w:r>
        </w:p>
      </w:tc>
      <w:tc>
        <w:tcPr>
          <w:tcW w:w="0" w:type="auto"/>
        </w:tcPr>
        <w:p w14:paraId="2D066D9F" w14:textId="77777777" w:rsidR="003422DB" w:rsidRDefault="00623E14">
          <w:pPr>
            <w:jc w:val="right"/>
            <w:rPr>
              <w:b/>
              <w:color w:val="000000"/>
              <w:sz w:val="32"/>
            </w:rPr>
          </w:pPr>
          <w:r>
            <w:rPr>
              <w:b/>
              <w:color w:val="000000"/>
              <w:sz w:val="32"/>
            </w:rPr>
            <w:t>SV</w:t>
          </w:r>
        </w:p>
      </w:tc>
    </w:tr>
  </w:tbl>
  <w:p w14:paraId="2D066DA1" w14:textId="77777777" w:rsidR="003422DB" w:rsidRDefault="003422DB">
    <w:pPr>
      <w:rPr>
        <w:b/>
        <w:color w:val="000000"/>
      </w:rPr>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66DA3" w14:textId="77777777" w:rsidR="003422DB" w:rsidRDefault="003422DB"/>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66DA6" w14:textId="77777777" w:rsidR="003422DB" w:rsidRDefault="003422DB"/>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0"/>
      <w:gridCol w:w="2169"/>
      <w:gridCol w:w="4041"/>
    </w:tblGrid>
    <w:tr w:rsidR="003422DB" w14:paraId="2D066DAA" w14:textId="77777777" w:rsidTr="00AA62A6">
      <w:trPr>
        <w:trHeight w:val="160"/>
      </w:trPr>
      <w:tc>
        <w:tcPr>
          <w:tcW w:w="0" w:type="auto"/>
        </w:tcPr>
        <w:p w14:paraId="2D066DA7" w14:textId="77777777" w:rsidR="003422DB" w:rsidRDefault="00623E14">
          <w:pPr>
            <w:rPr>
              <w:b/>
              <w:color w:val="000000"/>
            </w:rPr>
          </w:pPr>
          <w:r>
            <w:rPr>
              <w:b/>
              <w:color w:val="000000"/>
              <w:sz w:val="32"/>
            </w:rPr>
            <w:t>SV</w:t>
          </w:r>
        </w:p>
      </w:tc>
      <w:tc>
        <w:tcPr>
          <w:tcW w:w="0" w:type="auto"/>
        </w:tcPr>
        <w:p w14:paraId="2D066DA8" w14:textId="77777777" w:rsidR="003422DB" w:rsidRDefault="00623E14">
          <w:pPr>
            <w:jc w:val="center"/>
            <w:rPr>
              <w:b/>
              <w:color w:val="000000"/>
              <w:sz w:val="32"/>
            </w:rPr>
          </w:pPr>
          <w:r>
            <w:rPr>
              <w:b/>
              <w:color w:val="000000"/>
            </w:rPr>
            <w:fldChar w:fldCharType="begin"/>
          </w:r>
          <w:r>
            <w:rPr>
              <w:b/>
              <w:color w:val="000000"/>
            </w:rPr>
            <w:instrText>PAGE</w:instrText>
          </w:r>
          <w:r>
            <w:rPr>
              <w:b/>
              <w:color w:val="000000"/>
            </w:rPr>
            <w:fldChar w:fldCharType="separate"/>
          </w:r>
          <w:r>
            <w:rPr>
              <w:b/>
              <w:color w:val="000000"/>
            </w:rPr>
            <w:t>147</w:t>
          </w:r>
          <w:r>
            <w:rPr>
              <w:b/>
              <w:color w:val="000000"/>
            </w:rPr>
            <w:fldChar w:fldCharType="end"/>
          </w:r>
        </w:p>
      </w:tc>
      <w:tc>
        <w:tcPr>
          <w:tcW w:w="0" w:type="auto"/>
        </w:tcPr>
        <w:p w14:paraId="2D066DA9" w14:textId="77777777" w:rsidR="003422DB" w:rsidRDefault="00623E14">
          <w:pPr>
            <w:jc w:val="right"/>
            <w:rPr>
              <w:b/>
              <w:color w:val="000000"/>
              <w:sz w:val="32"/>
            </w:rPr>
          </w:pPr>
          <w:r>
            <w:rPr>
              <w:b/>
              <w:color w:val="000000"/>
              <w:sz w:val="32"/>
            </w:rPr>
            <w:t>SV</w:t>
          </w:r>
        </w:p>
      </w:tc>
    </w:tr>
  </w:tbl>
  <w:p w14:paraId="2D066DAB" w14:textId="77777777" w:rsidR="003422DB" w:rsidRDefault="003422DB">
    <w:pPr>
      <w:rPr>
        <w:b/>
        <w:color w:val="000000"/>
      </w:rPr>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66DAD" w14:textId="77777777" w:rsidR="003422DB" w:rsidRDefault="003422DB"/>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66D49" w14:textId="77777777" w:rsidR="003422DB" w:rsidRDefault="003422DB"/>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66D4C" w14:textId="77777777" w:rsidR="003422DB" w:rsidRDefault="003422DB"/>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85"/>
      <w:gridCol w:w="3212"/>
      <w:gridCol w:w="5985"/>
    </w:tblGrid>
    <w:tr w:rsidR="003422DB" w14:paraId="2D066D50" w14:textId="77777777" w:rsidTr="00E84F81">
      <w:trPr>
        <w:trHeight w:val="160"/>
      </w:trPr>
      <w:tc>
        <w:tcPr>
          <w:tcW w:w="0" w:type="auto"/>
        </w:tcPr>
        <w:p w14:paraId="2D066D4D" w14:textId="77777777" w:rsidR="003422DB" w:rsidRDefault="00623E14" w:rsidP="00E84F81">
          <w:pPr>
            <w:spacing w:after="100"/>
            <w:rPr>
              <w:b/>
              <w:color w:val="000000"/>
            </w:rPr>
          </w:pPr>
          <w:r>
            <w:rPr>
              <w:b/>
              <w:color w:val="000000"/>
              <w:sz w:val="32"/>
            </w:rPr>
            <w:t>SV</w:t>
          </w:r>
        </w:p>
      </w:tc>
      <w:tc>
        <w:tcPr>
          <w:tcW w:w="0" w:type="auto"/>
        </w:tcPr>
        <w:p w14:paraId="2D066D4E" w14:textId="77777777" w:rsidR="003422DB" w:rsidRDefault="00623E14" w:rsidP="00E84F81">
          <w:pPr>
            <w:spacing w:after="100"/>
            <w:jc w:val="center"/>
            <w:rPr>
              <w:b/>
              <w:color w:val="000000"/>
              <w:sz w:val="32"/>
            </w:rPr>
          </w:pPr>
          <w:r>
            <w:rPr>
              <w:b/>
              <w:color w:val="000000"/>
            </w:rPr>
            <w:fldChar w:fldCharType="begin"/>
          </w:r>
          <w:r>
            <w:rPr>
              <w:b/>
              <w:color w:val="000000"/>
            </w:rPr>
            <w:instrText>PAGE</w:instrText>
          </w:r>
          <w:r>
            <w:rPr>
              <w:b/>
              <w:color w:val="000000"/>
            </w:rPr>
            <w:fldChar w:fldCharType="separate"/>
          </w:r>
          <w:r>
            <w:rPr>
              <w:b/>
              <w:color w:val="000000"/>
            </w:rPr>
            <w:t>98</w:t>
          </w:r>
          <w:r>
            <w:rPr>
              <w:b/>
              <w:color w:val="000000"/>
            </w:rPr>
            <w:fldChar w:fldCharType="end"/>
          </w:r>
        </w:p>
      </w:tc>
      <w:tc>
        <w:tcPr>
          <w:tcW w:w="0" w:type="auto"/>
        </w:tcPr>
        <w:p w14:paraId="2D066D4F" w14:textId="77777777" w:rsidR="003422DB" w:rsidRDefault="00623E14" w:rsidP="00E84F81">
          <w:pPr>
            <w:spacing w:after="100"/>
            <w:jc w:val="right"/>
            <w:rPr>
              <w:b/>
              <w:color w:val="000000"/>
              <w:sz w:val="32"/>
            </w:rPr>
          </w:pPr>
          <w:r>
            <w:rPr>
              <w:b/>
              <w:color w:val="000000"/>
              <w:sz w:val="32"/>
            </w:rPr>
            <w:t>SV</w:t>
          </w:r>
        </w:p>
      </w:tc>
    </w:tr>
  </w:tbl>
  <w:p w14:paraId="2D066D51" w14:textId="77777777" w:rsidR="003422DB" w:rsidRDefault="003422DB">
    <w:pPr>
      <w:rPr>
        <w:b/>
        <w:color w:val="00000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66D53" w14:textId="77777777" w:rsidR="003422DB" w:rsidRDefault="003422DB"/>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66D56" w14:textId="77777777" w:rsidR="003422DB" w:rsidRDefault="003422DB"/>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0"/>
      <w:gridCol w:w="2169"/>
      <w:gridCol w:w="4041"/>
    </w:tblGrid>
    <w:tr w:rsidR="003422DB" w14:paraId="2D066D5A" w14:textId="77777777" w:rsidTr="00AA62A6">
      <w:tc>
        <w:tcPr>
          <w:tcW w:w="0" w:type="auto"/>
        </w:tcPr>
        <w:p w14:paraId="2D066D57" w14:textId="77777777" w:rsidR="003422DB" w:rsidRDefault="00623E14" w:rsidP="0049057D">
          <w:pPr>
            <w:spacing w:after="100"/>
            <w:rPr>
              <w:b/>
              <w:color w:val="000000"/>
            </w:rPr>
          </w:pPr>
          <w:r>
            <w:rPr>
              <w:b/>
              <w:color w:val="000000"/>
              <w:sz w:val="32"/>
            </w:rPr>
            <w:t>SV</w:t>
          </w:r>
        </w:p>
      </w:tc>
      <w:tc>
        <w:tcPr>
          <w:tcW w:w="0" w:type="auto"/>
        </w:tcPr>
        <w:p w14:paraId="2D066D58" w14:textId="77777777" w:rsidR="003422DB" w:rsidRDefault="00623E14" w:rsidP="0049057D">
          <w:pPr>
            <w:spacing w:after="100"/>
            <w:jc w:val="center"/>
            <w:rPr>
              <w:b/>
              <w:color w:val="000000"/>
              <w:sz w:val="32"/>
            </w:rPr>
          </w:pPr>
          <w:r>
            <w:rPr>
              <w:b/>
              <w:color w:val="000000"/>
            </w:rPr>
            <w:fldChar w:fldCharType="begin"/>
          </w:r>
          <w:r>
            <w:rPr>
              <w:b/>
              <w:color w:val="000000"/>
            </w:rPr>
            <w:instrText>PAGE</w:instrText>
          </w:r>
          <w:r>
            <w:rPr>
              <w:b/>
              <w:color w:val="000000"/>
            </w:rPr>
            <w:fldChar w:fldCharType="separate"/>
          </w:r>
          <w:r>
            <w:rPr>
              <w:b/>
              <w:color w:val="000000"/>
            </w:rPr>
            <w:t>103</w:t>
          </w:r>
          <w:r>
            <w:rPr>
              <w:b/>
              <w:color w:val="000000"/>
            </w:rPr>
            <w:fldChar w:fldCharType="end"/>
          </w:r>
        </w:p>
      </w:tc>
      <w:tc>
        <w:tcPr>
          <w:tcW w:w="0" w:type="auto"/>
        </w:tcPr>
        <w:p w14:paraId="2D066D59" w14:textId="77777777" w:rsidR="003422DB" w:rsidRDefault="00623E14" w:rsidP="0049057D">
          <w:pPr>
            <w:spacing w:after="100"/>
            <w:jc w:val="right"/>
            <w:rPr>
              <w:b/>
              <w:color w:val="000000"/>
              <w:sz w:val="32"/>
            </w:rPr>
          </w:pPr>
          <w:r>
            <w:rPr>
              <w:b/>
              <w:color w:val="000000"/>
              <w:sz w:val="32"/>
            </w:rPr>
            <w:t>SV</w:t>
          </w:r>
        </w:p>
      </w:tc>
    </w:tr>
  </w:tbl>
  <w:p w14:paraId="2D066D5B" w14:textId="77777777" w:rsidR="003422DB" w:rsidRDefault="003422DB">
    <w:pPr>
      <w:rPr>
        <w:b/>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B3EE8" w14:textId="77777777" w:rsidR="00535746" w:rsidRDefault="00535746">
      <w:r>
        <w:separator/>
      </w:r>
    </w:p>
  </w:footnote>
  <w:footnote w:type="continuationSeparator" w:id="0">
    <w:p w14:paraId="627BAA24" w14:textId="77777777" w:rsidR="00535746" w:rsidRDefault="00535746">
      <w:r>
        <w:continuationSeparator/>
      </w:r>
    </w:p>
  </w:footnote>
  <w:footnote w:id="1">
    <w:p w14:paraId="652B442A" w14:textId="6339F5C5" w:rsidR="00C805D3" w:rsidRPr="00C805D3" w:rsidRDefault="00C805D3">
      <w:pPr>
        <w:pStyle w:val="Fotnotstext"/>
        <w:rPr>
          <w:lang w:val="sv-SE"/>
        </w:rPr>
      </w:pPr>
      <w:r w:rsidRPr="00C805D3">
        <w:rPr>
          <w:rStyle w:val="Fotnotsreferens"/>
          <w:lang w:val="sv-SE"/>
        </w:rPr>
        <w:t>*</w:t>
      </w:r>
      <w:r w:rsidRPr="00CF74CB">
        <w:rPr>
          <w:color w:val="000000"/>
          <w:lang w:val="sv-SE"/>
        </w:rPr>
        <w:t>Särskilda prioriteringar enligt ESF+-förordningen</w:t>
      </w:r>
    </w:p>
  </w:footnote>
  <w:footnote w:id="2">
    <w:p w14:paraId="4482966F" w14:textId="22DBFA58" w:rsidR="009B5EF9" w:rsidRPr="009B5EF9" w:rsidRDefault="009B5EF9" w:rsidP="009B5EF9">
      <w:pPr>
        <w:spacing w:before="100" w:after="100"/>
        <w:rPr>
          <w:color w:val="000000"/>
          <w:lang w:val="sv-SE"/>
        </w:rPr>
      </w:pPr>
      <w:r w:rsidRPr="009B5EF9">
        <w:rPr>
          <w:rStyle w:val="Fotnotsreferens"/>
          <w:lang w:val="sv-SE"/>
        </w:rPr>
        <w:t>(1)</w:t>
      </w:r>
      <w:r w:rsidRPr="009B5EF9">
        <w:rPr>
          <w:lang w:val="sv-SE"/>
        </w:rPr>
        <w:t xml:space="preserve"> </w:t>
      </w:r>
      <w:r w:rsidRPr="00732C3A">
        <w:rPr>
          <w:color w:val="000000"/>
          <w:lang w:val="sv-SE"/>
        </w:rPr>
        <w:t xml:space="preserve">Endast tillämpligt på programändringar i enlighet med artiklarna 14 och 26, med undantag för kompletterande överföringar till FRO i enlighet med artikel 27 i förordningen om gemensamma bestämmelser. Överföringarna ska inte påverka den årliga fördelningen av anslagen på nivån för den fleråriga budgetramen för en medlemsstat. </w:t>
      </w:r>
    </w:p>
  </w:footnote>
  <w:footnote w:id="3">
    <w:p w14:paraId="3543F183" w14:textId="6C225B68" w:rsidR="004D0CC3" w:rsidRPr="004D0CC3" w:rsidRDefault="004D0CC3">
      <w:pPr>
        <w:pStyle w:val="Fotnotstext"/>
        <w:rPr>
          <w:lang w:val="sv-SE"/>
        </w:rPr>
      </w:pPr>
      <w:r w:rsidRPr="004D0CC3">
        <w:rPr>
          <w:rStyle w:val="Fotnotsreferens"/>
          <w:lang w:val="sv-SE"/>
        </w:rPr>
        <w:t>*</w:t>
      </w:r>
      <w:r w:rsidRPr="00CF74CB">
        <w:rPr>
          <w:color w:val="000000"/>
          <w:lang w:val="sv-SE"/>
        </w:rPr>
        <w:t>För varje ny ansökan om bidrag ska de totala beloppen för varje år per fond och per regionkategori anges i en programändring.</w:t>
      </w:r>
    </w:p>
  </w:footnote>
  <w:footnote w:id="4">
    <w:p w14:paraId="4B5F4D07" w14:textId="53F021DF" w:rsidR="004D0CC3" w:rsidRPr="004D0CC3" w:rsidRDefault="004D0CC3" w:rsidP="004D0CC3">
      <w:pPr>
        <w:spacing w:before="100"/>
        <w:rPr>
          <w:color w:val="000000"/>
          <w:sz w:val="20"/>
          <w:lang w:val="sv-SE"/>
        </w:rPr>
      </w:pPr>
      <w:r w:rsidRPr="004D0CC3">
        <w:rPr>
          <w:rStyle w:val="Fotnotsreferens"/>
          <w:lang w:val="sv-SE"/>
        </w:rPr>
        <w:t>*</w:t>
      </w:r>
      <w:r w:rsidRPr="00CF74CB">
        <w:rPr>
          <w:color w:val="000000"/>
          <w:sz w:val="20"/>
          <w:lang w:val="sv-SE"/>
        </w:rPr>
        <w:t>Kumulativa belopp för alla bidrag som görs genom programändringar under programperioden. För varje ny ansökan om bidrag ska de totala beloppen för varje år per fond och per regionkategori anges i en programändring.</w:t>
      </w:r>
    </w:p>
  </w:footnote>
  <w:footnote w:id="5">
    <w:p w14:paraId="670B1155" w14:textId="53940BD6" w:rsidR="0056794F" w:rsidRPr="0056794F" w:rsidRDefault="0056794F">
      <w:pPr>
        <w:pStyle w:val="Fotnotstext"/>
        <w:rPr>
          <w:lang w:val="sv-SE"/>
        </w:rPr>
      </w:pPr>
      <w:r w:rsidRPr="0056794F">
        <w:rPr>
          <w:rStyle w:val="Fotnotsreferens"/>
          <w:lang w:val="sv-SE"/>
        </w:rPr>
        <w:t>*</w:t>
      </w:r>
      <w:r w:rsidRPr="00CF74CB">
        <w:rPr>
          <w:color w:val="000000"/>
          <w:lang w:val="sv-SE"/>
        </w:rPr>
        <w:t>Kumulativa belopp för alla överföringar som görs genom programändringar under programperioden. För varje ny ansökan om överföring ska de totala belopp som överförs för varje år per fond och per regionkategori anges i en programändring.</w:t>
      </w:r>
    </w:p>
  </w:footnote>
  <w:footnote w:id="6">
    <w:p w14:paraId="2E2E5093" w14:textId="59192F90" w:rsidR="0056794F" w:rsidRPr="0056794F" w:rsidRDefault="0056794F">
      <w:pPr>
        <w:pStyle w:val="Fotnotstext"/>
        <w:rPr>
          <w:lang w:val="sv-SE"/>
        </w:rPr>
      </w:pPr>
      <w:r w:rsidRPr="0056794F">
        <w:rPr>
          <w:rStyle w:val="Fotnotsreferens"/>
          <w:lang w:val="sv-SE"/>
        </w:rPr>
        <w:t>*</w:t>
      </w:r>
      <w:r w:rsidRPr="00CF74CB">
        <w:rPr>
          <w:color w:val="000000"/>
          <w:sz w:val="16"/>
          <w:lang w:val="sv-SE"/>
        </w:rPr>
        <w:t>Överföring till andra program. Överföringar mellan Eruf och ESF+ måste ske inom samma regionkategori.</w:t>
      </w:r>
    </w:p>
  </w:footnote>
  <w:footnote w:id="7">
    <w:p w14:paraId="3EF4B2C4" w14:textId="69A70A13" w:rsidR="0056794F" w:rsidRPr="0056794F" w:rsidRDefault="0056794F">
      <w:pPr>
        <w:pStyle w:val="Fotnotstext"/>
        <w:rPr>
          <w:lang w:val="sv-SE"/>
        </w:rPr>
      </w:pPr>
      <w:r w:rsidRPr="0056794F">
        <w:rPr>
          <w:rStyle w:val="Fotnotsreferens"/>
          <w:lang w:val="sv-SE"/>
        </w:rPr>
        <w:t>*</w:t>
      </w:r>
      <w:r w:rsidRPr="00CF74CB">
        <w:rPr>
          <w:color w:val="000000"/>
          <w:sz w:val="16"/>
          <w:lang w:val="sv-SE"/>
        </w:rPr>
        <w:t>Gäller endast Eruf och ESF+</w:t>
      </w:r>
    </w:p>
  </w:footnote>
  <w:footnote w:id="8">
    <w:p w14:paraId="6A1847B4" w14:textId="34CDFF4A" w:rsidR="0056794F" w:rsidRPr="0056794F" w:rsidRDefault="0056794F">
      <w:pPr>
        <w:pStyle w:val="Fotnotstext"/>
        <w:rPr>
          <w:lang w:val="sv-SE"/>
        </w:rPr>
      </w:pPr>
      <w:r w:rsidRPr="0056794F">
        <w:rPr>
          <w:rStyle w:val="Fotnotsreferens"/>
          <w:lang w:val="sv-SE"/>
        </w:rPr>
        <w:t>*</w:t>
      </w:r>
      <w:r w:rsidRPr="00CF74CB">
        <w:rPr>
          <w:color w:val="000000"/>
          <w:sz w:val="16"/>
          <w:lang w:val="sv-SE"/>
        </w:rPr>
        <w:t>Gäller endast Eruf och ESF+</w:t>
      </w:r>
    </w:p>
  </w:footnote>
  <w:footnote w:id="9">
    <w:p w14:paraId="43EC67B3" w14:textId="29C85B01" w:rsidR="0056794F" w:rsidRPr="0056794F" w:rsidRDefault="0056794F">
      <w:pPr>
        <w:pStyle w:val="Fotnotstext"/>
        <w:rPr>
          <w:lang w:val="sv-SE"/>
        </w:rPr>
      </w:pPr>
      <w:r w:rsidRPr="0056794F">
        <w:rPr>
          <w:rStyle w:val="Fotnotsreferens"/>
          <w:vertAlign w:val="baseline"/>
          <w:lang w:val="sv-SE"/>
        </w:rPr>
        <w:t>(1)</w:t>
      </w:r>
      <w:r w:rsidRPr="00CF74CB">
        <w:rPr>
          <w:color w:val="000000"/>
          <w:sz w:val="16"/>
          <w:lang w:val="sv-SE"/>
        </w:rPr>
        <w:t>Gäller endast programändringar för medel som förs tillbaka från andra unionsinstrument, däribland delar av Amif, Fonden för inre säkerhet och instrumentet för ekonomiskt stöd för gränsförvaltning och viseringspolitik, inom ramen för direkt eller indirekt förvaltning, eller från InvestEU.</w:t>
      </w:r>
    </w:p>
  </w:footnote>
  <w:footnote w:id="10">
    <w:p w14:paraId="52648F19" w14:textId="02603DE3" w:rsidR="0056794F" w:rsidRPr="0056794F" w:rsidRDefault="0056794F">
      <w:pPr>
        <w:pStyle w:val="Fotnotstext"/>
        <w:rPr>
          <w:lang w:val="sv-SE"/>
        </w:rPr>
      </w:pPr>
      <w:r w:rsidRPr="0056794F">
        <w:rPr>
          <w:rStyle w:val="Fotnotsreferens"/>
          <w:lang w:val="sv-SE"/>
        </w:rPr>
        <w:t>*</w:t>
      </w:r>
      <w:r w:rsidRPr="00CF74CB">
        <w:rPr>
          <w:color w:val="000000"/>
          <w:sz w:val="16"/>
          <w:lang w:val="sv-SE"/>
        </w:rPr>
        <w:t>Kumulativa belopp för alla överföringar som görs genom programändringar under programperioden. För varje ny ansökan om överföring ska de totala belopp som överförs för varje år per fond och per regionkategori anges i en programändring.</w:t>
      </w:r>
    </w:p>
  </w:footnote>
  <w:footnote w:id="11">
    <w:p w14:paraId="250FBE0D" w14:textId="7946F71E" w:rsidR="00E516B6" w:rsidRPr="00E516B6" w:rsidRDefault="00E516B6">
      <w:pPr>
        <w:pStyle w:val="Fotnotstext"/>
        <w:rPr>
          <w:lang w:val="sv-SE"/>
        </w:rPr>
      </w:pPr>
      <w:r w:rsidRPr="00E516B6">
        <w:rPr>
          <w:rStyle w:val="Fotnotsreferens"/>
          <w:lang w:val="sv-SE"/>
        </w:rPr>
        <w:t>*</w:t>
      </w:r>
      <w:r w:rsidRPr="00CF74CB">
        <w:rPr>
          <w:color w:val="000000"/>
          <w:sz w:val="14"/>
          <w:lang w:val="sv-SE"/>
        </w:rPr>
        <w:t>Belopp efter den kompletterande överföringen till FRO.</w:t>
      </w:r>
    </w:p>
  </w:footnote>
  <w:footnote w:id="12">
    <w:p w14:paraId="1F4DA2F8" w14:textId="5B681C08" w:rsidR="0056794F" w:rsidRPr="0056794F" w:rsidRDefault="0056794F">
      <w:pPr>
        <w:pStyle w:val="Fotnotstext"/>
        <w:rPr>
          <w:lang w:val="sv-SE"/>
        </w:rPr>
      </w:pPr>
      <w:r w:rsidRPr="0056794F">
        <w:rPr>
          <w:rStyle w:val="Fotnotsreferens"/>
          <w:lang w:val="sv-SE"/>
        </w:rPr>
        <w:t>*</w:t>
      </w:r>
      <w:r w:rsidRPr="00917C6D">
        <w:rPr>
          <w:color w:val="000000"/>
          <w:sz w:val="12"/>
          <w:lang w:val="sv-SE"/>
        </w:rPr>
        <w:t>För Eruf och ESF+: mindre utvecklade, övergångsregioner, mer utvecklade, och, i förekommande fall, särskilda anslag för de yttersta randområdena och de nordliga glesbefolkade områdena. För Sammanhållningsfonden: ej tillämpligt. För tekniskt bistånd beror tillämpningen av regionkategorier på valet av en fond.</w:t>
      </w:r>
    </w:p>
  </w:footnote>
  <w:footnote w:id="13">
    <w:p w14:paraId="4E47EE5D" w14:textId="37295D37" w:rsidR="00C052D2" w:rsidRPr="00C052D2" w:rsidRDefault="00C052D2">
      <w:pPr>
        <w:pStyle w:val="Fotnotstext"/>
        <w:rPr>
          <w:lang w:val="sv-SE"/>
        </w:rPr>
      </w:pPr>
      <w:r w:rsidRPr="00C052D2">
        <w:rPr>
          <w:rStyle w:val="Fotnotsreferens"/>
          <w:lang w:val="sv-SE"/>
        </w:rPr>
        <w:t>(1)</w:t>
      </w:r>
      <w:r w:rsidRPr="00CF74CB">
        <w:rPr>
          <w:color w:val="000000"/>
          <w:sz w:val="16"/>
          <w:lang w:val="sv-SE"/>
        </w:rPr>
        <w:t>Detta avser koden för interventionsområdet i tabell 1 i bilaga I till förordningen om gemensamma bestämmelser och i bilaga IV till EHFVF-förordningen</w:t>
      </w:r>
      <w:r w:rsidR="00DF24E6">
        <w:rPr>
          <w:color w:val="000000"/>
          <w:sz w:val="16"/>
          <w:lang w:val="sv-SE"/>
        </w:rPr>
        <w:t>.</w:t>
      </w:r>
    </w:p>
  </w:footnote>
  <w:footnote w:id="14">
    <w:p w14:paraId="23A329EE" w14:textId="7511857E" w:rsidR="00C052D2" w:rsidRPr="00C052D2" w:rsidRDefault="00C052D2">
      <w:pPr>
        <w:pStyle w:val="Fotnotstext"/>
        <w:rPr>
          <w:lang w:val="sv-SE"/>
        </w:rPr>
      </w:pPr>
      <w:r w:rsidRPr="00C052D2">
        <w:rPr>
          <w:rStyle w:val="Fotnotsreferens"/>
          <w:lang w:val="sv-SE"/>
        </w:rPr>
        <w:t>(2)</w:t>
      </w:r>
      <w:r w:rsidRPr="00CF74CB">
        <w:rPr>
          <w:color w:val="000000"/>
          <w:sz w:val="16"/>
          <w:lang w:val="sv-SE"/>
        </w:rPr>
        <w:t>Detta avser koden för en gemensam indikator, i tillämpliga fall.</w:t>
      </w:r>
    </w:p>
  </w:footnote>
  <w:footnote w:id="15">
    <w:p w14:paraId="25FCB0B8" w14:textId="18FDEBC4" w:rsidR="00E516B6" w:rsidRPr="00E516B6" w:rsidRDefault="00E516B6">
      <w:pPr>
        <w:pStyle w:val="Fotnotstext"/>
        <w:rPr>
          <w:lang w:val="sv-SE"/>
        </w:rPr>
      </w:pPr>
      <w:r w:rsidRPr="00E516B6">
        <w:rPr>
          <w:rStyle w:val="Fotnotsreferens"/>
          <w:lang w:val="sv-SE"/>
        </w:rPr>
        <w:t>(1)</w:t>
      </w:r>
      <w:r w:rsidRPr="00E516B6">
        <w:rPr>
          <w:lang w:val="sv-SE"/>
        </w:rPr>
        <w:t xml:space="preserve"> </w:t>
      </w:r>
      <w:r w:rsidRPr="00CF74CB">
        <w:rPr>
          <w:color w:val="000000"/>
          <w:sz w:val="12"/>
          <w:lang w:val="sv-SE"/>
        </w:rPr>
        <w:t>Detta avser koden för interventionsområdet i tabell 1 i bilaga I till förordningen om gemensamma bestämmelser och i bilaga IV till EHFVF-förordningen</w:t>
      </w:r>
    </w:p>
  </w:footnote>
  <w:footnote w:id="16">
    <w:p w14:paraId="5FD07DC1" w14:textId="4E8B75EB" w:rsidR="00E516B6" w:rsidRPr="00E516B6" w:rsidRDefault="00E516B6">
      <w:pPr>
        <w:pStyle w:val="Fotnotstext"/>
        <w:rPr>
          <w:lang w:val="sv-SE"/>
        </w:rPr>
      </w:pPr>
      <w:r w:rsidRPr="00E516B6">
        <w:rPr>
          <w:rStyle w:val="Fotnotsreferens"/>
          <w:lang w:val="sv-SE"/>
        </w:rPr>
        <w:t>(2)</w:t>
      </w:r>
      <w:r w:rsidRPr="00E516B6">
        <w:rPr>
          <w:lang w:val="sv-SE"/>
        </w:rPr>
        <w:t xml:space="preserve"> </w:t>
      </w:r>
      <w:r w:rsidRPr="00CF74CB">
        <w:rPr>
          <w:color w:val="000000"/>
          <w:sz w:val="12"/>
          <w:lang w:val="sv-SE"/>
        </w:rPr>
        <w:t>Detta avser koden för en gemensam indikator, i tillämpliga fall.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66D40" w14:textId="77777777" w:rsidR="003422DB" w:rsidRDefault="003422DB"/>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66D5E" w14:textId="77777777" w:rsidR="003422DB" w:rsidRDefault="003422DB"/>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66D5F" w14:textId="77777777" w:rsidR="003422DB" w:rsidRDefault="003422DB"/>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66D66" w14:textId="77777777" w:rsidR="003422DB" w:rsidRDefault="003422DB"/>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66D68" w14:textId="77777777" w:rsidR="003422DB" w:rsidRDefault="003422DB"/>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66D69" w14:textId="77777777" w:rsidR="003422DB" w:rsidRDefault="003422DB"/>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66D70" w14:textId="77777777" w:rsidR="003422DB" w:rsidRDefault="003422DB"/>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66D72" w14:textId="77777777" w:rsidR="003422DB" w:rsidRDefault="003422DB"/>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66D73" w14:textId="77777777" w:rsidR="003422DB" w:rsidRDefault="003422DB"/>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66D7A" w14:textId="77777777" w:rsidR="003422DB" w:rsidRDefault="003422DB"/>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66D7C" w14:textId="77777777" w:rsidR="003422DB" w:rsidRDefault="003422D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66D41" w14:textId="77777777" w:rsidR="003422DB" w:rsidRDefault="003422DB"/>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66D7D" w14:textId="77777777" w:rsidR="003422DB" w:rsidRDefault="003422DB"/>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66D84" w14:textId="77777777" w:rsidR="003422DB" w:rsidRDefault="003422DB"/>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66D86" w14:textId="77777777" w:rsidR="003422DB" w:rsidRDefault="003422DB"/>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66D87" w14:textId="77777777" w:rsidR="003422DB" w:rsidRDefault="003422DB"/>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66D8E" w14:textId="77777777" w:rsidR="003422DB" w:rsidRDefault="003422DB"/>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66D90" w14:textId="77777777" w:rsidR="003422DB" w:rsidRDefault="003422DB"/>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66D91" w14:textId="77777777" w:rsidR="003422DB" w:rsidRDefault="003422DB"/>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66D98" w14:textId="77777777" w:rsidR="003422DB" w:rsidRDefault="003422DB"/>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66D9A" w14:textId="77777777" w:rsidR="003422DB" w:rsidRDefault="003422DB"/>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66D9B" w14:textId="77777777" w:rsidR="003422DB" w:rsidRDefault="003422D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66D48" w14:textId="77777777" w:rsidR="003422DB" w:rsidRDefault="003422DB"/>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66DA2" w14:textId="77777777" w:rsidR="003422DB" w:rsidRDefault="003422DB"/>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66DA4" w14:textId="77777777" w:rsidR="003422DB" w:rsidRDefault="003422DB"/>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66DA5" w14:textId="77777777" w:rsidR="003422DB" w:rsidRDefault="003422DB"/>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66DAC" w14:textId="77777777" w:rsidR="003422DB" w:rsidRDefault="003422DB"/>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66D4A" w14:textId="77777777" w:rsidR="003422DB" w:rsidRDefault="003422DB"/>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66D4B" w14:textId="77777777" w:rsidR="003422DB" w:rsidRDefault="003422DB"/>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66D52" w14:textId="77777777" w:rsidR="003422DB" w:rsidRDefault="003422DB"/>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66D54" w14:textId="77777777" w:rsidR="003422DB" w:rsidRDefault="003422DB"/>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66D55" w14:textId="77777777" w:rsidR="003422DB" w:rsidRDefault="003422DB"/>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66D5C" w14:textId="77777777" w:rsidR="003422DB" w:rsidRDefault="003422D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40F"/>
    <w:multiLevelType w:val="multilevel"/>
    <w:tmpl w:val="39C2346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2"/>
      <w:numFmt w:val="decimal"/>
      <w:lvlText w:val="%3.1.1."/>
      <w:lvlJc w:val="left"/>
      <w:pPr>
        <w:ind w:left="1620" w:hanging="360"/>
      </w:pPr>
      <w:rPr>
        <w:rFonts w:hint="default"/>
        <w:b w:val="0"/>
        <w:bCs/>
      </w:rPr>
    </w:lvl>
    <w:lvl w:ilvl="3">
      <w:start w:val="2"/>
      <w:numFmt w:val="decimal"/>
      <w:lvlText w:val="%4.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23E3920"/>
    <w:multiLevelType w:val="multilevel"/>
    <w:tmpl w:val="7220C42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2"/>
      <w:numFmt w:val="decimal"/>
      <w:lvlText w:val="%3.1.1"/>
      <w:lvlJc w:val="left"/>
      <w:pPr>
        <w:ind w:left="1080" w:hanging="360"/>
      </w:pPr>
      <w:rPr>
        <w:rFonts w:hint="default"/>
      </w:rPr>
    </w:lvl>
    <w:lvl w:ilvl="3">
      <w:start w:val="2"/>
      <w:numFmt w:val="decimal"/>
      <w:lvlText w:val="%4.1.1.1"/>
      <w:lvlJc w:val="left"/>
      <w:pPr>
        <w:ind w:left="1440" w:hanging="360"/>
      </w:pPr>
      <w:rPr>
        <w:rFonts w:hint="default"/>
      </w:rPr>
    </w:lvl>
    <w:lvl w:ilvl="4">
      <w:start w:val="2"/>
      <w:numFmt w:val="decimal"/>
      <w:lvlText w:val="%5.1.1.1.1."/>
      <w:lvlJc w:val="left"/>
      <w:pPr>
        <w:ind w:left="144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6F218CD"/>
    <w:multiLevelType w:val="multilevel"/>
    <w:tmpl w:val="E9FAAB0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2"/>
      <w:numFmt w:val="decimal"/>
      <w:lvlText w:val="%3.1.1"/>
      <w:lvlJc w:val="left"/>
      <w:pPr>
        <w:ind w:left="1080" w:hanging="360"/>
      </w:pPr>
      <w:rPr>
        <w:rFonts w:hint="default"/>
      </w:rPr>
    </w:lvl>
    <w:lvl w:ilvl="3">
      <w:start w:val="2"/>
      <w:numFmt w:val="decimal"/>
      <w:lvlText w:val="%4.1.1.1"/>
      <w:lvlJc w:val="left"/>
      <w:pPr>
        <w:ind w:left="1440" w:hanging="360"/>
      </w:pPr>
      <w:rPr>
        <w:rFonts w:hint="default"/>
      </w:rPr>
    </w:lvl>
    <w:lvl w:ilvl="4">
      <w:start w:val="2"/>
      <w:numFmt w:val="decimal"/>
      <w:lvlText w:val="%5.1.1.1.2."/>
      <w:lvlJc w:val="left"/>
      <w:pPr>
        <w:ind w:left="144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91634CA"/>
    <w:multiLevelType w:val="hybridMultilevel"/>
    <w:tmpl w:val="2222D458"/>
    <w:lvl w:ilvl="0" w:tplc="B852BE5E">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FD589D"/>
    <w:multiLevelType w:val="multilevel"/>
    <w:tmpl w:val="664835B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2"/>
      <w:numFmt w:val="decimal"/>
      <w:lvlText w:val="%3.1.1"/>
      <w:lvlJc w:val="left"/>
      <w:pPr>
        <w:ind w:left="1080" w:hanging="360"/>
      </w:pPr>
      <w:rPr>
        <w:rFonts w:hint="default"/>
      </w:rPr>
    </w:lvl>
    <w:lvl w:ilvl="3">
      <w:start w:val="2"/>
      <w:numFmt w:val="decimal"/>
      <w:lvlText w:val="%4.1.1.1"/>
      <w:lvlJc w:val="left"/>
      <w:pPr>
        <w:ind w:left="1440" w:hanging="360"/>
      </w:pPr>
      <w:rPr>
        <w:rFonts w:hint="default"/>
      </w:rPr>
    </w:lvl>
    <w:lvl w:ilvl="4">
      <w:start w:val="2"/>
      <w:numFmt w:val="decimal"/>
      <w:lvlText w:val="%5.1.1.1.3."/>
      <w:lvlJc w:val="left"/>
      <w:pPr>
        <w:ind w:left="144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A3E2179"/>
    <w:multiLevelType w:val="multilevel"/>
    <w:tmpl w:val="7220C42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2"/>
      <w:numFmt w:val="decimal"/>
      <w:lvlText w:val="%3.1.1"/>
      <w:lvlJc w:val="left"/>
      <w:pPr>
        <w:ind w:left="1080" w:hanging="360"/>
      </w:pPr>
      <w:rPr>
        <w:rFonts w:hint="default"/>
      </w:rPr>
    </w:lvl>
    <w:lvl w:ilvl="3">
      <w:start w:val="2"/>
      <w:numFmt w:val="decimal"/>
      <w:lvlText w:val="%4.1.1.1"/>
      <w:lvlJc w:val="left"/>
      <w:pPr>
        <w:ind w:left="1440" w:hanging="360"/>
      </w:pPr>
      <w:rPr>
        <w:rFonts w:hint="default"/>
      </w:rPr>
    </w:lvl>
    <w:lvl w:ilvl="4">
      <w:start w:val="2"/>
      <w:numFmt w:val="decimal"/>
      <w:lvlText w:val="%5.1.1.1.1."/>
      <w:lvlJc w:val="left"/>
      <w:pPr>
        <w:ind w:left="144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ADC5E81"/>
    <w:multiLevelType w:val="multilevel"/>
    <w:tmpl w:val="6E48186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2"/>
      <w:numFmt w:val="decimal"/>
      <w:lvlText w:val="%3.1.1"/>
      <w:lvlJc w:val="left"/>
      <w:pPr>
        <w:ind w:left="1080" w:hanging="360"/>
      </w:pPr>
      <w:rPr>
        <w:rFonts w:hint="default"/>
      </w:rPr>
    </w:lvl>
    <w:lvl w:ilvl="3">
      <w:start w:val="2"/>
      <w:numFmt w:val="decimal"/>
      <w:lvlText w:val="%4.1.1.1"/>
      <w:lvlJc w:val="left"/>
      <w:pPr>
        <w:ind w:left="1440" w:hanging="360"/>
      </w:pPr>
      <w:rPr>
        <w:rFonts w:hint="default"/>
      </w:rPr>
    </w:lvl>
    <w:lvl w:ilvl="4">
      <w:start w:val="2"/>
      <w:numFmt w:val="decimal"/>
      <w:lvlText w:val="%5.1.1.1.2."/>
      <w:lvlJc w:val="left"/>
      <w:pPr>
        <w:ind w:left="144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D5230C0"/>
    <w:multiLevelType w:val="multilevel"/>
    <w:tmpl w:val="41A8342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2"/>
      <w:numFmt w:val="decimal"/>
      <w:pStyle w:val="Rubrik5"/>
      <w:lvlText w:val="%3.1.1."/>
      <w:lvlJc w:val="left"/>
      <w:pPr>
        <w:ind w:left="1620" w:hanging="360"/>
      </w:pPr>
      <w:rPr>
        <w:rFonts w:hint="default"/>
        <w:b w:val="0"/>
        <w:bCs/>
      </w:rPr>
    </w:lvl>
    <w:lvl w:ilvl="3">
      <w:start w:val="2"/>
      <w:numFmt w:val="decimal"/>
      <w:lvlText w:val="%4.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1441D48"/>
    <w:multiLevelType w:val="multilevel"/>
    <w:tmpl w:val="2048E7C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2"/>
      <w:numFmt w:val="decimal"/>
      <w:lvlText w:val="%3.1.1."/>
      <w:lvlJc w:val="left"/>
      <w:pPr>
        <w:ind w:left="1620" w:hanging="360"/>
      </w:pPr>
      <w:rPr>
        <w:rFonts w:hint="default"/>
        <w:b w:val="0"/>
        <w:bCs/>
      </w:rPr>
    </w:lvl>
    <w:lvl w:ilvl="3">
      <w:start w:val="2"/>
      <w:numFmt w:val="decimal"/>
      <w:lvlText w:val="%4.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19B2522"/>
    <w:multiLevelType w:val="multilevel"/>
    <w:tmpl w:val="DBAC093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2"/>
      <w:numFmt w:val="decimal"/>
      <w:lvlText w:val="%3.1.1."/>
      <w:lvlJc w:val="left"/>
      <w:pPr>
        <w:ind w:left="1620" w:hanging="360"/>
      </w:pPr>
      <w:rPr>
        <w:rFonts w:hint="default"/>
        <w:b w:val="0"/>
        <w:bCs/>
      </w:rPr>
    </w:lvl>
    <w:lvl w:ilvl="3">
      <w:start w:val="2"/>
      <w:numFmt w:val="decimal"/>
      <w:lvlText w:val="%4.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20A30D0"/>
    <w:multiLevelType w:val="multilevel"/>
    <w:tmpl w:val="C590A9B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2"/>
      <w:numFmt w:val="decimal"/>
      <w:lvlText w:val="%3.1.1."/>
      <w:lvlJc w:val="left"/>
      <w:pPr>
        <w:ind w:left="450" w:hanging="360"/>
      </w:pPr>
      <w:rPr>
        <w:rFonts w:hint="default"/>
        <w:b w:val="0"/>
        <w:bCs/>
      </w:rPr>
    </w:lvl>
    <w:lvl w:ilvl="3">
      <w:start w:val="2"/>
      <w:numFmt w:val="decimal"/>
      <w:lvlText w:val="%4.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45E0EBC"/>
    <w:multiLevelType w:val="multilevel"/>
    <w:tmpl w:val="4AFC3B56"/>
    <w:lvl w:ilvl="0">
      <w:start w:val="1"/>
      <w:numFmt w:val="decimal"/>
      <w:lvlText w:val="2.%1"/>
      <w:lvlJc w:val="left"/>
      <w:pPr>
        <w:ind w:left="720" w:hanging="360"/>
      </w:pPr>
      <w:rPr>
        <w:rFonts w:hint="default"/>
      </w:rPr>
    </w:lvl>
    <w:lvl w:ilvl="1">
      <w:start w:val="1"/>
      <w:numFmt w:val="decimal"/>
      <w:lvlText w:val="2.%2."/>
      <w:lvlJc w:val="left"/>
      <w:pPr>
        <w:ind w:left="153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1AC812F1"/>
    <w:multiLevelType w:val="multilevel"/>
    <w:tmpl w:val="B476B15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2"/>
      <w:numFmt w:val="decimal"/>
      <w:lvlText w:val="%3.1.1"/>
      <w:lvlJc w:val="left"/>
      <w:pPr>
        <w:ind w:left="1080" w:hanging="360"/>
      </w:pPr>
      <w:rPr>
        <w:rFonts w:hint="default"/>
      </w:rPr>
    </w:lvl>
    <w:lvl w:ilvl="3">
      <w:start w:val="2"/>
      <w:numFmt w:val="decimal"/>
      <w:lvlText w:val="%4.1.1.1"/>
      <w:lvlJc w:val="left"/>
      <w:pPr>
        <w:ind w:left="1440" w:hanging="360"/>
      </w:pPr>
      <w:rPr>
        <w:rFonts w:hint="default"/>
      </w:rPr>
    </w:lvl>
    <w:lvl w:ilvl="4">
      <w:start w:val="2"/>
      <w:numFmt w:val="decimal"/>
      <w:lvlText w:val="%5.1.1.1.3."/>
      <w:lvlJc w:val="left"/>
      <w:pPr>
        <w:ind w:left="144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C0C373C"/>
    <w:multiLevelType w:val="multilevel"/>
    <w:tmpl w:val="60F63E9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2"/>
      <w:numFmt w:val="decimal"/>
      <w:lvlText w:val="%3.1.1"/>
      <w:lvlJc w:val="left"/>
      <w:pPr>
        <w:ind w:left="1080" w:hanging="360"/>
      </w:pPr>
      <w:rPr>
        <w:rFonts w:hint="default"/>
      </w:rPr>
    </w:lvl>
    <w:lvl w:ilvl="3">
      <w:start w:val="2"/>
      <w:numFmt w:val="decimal"/>
      <w:lvlText w:val="%4.1.1.1"/>
      <w:lvlJc w:val="left"/>
      <w:pPr>
        <w:ind w:left="1440" w:hanging="360"/>
      </w:pPr>
      <w:rPr>
        <w:rFonts w:hint="default"/>
      </w:rPr>
    </w:lvl>
    <w:lvl w:ilvl="4">
      <w:start w:val="2"/>
      <w:numFmt w:val="decimal"/>
      <w:lvlText w:val="%5.1.1.1.3."/>
      <w:lvlJc w:val="left"/>
      <w:pPr>
        <w:ind w:left="144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C615CF2"/>
    <w:multiLevelType w:val="multilevel"/>
    <w:tmpl w:val="25FECDF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1D3A6135"/>
    <w:multiLevelType w:val="hybridMultilevel"/>
    <w:tmpl w:val="1932E48E"/>
    <w:lvl w:ilvl="0" w:tplc="181A112A">
      <w:start w:val="1"/>
      <w:numFmt w:val="upperLetter"/>
      <w:lvlText w:val="%1."/>
      <w:lvlJc w:val="left"/>
      <w:pPr>
        <w:ind w:left="108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9F2896"/>
    <w:multiLevelType w:val="multilevel"/>
    <w:tmpl w:val="5D201342"/>
    <w:lvl w:ilvl="0">
      <w:start w:val="2"/>
      <w:numFmt w:val="decimal"/>
      <w:lvlText w:val="%1.3"/>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21975BF2"/>
    <w:multiLevelType w:val="hybridMultilevel"/>
    <w:tmpl w:val="132A9C4C"/>
    <w:lvl w:ilvl="0" w:tplc="FFFFFFFF">
      <w:start w:val="1"/>
      <w:numFmt w:val="decimal"/>
      <w:lvlText w:val="%1."/>
      <w:lvlJc w:val="left"/>
      <w:pPr>
        <w:ind w:left="90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1B306E6"/>
    <w:multiLevelType w:val="multilevel"/>
    <w:tmpl w:val="6268ABE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2"/>
      <w:numFmt w:val="decimal"/>
      <w:lvlText w:val="%3.1.1"/>
      <w:lvlJc w:val="left"/>
      <w:pPr>
        <w:ind w:left="1080" w:hanging="360"/>
      </w:pPr>
      <w:rPr>
        <w:rFonts w:hint="default"/>
      </w:rPr>
    </w:lvl>
    <w:lvl w:ilvl="3">
      <w:start w:val="2"/>
      <w:numFmt w:val="decimal"/>
      <w:lvlText w:val="%4.1.1.1"/>
      <w:lvlJc w:val="left"/>
      <w:pPr>
        <w:ind w:left="1440" w:hanging="360"/>
      </w:pPr>
      <w:rPr>
        <w:rFonts w:hint="default"/>
      </w:rPr>
    </w:lvl>
    <w:lvl w:ilvl="4">
      <w:start w:val="2"/>
      <w:numFmt w:val="decimal"/>
      <w:lvlText w:val="%5.1.1.1.2."/>
      <w:lvlJc w:val="left"/>
      <w:pPr>
        <w:ind w:left="522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6054A19"/>
    <w:multiLevelType w:val="multilevel"/>
    <w:tmpl w:val="4D7030D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2"/>
      <w:numFmt w:val="decimal"/>
      <w:lvlText w:val="%3.1.1"/>
      <w:lvlJc w:val="left"/>
      <w:pPr>
        <w:ind w:left="1080" w:hanging="360"/>
      </w:pPr>
      <w:rPr>
        <w:rFonts w:hint="default"/>
      </w:rPr>
    </w:lvl>
    <w:lvl w:ilvl="3">
      <w:start w:val="2"/>
      <w:numFmt w:val="decimal"/>
      <w:lvlText w:val="%4.1.1.1"/>
      <w:lvlJc w:val="left"/>
      <w:pPr>
        <w:ind w:left="1440" w:hanging="360"/>
      </w:pPr>
      <w:rPr>
        <w:rFonts w:hint="default"/>
      </w:rPr>
    </w:lvl>
    <w:lvl w:ilvl="4">
      <w:start w:val="2"/>
      <w:numFmt w:val="decimal"/>
      <w:lvlText w:val="%5.1.1.1.2."/>
      <w:lvlJc w:val="left"/>
      <w:pPr>
        <w:ind w:left="144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80D4097"/>
    <w:multiLevelType w:val="hybridMultilevel"/>
    <w:tmpl w:val="47A02F9A"/>
    <w:lvl w:ilvl="0" w:tplc="F948F4C4">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1A1764"/>
    <w:multiLevelType w:val="multilevel"/>
    <w:tmpl w:val="4A28350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2"/>
      <w:numFmt w:val="decimal"/>
      <w:lvlText w:val="%3.1.1"/>
      <w:lvlJc w:val="left"/>
      <w:pPr>
        <w:ind w:left="1080" w:hanging="360"/>
      </w:pPr>
      <w:rPr>
        <w:rFonts w:hint="default"/>
      </w:rPr>
    </w:lvl>
    <w:lvl w:ilvl="3">
      <w:start w:val="2"/>
      <w:numFmt w:val="decimal"/>
      <w:lvlText w:val="%4.1.1.1"/>
      <w:lvlJc w:val="left"/>
      <w:pPr>
        <w:ind w:left="1440" w:hanging="360"/>
      </w:pPr>
      <w:rPr>
        <w:rFonts w:hint="default"/>
      </w:rPr>
    </w:lvl>
    <w:lvl w:ilvl="4">
      <w:start w:val="2"/>
      <w:numFmt w:val="decimal"/>
      <w:lvlText w:val="%5.1.1.1.3."/>
      <w:lvlJc w:val="left"/>
      <w:pPr>
        <w:ind w:left="144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28D23C7F"/>
    <w:multiLevelType w:val="hybridMultilevel"/>
    <w:tmpl w:val="337A3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BFB7820"/>
    <w:multiLevelType w:val="multilevel"/>
    <w:tmpl w:val="A6547AD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2"/>
      <w:numFmt w:val="decimal"/>
      <w:lvlText w:val="%3.1.1"/>
      <w:lvlJc w:val="left"/>
      <w:pPr>
        <w:ind w:left="1080" w:hanging="360"/>
      </w:pPr>
      <w:rPr>
        <w:rFonts w:hint="default"/>
      </w:rPr>
    </w:lvl>
    <w:lvl w:ilvl="3">
      <w:start w:val="2"/>
      <w:numFmt w:val="decimal"/>
      <w:lvlText w:val="%4.1.1.1"/>
      <w:lvlJc w:val="left"/>
      <w:pPr>
        <w:ind w:left="1440" w:hanging="360"/>
      </w:pPr>
      <w:rPr>
        <w:rFonts w:hint="default"/>
      </w:rPr>
    </w:lvl>
    <w:lvl w:ilvl="4">
      <w:start w:val="2"/>
      <w:numFmt w:val="decimal"/>
      <w:lvlText w:val="%5.1.1.1.2."/>
      <w:lvlJc w:val="left"/>
      <w:pPr>
        <w:ind w:left="144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2CFC71AF"/>
    <w:multiLevelType w:val="multilevel"/>
    <w:tmpl w:val="E000134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2"/>
      <w:numFmt w:val="decimal"/>
      <w:lvlText w:val="%3.1.1."/>
      <w:lvlJc w:val="left"/>
      <w:pPr>
        <w:ind w:left="1620" w:hanging="360"/>
      </w:pPr>
      <w:rPr>
        <w:rFonts w:hint="default"/>
        <w:b w:val="0"/>
        <w:bCs/>
      </w:rPr>
    </w:lvl>
    <w:lvl w:ilvl="3">
      <w:start w:val="2"/>
      <w:numFmt w:val="decimal"/>
      <w:lvlText w:val="%4.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2D1B2B96"/>
    <w:multiLevelType w:val="multilevel"/>
    <w:tmpl w:val="25FECDF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2D390F59"/>
    <w:multiLevelType w:val="hybridMultilevel"/>
    <w:tmpl w:val="9A16B74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2D793121"/>
    <w:multiLevelType w:val="hybridMultilevel"/>
    <w:tmpl w:val="1A1CE27C"/>
    <w:lvl w:ilvl="0" w:tplc="3362C81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F91107C"/>
    <w:multiLevelType w:val="multilevel"/>
    <w:tmpl w:val="4B7A105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2"/>
      <w:numFmt w:val="decimal"/>
      <w:lvlText w:val="%3.1.1"/>
      <w:lvlJc w:val="left"/>
      <w:pPr>
        <w:ind w:left="1080" w:hanging="360"/>
      </w:pPr>
      <w:rPr>
        <w:rFonts w:hint="default"/>
      </w:rPr>
    </w:lvl>
    <w:lvl w:ilvl="3">
      <w:start w:val="2"/>
      <w:numFmt w:val="decimal"/>
      <w:lvlText w:val="%4.1.1.1"/>
      <w:lvlJc w:val="left"/>
      <w:pPr>
        <w:ind w:left="1440" w:hanging="360"/>
      </w:pPr>
      <w:rPr>
        <w:rFonts w:hint="default"/>
      </w:rPr>
    </w:lvl>
    <w:lvl w:ilvl="4">
      <w:start w:val="2"/>
      <w:numFmt w:val="decimal"/>
      <w:lvlText w:val="%5.1.1.1.2."/>
      <w:lvlJc w:val="left"/>
      <w:pPr>
        <w:ind w:left="144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2F980471"/>
    <w:multiLevelType w:val="hybridMultilevel"/>
    <w:tmpl w:val="132A9C4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2FAE744D"/>
    <w:multiLevelType w:val="multilevel"/>
    <w:tmpl w:val="7220C42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2"/>
      <w:numFmt w:val="decimal"/>
      <w:lvlText w:val="%3.1.1"/>
      <w:lvlJc w:val="left"/>
      <w:pPr>
        <w:ind w:left="1080" w:hanging="360"/>
      </w:pPr>
      <w:rPr>
        <w:rFonts w:hint="default"/>
      </w:rPr>
    </w:lvl>
    <w:lvl w:ilvl="3">
      <w:start w:val="2"/>
      <w:numFmt w:val="decimal"/>
      <w:lvlText w:val="%4.1.1.1"/>
      <w:lvlJc w:val="left"/>
      <w:pPr>
        <w:ind w:left="1440" w:hanging="360"/>
      </w:pPr>
      <w:rPr>
        <w:rFonts w:hint="default"/>
      </w:rPr>
    </w:lvl>
    <w:lvl w:ilvl="4">
      <w:start w:val="2"/>
      <w:numFmt w:val="decimal"/>
      <w:lvlText w:val="%5.1.1.1.1."/>
      <w:lvlJc w:val="left"/>
      <w:pPr>
        <w:ind w:left="144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2FFA3AE3"/>
    <w:multiLevelType w:val="multilevel"/>
    <w:tmpl w:val="479234F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2"/>
      <w:numFmt w:val="decimal"/>
      <w:lvlText w:val="%3.1.1"/>
      <w:lvlJc w:val="left"/>
      <w:pPr>
        <w:ind w:left="1080" w:hanging="360"/>
      </w:pPr>
      <w:rPr>
        <w:rFonts w:hint="default"/>
      </w:rPr>
    </w:lvl>
    <w:lvl w:ilvl="3">
      <w:start w:val="2"/>
      <w:numFmt w:val="decimal"/>
      <w:lvlText w:val="%4.1.1.1"/>
      <w:lvlJc w:val="left"/>
      <w:pPr>
        <w:ind w:left="1440" w:hanging="360"/>
      </w:pPr>
      <w:rPr>
        <w:rFonts w:hint="default"/>
      </w:rPr>
    </w:lvl>
    <w:lvl w:ilvl="4">
      <w:start w:val="2"/>
      <w:numFmt w:val="decimal"/>
      <w:lvlText w:val="%5.1.1.1.2."/>
      <w:lvlJc w:val="left"/>
      <w:pPr>
        <w:ind w:left="144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317524EF"/>
    <w:multiLevelType w:val="hybridMultilevel"/>
    <w:tmpl w:val="1932E48E"/>
    <w:lvl w:ilvl="0" w:tplc="FFFFFFFF">
      <w:start w:val="1"/>
      <w:numFmt w:val="upperLetter"/>
      <w:lvlText w:val="%1."/>
      <w:lvlJc w:val="left"/>
      <w:pPr>
        <w:ind w:left="1080" w:hanging="360"/>
      </w:pPr>
      <w:rPr>
        <w:rFonts w:hint="default"/>
        <w:b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32C856A7"/>
    <w:multiLevelType w:val="multilevel"/>
    <w:tmpl w:val="240AD71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2"/>
      <w:numFmt w:val="decimal"/>
      <w:lvlText w:val="%3.1.1"/>
      <w:lvlJc w:val="left"/>
      <w:pPr>
        <w:ind w:left="1080" w:hanging="360"/>
      </w:pPr>
      <w:rPr>
        <w:rFonts w:hint="default"/>
      </w:rPr>
    </w:lvl>
    <w:lvl w:ilvl="3">
      <w:start w:val="2"/>
      <w:numFmt w:val="decimal"/>
      <w:lvlText w:val="%4.1.1.1"/>
      <w:lvlJc w:val="left"/>
      <w:pPr>
        <w:ind w:left="1440" w:hanging="360"/>
      </w:pPr>
      <w:rPr>
        <w:rFonts w:hint="default"/>
      </w:rPr>
    </w:lvl>
    <w:lvl w:ilvl="4">
      <w:start w:val="2"/>
      <w:numFmt w:val="decimal"/>
      <w:lvlText w:val="%5.1.1.1.3."/>
      <w:lvlJc w:val="left"/>
      <w:pPr>
        <w:ind w:left="522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346F4207"/>
    <w:multiLevelType w:val="multilevel"/>
    <w:tmpl w:val="EFA2C6F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2"/>
      <w:numFmt w:val="decimal"/>
      <w:lvlText w:val="%3.1.1"/>
      <w:lvlJc w:val="left"/>
      <w:pPr>
        <w:ind w:left="1080" w:hanging="360"/>
      </w:pPr>
      <w:rPr>
        <w:rFonts w:hint="default"/>
      </w:rPr>
    </w:lvl>
    <w:lvl w:ilvl="3">
      <w:start w:val="2"/>
      <w:numFmt w:val="decimal"/>
      <w:lvlText w:val="%4.1.1.1"/>
      <w:lvlJc w:val="left"/>
      <w:pPr>
        <w:ind w:left="1440" w:hanging="360"/>
      </w:pPr>
      <w:rPr>
        <w:rFonts w:hint="default"/>
      </w:rPr>
    </w:lvl>
    <w:lvl w:ilvl="4">
      <w:start w:val="2"/>
      <w:numFmt w:val="decimal"/>
      <w:lvlText w:val="%5.1.1.1.3."/>
      <w:lvlJc w:val="left"/>
      <w:pPr>
        <w:ind w:left="144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34722672"/>
    <w:multiLevelType w:val="multilevel"/>
    <w:tmpl w:val="7220C42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2"/>
      <w:numFmt w:val="decimal"/>
      <w:lvlText w:val="%3.1.1"/>
      <w:lvlJc w:val="left"/>
      <w:pPr>
        <w:ind w:left="1080" w:hanging="360"/>
      </w:pPr>
      <w:rPr>
        <w:rFonts w:hint="default"/>
      </w:rPr>
    </w:lvl>
    <w:lvl w:ilvl="3">
      <w:start w:val="2"/>
      <w:numFmt w:val="decimal"/>
      <w:lvlText w:val="%4.1.1.1"/>
      <w:lvlJc w:val="left"/>
      <w:pPr>
        <w:ind w:left="1440" w:hanging="360"/>
      </w:pPr>
      <w:rPr>
        <w:rFonts w:hint="default"/>
      </w:rPr>
    </w:lvl>
    <w:lvl w:ilvl="4">
      <w:start w:val="2"/>
      <w:numFmt w:val="decimal"/>
      <w:lvlText w:val="%5.1.1.1.1."/>
      <w:lvlJc w:val="left"/>
      <w:pPr>
        <w:ind w:left="144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35496709"/>
    <w:multiLevelType w:val="hybridMultilevel"/>
    <w:tmpl w:val="2BC0C5A2"/>
    <w:lvl w:ilvl="0" w:tplc="8C90E6CC">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55C3E3D"/>
    <w:multiLevelType w:val="multilevel"/>
    <w:tmpl w:val="25FECDF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390D64C2"/>
    <w:multiLevelType w:val="multilevel"/>
    <w:tmpl w:val="479234F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2"/>
      <w:numFmt w:val="decimal"/>
      <w:lvlText w:val="%3.1.1"/>
      <w:lvlJc w:val="left"/>
      <w:pPr>
        <w:ind w:left="1080" w:hanging="360"/>
      </w:pPr>
      <w:rPr>
        <w:rFonts w:hint="default"/>
      </w:rPr>
    </w:lvl>
    <w:lvl w:ilvl="3">
      <w:start w:val="2"/>
      <w:numFmt w:val="decimal"/>
      <w:lvlText w:val="%4.1.1.1"/>
      <w:lvlJc w:val="left"/>
      <w:pPr>
        <w:ind w:left="1440" w:hanging="360"/>
      </w:pPr>
      <w:rPr>
        <w:rFonts w:hint="default"/>
      </w:rPr>
    </w:lvl>
    <w:lvl w:ilvl="4">
      <w:start w:val="2"/>
      <w:numFmt w:val="decimal"/>
      <w:lvlText w:val="%5.1.1.1.2."/>
      <w:lvlJc w:val="left"/>
      <w:pPr>
        <w:ind w:left="144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3A11537C"/>
    <w:multiLevelType w:val="multilevel"/>
    <w:tmpl w:val="A40252CA"/>
    <w:lvl w:ilvl="0">
      <w:start w:val="2"/>
      <w:numFmt w:val="decimal"/>
      <w:lvlText w:val="%1.6"/>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3A2B4859"/>
    <w:multiLevelType w:val="hybridMultilevel"/>
    <w:tmpl w:val="B7A4C01C"/>
    <w:lvl w:ilvl="0" w:tplc="04090001">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A9354DD"/>
    <w:multiLevelType w:val="multilevel"/>
    <w:tmpl w:val="25FECDF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3B4D3CF8"/>
    <w:multiLevelType w:val="multilevel"/>
    <w:tmpl w:val="25FECDF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3D1801D2"/>
    <w:multiLevelType w:val="hybridMultilevel"/>
    <w:tmpl w:val="15F48280"/>
    <w:lvl w:ilvl="0" w:tplc="940883D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DD97E5D"/>
    <w:multiLevelType w:val="hybridMultilevel"/>
    <w:tmpl w:val="EF5AD120"/>
    <w:lvl w:ilvl="0" w:tplc="70D072B8">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F88016E"/>
    <w:multiLevelType w:val="multilevel"/>
    <w:tmpl w:val="25FECDF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15:restartNumberingAfterBreak="0">
    <w:nsid w:val="3F9C7C71"/>
    <w:multiLevelType w:val="multilevel"/>
    <w:tmpl w:val="7220C42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2"/>
      <w:numFmt w:val="decimal"/>
      <w:lvlText w:val="%3.1.1"/>
      <w:lvlJc w:val="left"/>
      <w:pPr>
        <w:ind w:left="1080" w:hanging="360"/>
      </w:pPr>
      <w:rPr>
        <w:rFonts w:hint="default"/>
      </w:rPr>
    </w:lvl>
    <w:lvl w:ilvl="3">
      <w:start w:val="2"/>
      <w:numFmt w:val="decimal"/>
      <w:lvlText w:val="%4.1.1.1"/>
      <w:lvlJc w:val="left"/>
      <w:pPr>
        <w:ind w:left="1440" w:hanging="360"/>
      </w:pPr>
      <w:rPr>
        <w:rFonts w:hint="default"/>
      </w:rPr>
    </w:lvl>
    <w:lvl w:ilvl="4">
      <w:start w:val="2"/>
      <w:numFmt w:val="decimal"/>
      <w:lvlText w:val="%5.1.1.1.1."/>
      <w:lvlJc w:val="left"/>
      <w:pPr>
        <w:ind w:left="144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46C24A7B"/>
    <w:multiLevelType w:val="multilevel"/>
    <w:tmpl w:val="2048E7C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2"/>
      <w:numFmt w:val="decimal"/>
      <w:lvlText w:val="%3.1.1."/>
      <w:lvlJc w:val="left"/>
      <w:pPr>
        <w:ind w:left="1620" w:hanging="360"/>
      </w:pPr>
      <w:rPr>
        <w:rFonts w:hint="default"/>
        <w:b w:val="0"/>
        <w:bCs/>
      </w:rPr>
    </w:lvl>
    <w:lvl w:ilvl="3">
      <w:start w:val="2"/>
      <w:numFmt w:val="decimal"/>
      <w:lvlText w:val="%4.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48522E92"/>
    <w:multiLevelType w:val="multilevel"/>
    <w:tmpl w:val="664835B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2"/>
      <w:numFmt w:val="decimal"/>
      <w:lvlText w:val="%3.1.1"/>
      <w:lvlJc w:val="left"/>
      <w:pPr>
        <w:ind w:left="1080" w:hanging="360"/>
      </w:pPr>
      <w:rPr>
        <w:rFonts w:hint="default"/>
      </w:rPr>
    </w:lvl>
    <w:lvl w:ilvl="3">
      <w:start w:val="2"/>
      <w:numFmt w:val="decimal"/>
      <w:lvlText w:val="%4.1.1.1"/>
      <w:lvlJc w:val="left"/>
      <w:pPr>
        <w:ind w:left="1440" w:hanging="360"/>
      </w:pPr>
      <w:rPr>
        <w:rFonts w:hint="default"/>
      </w:rPr>
    </w:lvl>
    <w:lvl w:ilvl="4">
      <w:start w:val="2"/>
      <w:numFmt w:val="decimal"/>
      <w:lvlText w:val="%5.1.1.1.3."/>
      <w:lvlJc w:val="left"/>
      <w:pPr>
        <w:ind w:left="144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48A23613"/>
    <w:multiLevelType w:val="hybridMultilevel"/>
    <w:tmpl w:val="E77C1BD0"/>
    <w:lvl w:ilvl="0" w:tplc="5E24017E">
      <w:start w:val="1"/>
      <w:numFmt w:val="bullet"/>
      <w:pStyle w:val="Listparagraph1"/>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91D1C7F"/>
    <w:multiLevelType w:val="multilevel"/>
    <w:tmpl w:val="479234F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2"/>
      <w:numFmt w:val="decimal"/>
      <w:lvlText w:val="%3.1.1"/>
      <w:lvlJc w:val="left"/>
      <w:pPr>
        <w:ind w:left="1080" w:hanging="360"/>
      </w:pPr>
      <w:rPr>
        <w:rFonts w:hint="default"/>
      </w:rPr>
    </w:lvl>
    <w:lvl w:ilvl="3">
      <w:start w:val="2"/>
      <w:numFmt w:val="decimal"/>
      <w:lvlText w:val="%4.1.1.1"/>
      <w:lvlJc w:val="left"/>
      <w:pPr>
        <w:ind w:left="1440" w:hanging="360"/>
      </w:pPr>
      <w:rPr>
        <w:rFonts w:hint="default"/>
      </w:rPr>
    </w:lvl>
    <w:lvl w:ilvl="4">
      <w:start w:val="2"/>
      <w:numFmt w:val="decimal"/>
      <w:lvlText w:val="%5.1.1.1.2."/>
      <w:lvlJc w:val="left"/>
      <w:pPr>
        <w:ind w:left="144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4A4B7665"/>
    <w:multiLevelType w:val="multilevel"/>
    <w:tmpl w:val="7220C42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2"/>
      <w:numFmt w:val="decimal"/>
      <w:lvlText w:val="%3.1.1"/>
      <w:lvlJc w:val="left"/>
      <w:pPr>
        <w:ind w:left="1080" w:hanging="360"/>
      </w:pPr>
      <w:rPr>
        <w:rFonts w:hint="default"/>
      </w:rPr>
    </w:lvl>
    <w:lvl w:ilvl="3">
      <w:start w:val="2"/>
      <w:numFmt w:val="decimal"/>
      <w:lvlText w:val="%4.1.1.1"/>
      <w:lvlJc w:val="left"/>
      <w:pPr>
        <w:ind w:left="1440" w:hanging="360"/>
      </w:pPr>
      <w:rPr>
        <w:rFonts w:hint="default"/>
      </w:rPr>
    </w:lvl>
    <w:lvl w:ilvl="4">
      <w:start w:val="2"/>
      <w:numFmt w:val="decimal"/>
      <w:lvlText w:val="%5.1.1.1.1."/>
      <w:lvlJc w:val="left"/>
      <w:pPr>
        <w:ind w:left="144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4C3A0A00"/>
    <w:multiLevelType w:val="multilevel"/>
    <w:tmpl w:val="7220C42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2"/>
      <w:numFmt w:val="decimal"/>
      <w:lvlText w:val="%3.1.1"/>
      <w:lvlJc w:val="left"/>
      <w:pPr>
        <w:ind w:left="1080" w:hanging="360"/>
      </w:pPr>
      <w:rPr>
        <w:rFonts w:hint="default"/>
      </w:rPr>
    </w:lvl>
    <w:lvl w:ilvl="3">
      <w:start w:val="2"/>
      <w:numFmt w:val="decimal"/>
      <w:lvlText w:val="%4.1.1.1"/>
      <w:lvlJc w:val="left"/>
      <w:pPr>
        <w:ind w:left="1440" w:hanging="360"/>
      </w:pPr>
      <w:rPr>
        <w:rFonts w:hint="default"/>
      </w:rPr>
    </w:lvl>
    <w:lvl w:ilvl="4">
      <w:start w:val="2"/>
      <w:numFmt w:val="decimal"/>
      <w:lvlText w:val="%5.1.1.1.1."/>
      <w:lvlJc w:val="left"/>
      <w:pPr>
        <w:ind w:left="144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4C88340A"/>
    <w:multiLevelType w:val="multilevel"/>
    <w:tmpl w:val="664835B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2"/>
      <w:numFmt w:val="decimal"/>
      <w:lvlText w:val="%3.1.1"/>
      <w:lvlJc w:val="left"/>
      <w:pPr>
        <w:ind w:left="1080" w:hanging="360"/>
      </w:pPr>
      <w:rPr>
        <w:rFonts w:hint="default"/>
      </w:rPr>
    </w:lvl>
    <w:lvl w:ilvl="3">
      <w:start w:val="2"/>
      <w:numFmt w:val="decimal"/>
      <w:lvlText w:val="%4.1.1.1"/>
      <w:lvlJc w:val="left"/>
      <w:pPr>
        <w:ind w:left="1440" w:hanging="360"/>
      </w:pPr>
      <w:rPr>
        <w:rFonts w:hint="default"/>
      </w:rPr>
    </w:lvl>
    <w:lvl w:ilvl="4">
      <w:start w:val="2"/>
      <w:numFmt w:val="decimal"/>
      <w:lvlText w:val="%5.1.1.1.3."/>
      <w:lvlJc w:val="left"/>
      <w:pPr>
        <w:ind w:left="144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4DF27AEA"/>
    <w:multiLevelType w:val="hybridMultilevel"/>
    <w:tmpl w:val="2EC81106"/>
    <w:lvl w:ilvl="0" w:tplc="50ECE64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0342C10"/>
    <w:multiLevelType w:val="multilevel"/>
    <w:tmpl w:val="99DABA46"/>
    <w:lvl w:ilvl="0">
      <w:start w:val="2"/>
      <w:numFmt w:val="decimal"/>
      <w:lvlText w:val="%1.3"/>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6" w15:restartNumberingAfterBreak="0">
    <w:nsid w:val="5084295D"/>
    <w:multiLevelType w:val="hybridMultilevel"/>
    <w:tmpl w:val="9F483440"/>
    <w:lvl w:ilvl="0" w:tplc="CF12850C">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21B2D0C"/>
    <w:multiLevelType w:val="multilevel"/>
    <w:tmpl w:val="1466DA84"/>
    <w:lvl w:ilvl="0">
      <w:start w:val="1"/>
      <w:numFmt w:val="decimal"/>
      <w:lvlText w:val="%1.2"/>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8" w15:restartNumberingAfterBreak="0">
    <w:nsid w:val="53193F6B"/>
    <w:multiLevelType w:val="multilevel"/>
    <w:tmpl w:val="C144F418"/>
    <w:lvl w:ilvl="0">
      <w:start w:val="1"/>
      <w:numFmt w:val="decimal"/>
      <w:lvlText w:val="%1."/>
      <w:lvlJc w:val="left"/>
      <w:pPr>
        <w:ind w:left="720" w:hanging="360"/>
      </w:pPr>
      <w:rPr>
        <w:rFonts w:hint="default"/>
      </w:rPr>
    </w:lvl>
    <w:lvl w:ilvl="1">
      <w:start w:val="1"/>
      <w:numFmt w:val="decimal"/>
      <w:pStyle w:val="Rubrik3"/>
      <w:lvlText w:val="3.%2."/>
      <w:lvlJc w:val="left"/>
      <w:pPr>
        <w:ind w:left="153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9" w15:restartNumberingAfterBreak="0">
    <w:nsid w:val="55795192"/>
    <w:multiLevelType w:val="multilevel"/>
    <w:tmpl w:val="25FECDF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0" w15:restartNumberingAfterBreak="0">
    <w:nsid w:val="5CCE1161"/>
    <w:multiLevelType w:val="multilevel"/>
    <w:tmpl w:val="4DA62E9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2"/>
      <w:numFmt w:val="decimal"/>
      <w:lvlText w:val="%3.1.1"/>
      <w:lvlJc w:val="left"/>
      <w:pPr>
        <w:ind w:left="1080" w:hanging="360"/>
      </w:pPr>
      <w:rPr>
        <w:rFonts w:hint="default"/>
      </w:rPr>
    </w:lvl>
    <w:lvl w:ilvl="3">
      <w:start w:val="2"/>
      <w:numFmt w:val="decimal"/>
      <w:lvlText w:val="%4.1.1.1"/>
      <w:lvlJc w:val="left"/>
      <w:pPr>
        <w:ind w:left="1440" w:hanging="360"/>
      </w:pPr>
      <w:rPr>
        <w:rFonts w:hint="default"/>
      </w:rPr>
    </w:lvl>
    <w:lvl w:ilvl="4">
      <w:start w:val="2"/>
      <w:numFmt w:val="decimal"/>
      <w:lvlText w:val="%5.1.1.1.3."/>
      <w:lvlJc w:val="left"/>
      <w:pPr>
        <w:ind w:left="144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15:restartNumberingAfterBreak="0">
    <w:nsid w:val="5F0A54CB"/>
    <w:multiLevelType w:val="hybridMultilevel"/>
    <w:tmpl w:val="7F1859CA"/>
    <w:lvl w:ilvl="0" w:tplc="2730E834">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0073BE2"/>
    <w:multiLevelType w:val="hybridMultilevel"/>
    <w:tmpl w:val="1A1CE27C"/>
    <w:lvl w:ilvl="0" w:tplc="FFFFFFFF">
      <w:start w:val="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610B267A"/>
    <w:multiLevelType w:val="multilevel"/>
    <w:tmpl w:val="2258137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2"/>
      <w:numFmt w:val="decimal"/>
      <w:lvlText w:val="%3.1.1"/>
      <w:lvlJc w:val="left"/>
      <w:pPr>
        <w:ind w:left="1080" w:hanging="360"/>
      </w:pPr>
      <w:rPr>
        <w:rFonts w:hint="default"/>
      </w:rPr>
    </w:lvl>
    <w:lvl w:ilvl="3">
      <w:start w:val="2"/>
      <w:numFmt w:val="decimal"/>
      <w:lvlText w:val="%4.1.1.1"/>
      <w:lvlJc w:val="left"/>
      <w:pPr>
        <w:ind w:left="1440" w:hanging="360"/>
      </w:pPr>
      <w:rPr>
        <w:rFonts w:hint="default"/>
      </w:rPr>
    </w:lvl>
    <w:lvl w:ilvl="4">
      <w:start w:val="2"/>
      <w:numFmt w:val="decimal"/>
      <w:lvlText w:val="%5.1.1.1.3."/>
      <w:lvlJc w:val="left"/>
      <w:pPr>
        <w:ind w:left="144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4" w15:restartNumberingAfterBreak="0">
    <w:nsid w:val="6210539A"/>
    <w:multiLevelType w:val="multilevel"/>
    <w:tmpl w:val="25FECDF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5" w15:restartNumberingAfterBreak="0">
    <w:nsid w:val="62E772CE"/>
    <w:multiLevelType w:val="multilevel"/>
    <w:tmpl w:val="7220C42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2"/>
      <w:numFmt w:val="decimal"/>
      <w:lvlText w:val="%3.1.1"/>
      <w:lvlJc w:val="left"/>
      <w:pPr>
        <w:ind w:left="1080" w:hanging="360"/>
      </w:pPr>
      <w:rPr>
        <w:rFonts w:hint="default"/>
      </w:rPr>
    </w:lvl>
    <w:lvl w:ilvl="3">
      <w:start w:val="2"/>
      <w:numFmt w:val="decimal"/>
      <w:lvlText w:val="%4.1.1.1"/>
      <w:lvlJc w:val="left"/>
      <w:pPr>
        <w:ind w:left="1440" w:hanging="360"/>
      </w:pPr>
      <w:rPr>
        <w:rFonts w:hint="default"/>
      </w:rPr>
    </w:lvl>
    <w:lvl w:ilvl="4">
      <w:start w:val="2"/>
      <w:numFmt w:val="decimal"/>
      <w:lvlText w:val="%5.1.1.1.1."/>
      <w:lvlJc w:val="left"/>
      <w:pPr>
        <w:ind w:left="144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6" w15:restartNumberingAfterBreak="0">
    <w:nsid w:val="643F0D2F"/>
    <w:multiLevelType w:val="multilevel"/>
    <w:tmpl w:val="993E5F7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2"/>
      <w:numFmt w:val="decimal"/>
      <w:lvlText w:val="%3.1.1"/>
      <w:lvlJc w:val="left"/>
      <w:pPr>
        <w:ind w:left="1080" w:hanging="360"/>
      </w:pPr>
      <w:rPr>
        <w:rFonts w:hint="default"/>
      </w:rPr>
    </w:lvl>
    <w:lvl w:ilvl="3">
      <w:start w:val="2"/>
      <w:numFmt w:val="decimal"/>
      <w:lvlText w:val="%4.1.1.1"/>
      <w:lvlJc w:val="left"/>
      <w:pPr>
        <w:ind w:left="1440" w:hanging="360"/>
      </w:pPr>
      <w:rPr>
        <w:rFonts w:hint="default"/>
      </w:rPr>
    </w:lvl>
    <w:lvl w:ilvl="4">
      <w:start w:val="2"/>
      <w:numFmt w:val="decimal"/>
      <w:lvlText w:val="%5.1.1.1.2."/>
      <w:lvlJc w:val="left"/>
      <w:pPr>
        <w:ind w:left="144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7" w15:restartNumberingAfterBreak="0">
    <w:nsid w:val="65066D58"/>
    <w:multiLevelType w:val="hybridMultilevel"/>
    <w:tmpl w:val="2C74C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78D5435"/>
    <w:multiLevelType w:val="multilevel"/>
    <w:tmpl w:val="25FECDF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9" w15:restartNumberingAfterBreak="0">
    <w:nsid w:val="679E6021"/>
    <w:multiLevelType w:val="hybridMultilevel"/>
    <w:tmpl w:val="132A9C4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6AAE51D6"/>
    <w:multiLevelType w:val="multilevel"/>
    <w:tmpl w:val="C590A9B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2"/>
      <w:numFmt w:val="decimal"/>
      <w:lvlText w:val="%3.1.1."/>
      <w:lvlJc w:val="left"/>
      <w:pPr>
        <w:ind w:left="1620" w:hanging="360"/>
      </w:pPr>
      <w:rPr>
        <w:rFonts w:hint="default"/>
        <w:b w:val="0"/>
        <w:bCs/>
      </w:rPr>
    </w:lvl>
    <w:lvl w:ilvl="3">
      <w:start w:val="2"/>
      <w:numFmt w:val="decimal"/>
      <w:lvlText w:val="%4.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1" w15:restartNumberingAfterBreak="0">
    <w:nsid w:val="6EA875BD"/>
    <w:multiLevelType w:val="multilevel"/>
    <w:tmpl w:val="14FC754C"/>
    <w:lvl w:ilvl="0">
      <w:start w:val="1"/>
      <w:numFmt w:val="decimal"/>
      <w:pStyle w:val="Rubrik2"/>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15:restartNumberingAfterBreak="0">
    <w:nsid w:val="6ED22EB6"/>
    <w:multiLevelType w:val="hybridMultilevel"/>
    <w:tmpl w:val="132A9C4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6ED23702"/>
    <w:multiLevelType w:val="hybridMultilevel"/>
    <w:tmpl w:val="28C44534"/>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74" w15:restartNumberingAfterBreak="0">
    <w:nsid w:val="70954570"/>
    <w:multiLevelType w:val="hybridMultilevel"/>
    <w:tmpl w:val="40C2C23A"/>
    <w:lvl w:ilvl="0" w:tplc="374254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1743E72"/>
    <w:multiLevelType w:val="multilevel"/>
    <w:tmpl w:val="7220C42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2"/>
      <w:numFmt w:val="decimal"/>
      <w:lvlText w:val="%3.1.1"/>
      <w:lvlJc w:val="left"/>
      <w:pPr>
        <w:ind w:left="1080" w:hanging="360"/>
      </w:pPr>
      <w:rPr>
        <w:rFonts w:hint="default"/>
      </w:rPr>
    </w:lvl>
    <w:lvl w:ilvl="3">
      <w:start w:val="2"/>
      <w:numFmt w:val="decimal"/>
      <w:lvlText w:val="%4.1.1.1"/>
      <w:lvlJc w:val="left"/>
      <w:pPr>
        <w:ind w:left="1440" w:hanging="360"/>
      </w:pPr>
      <w:rPr>
        <w:rFonts w:hint="default"/>
      </w:rPr>
    </w:lvl>
    <w:lvl w:ilvl="4">
      <w:start w:val="2"/>
      <w:numFmt w:val="decimal"/>
      <w:lvlText w:val="%5.1.1.1.1."/>
      <w:lvlJc w:val="left"/>
      <w:pPr>
        <w:ind w:left="144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6" w15:restartNumberingAfterBreak="0">
    <w:nsid w:val="71772B9A"/>
    <w:multiLevelType w:val="multilevel"/>
    <w:tmpl w:val="B8145482"/>
    <w:lvl w:ilvl="0">
      <w:start w:val="1"/>
      <w:numFmt w:val="decimal"/>
      <w:lvlText w:val="%1.2"/>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7" w15:restartNumberingAfterBreak="0">
    <w:nsid w:val="73112204"/>
    <w:multiLevelType w:val="hybridMultilevel"/>
    <w:tmpl w:val="3C5A91A4"/>
    <w:lvl w:ilvl="0" w:tplc="DDCECC94">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4455CAD"/>
    <w:multiLevelType w:val="multilevel"/>
    <w:tmpl w:val="25FECDF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9" w15:restartNumberingAfterBreak="0">
    <w:nsid w:val="7484321B"/>
    <w:multiLevelType w:val="hybridMultilevel"/>
    <w:tmpl w:val="1EAAD866"/>
    <w:lvl w:ilvl="0" w:tplc="5F4C409E">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7D73936"/>
    <w:multiLevelType w:val="hybridMultilevel"/>
    <w:tmpl w:val="179C3A02"/>
    <w:lvl w:ilvl="0" w:tplc="36408B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829168D"/>
    <w:multiLevelType w:val="multilevel"/>
    <w:tmpl w:val="77EC032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2"/>
      <w:numFmt w:val="decimal"/>
      <w:lvlText w:val="%3.1.1"/>
      <w:lvlJc w:val="left"/>
      <w:pPr>
        <w:ind w:left="1080" w:hanging="360"/>
      </w:pPr>
      <w:rPr>
        <w:rFonts w:hint="default"/>
      </w:rPr>
    </w:lvl>
    <w:lvl w:ilvl="3">
      <w:start w:val="2"/>
      <w:numFmt w:val="decimal"/>
      <w:lvlText w:val="%4.1.1.1"/>
      <w:lvlJc w:val="left"/>
      <w:pPr>
        <w:ind w:left="1440" w:hanging="360"/>
      </w:pPr>
      <w:rPr>
        <w:rFonts w:hint="default"/>
      </w:rPr>
    </w:lvl>
    <w:lvl w:ilvl="4">
      <w:start w:val="2"/>
      <w:numFmt w:val="decimal"/>
      <w:pStyle w:val="Rubrik6"/>
      <w:lvlText w:val="%5.1.1.1.3."/>
      <w:lvlJc w:val="left"/>
      <w:pPr>
        <w:ind w:left="522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2" w15:restartNumberingAfterBreak="0">
    <w:nsid w:val="7A4B7002"/>
    <w:multiLevelType w:val="multilevel"/>
    <w:tmpl w:val="25FECDF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3" w15:restartNumberingAfterBreak="0">
    <w:nsid w:val="7BD159EE"/>
    <w:multiLevelType w:val="hybridMultilevel"/>
    <w:tmpl w:val="8496E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5837167">
    <w:abstractNumId w:val="71"/>
  </w:num>
  <w:num w:numId="2" w16cid:durableId="205412598">
    <w:abstractNumId w:val="10"/>
  </w:num>
  <w:num w:numId="3" w16cid:durableId="3320724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82996025">
    <w:abstractNumId w:val="33"/>
    <w:lvlOverride w:ilvl="0">
      <w:startOverride w:val="1"/>
    </w:lvlOverride>
    <w:lvlOverride w:ilvl="1">
      <w:startOverride w:val="1"/>
    </w:lvlOverride>
    <w:lvlOverride w:ilvl="2">
      <w:startOverride w:val="2"/>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5" w16cid:durableId="1201821024">
    <w:abstractNumId w:val="18"/>
    <w:lvlOverride w:ilvl="0">
      <w:startOverride w:val="1"/>
    </w:lvlOverride>
    <w:lvlOverride w:ilvl="1">
      <w:startOverride w:val="1"/>
    </w:lvlOverride>
    <w:lvlOverride w:ilvl="2">
      <w:startOverride w:val="2"/>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6" w16cid:durableId="1146242957">
    <w:abstractNumId w:val="18"/>
    <w:lvlOverride w:ilvl="0">
      <w:lvl w:ilvl="0">
        <w:start w:val="1"/>
        <w:numFmt w:val="decimal"/>
        <w:lvlText w:val="%1)"/>
        <w:lvlJc w:val="left"/>
        <w:pPr>
          <w:ind w:left="360" w:hanging="360"/>
        </w:pPr>
        <w:rPr>
          <w:rFonts w:hint="default"/>
        </w:rPr>
      </w:lvl>
    </w:lvlOverride>
    <w:lvlOverride w:ilvl="1">
      <w:lvl w:ilvl="1">
        <w:start w:val="1"/>
        <w:numFmt w:val="lowerLetter"/>
        <w:lvlText w:val="%2)"/>
        <w:lvlJc w:val="left"/>
        <w:pPr>
          <w:ind w:left="720" w:hanging="360"/>
        </w:pPr>
        <w:rPr>
          <w:rFonts w:hint="default"/>
        </w:rPr>
      </w:lvl>
    </w:lvlOverride>
    <w:lvlOverride w:ilvl="2">
      <w:lvl w:ilvl="2">
        <w:start w:val="2"/>
        <w:numFmt w:val="decimal"/>
        <w:lvlText w:val="%3.1.1"/>
        <w:lvlJc w:val="left"/>
        <w:pPr>
          <w:ind w:left="1080" w:hanging="360"/>
        </w:pPr>
        <w:rPr>
          <w:rFonts w:hint="default"/>
        </w:rPr>
      </w:lvl>
    </w:lvlOverride>
    <w:lvlOverride w:ilvl="3">
      <w:lvl w:ilvl="3">
        <w:start w:val="2"/>
        <w:numFmt w:val="decimal"/>
        <w:lvlText w:val="%4.1.1.1"/>
        <w:lvlJc w:val="left"/>
        <w:pPr>
          <w:ind w:left="1440" w:hanging="360"/>
        </w:pPr>
        <w:rPr>
          <w:rFonts w:hint="default"/>
        </w:rPr>
      </w:lvl>
    </w:lvlOverride>
    <w:lvlOverride w:ilvl="4">
      <w:lvl w:ilvl="4">
        <w:start w:val="2"/>
        <w:numFmt w:val="decimal"/>
        <w:lvlText w:val="%5.1.1.1.1."/>
        <w:lvlJc w:val="left"/>
        <w:pPr>
          <w:ind w:left="522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 w16cid:durableId="595747085">
    <w:abstractNumId w:val="18"/>
    <w:lvlOverride w:ilvl="0">
      <w:startOverride w:val="1"/>
      <w:lvl w:ilvl="0">
        <w:start w:val="1"/>
        <w:numFmt w:val="decimal"/>
        <w:lvlText w:val="%1)"/>
        <w:lvlJc w:val="left"/>
        <w:pPr>
          <w:ind w:left="360" w:hanging="360"/>
        </w:pPr>
        <w:rPr>
          <w:rFonts w:hint="default"/>
        </w:rPr>
      </w:lvl>
    </w:lvlOverride>
    <w:lvlOverride w:ilvl="1">
      <w:startOverride w:val="1"/>
      <w:lvl w:ilvl="1">
        <w:start w:val="1"/>
        <w:numFmt w:val="lowerLetter"/>
        <w:lvlText w:val="%2)"/>
        <w:lvlJc w:val="left"/>
        <w:pPr>
          <w:ind w:left="720" w:hanging="360"/>
        </w:pPr>
        <w:rPr>
          <w:rFonts w:hint="default"/>
        </w:rPr>
      </w:lvl>
    </w:lvlOverride>
    <w:lvlOverride w:ilvl="2">
      <w:startOverride w:val="2"/>
      <w:lvl w:ilvl="2">
        <w:start w:val="2"/>
        <w:numFmt w:val="decimal"/>
        <w:lvlText w:val="%3.1.1"/>
        <w:lvlJc w:val="left"/>
        <w:pPr>
          <w:ind w:left="1080" w:hanging="360"/>
        </w:pPr>
        <w:rPr>
          <w:rFonts w:hint="default"/>
        </w:rPr>
      </w:lvl>
    </w:lvlOverride>
    <w:lvlOverride w:ilvl="3">
      <w:startOverride w:val="2"/>
      <w:lvl w:ilvl="3">
        <w:start w:val="2"/>
        <w:numFmt w:val="decimal"/>
        <w:lvlText w:val="%4.1.1.1"/>
        <w:lvlJc w:val="left"/>
        <w:pPr>
          <w:ind w:left="1440" w:hanging="360"/>
        </w:pPr>
        <w:rPr>
          <w:rFonts w:hint="default"/>
        </w:rPr>
      </w:lvl>
    </w:lvlOverride>
    <w:lvlOverride w:ilvl="4">
      <w:startOverride w:val="2"/>
      <w:lvl w:ilvl="4">
        <w:start w:val="2"/>
        <w:numFmt w:val="decimal"/>
        <w:lvlText w:val="%5.1.1.1.1."/>
        <w:lvlJc w:val="left"/>
        <w:pPr>
          <w:ind w:left="522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8" w16cid:durableId="304355462">
    <w:abstractNumId w:val="18"/>
    <w:lvlOverride w:ilvl="0">
      <w:startOverride w:val="1"/>
      <w:lvl w:ilvl="0">
        <w:start w:val="1"/>
        <w:numFmt w:val="decimal"/>
        <w:lvlText w:val="%1)"/>
        <w:lvlJc w:val="left"/>
        <w:pPr>
          <w:ind w:left="360" w:hanging="360"/>
        </w:pPr>
        <w:rPr>
          <w:rFonts w:hint="default"/>
        </w:rPr>
      </w:lvl>
    </w:lvlOverride>
    <w:lvlOverride w:ilvl="1">
      <w:startOverride w:val="1"/>
      <w:lvl w:ilvl="1">
        <w:start w:val="1"/>
        <w:numFmt w:val="lowerLetter"/>
        <w:lvlText w:val="%2)"/>
        <w:lvlJc w:val="left"/>
        <w:pPr>
          <w:ind w:left="720" w:hanging="360"/>
        </w:pPr>
        <w:rPr>
          <w:rFonts w:hint="default"/>
        </w:rPr>
      </w:lvl>
    </w:lvlOverride>
    <w:lvlOverride w:ilvl="2">
      <w:startOverride w:val="2"/>
      <w:lvl w:ilvl="2">
        <w:start w:val="2"/>
        <w:numFmt w:val="decimal"/>
        <w:lvlText w:val="%3.1.1"/>
        <w:lvlJc w:val="left"/>
        <w:pPr>
          <w:ind w:left="1080" w:hanging="360"/>
        </w:pPr>
        <w:rPr>
          <w:rFonts w:hint="default"/>
        </w:rPr>
      </w:lvl>
    </w:lvlOverride>
    <w:lvlOverride w:ilvl="3">
      <w:startOverride w:val="2"/>
      <w:lvl w:ilvl="3">
        <w:start w:val="2"/>
        <w:numFmt w:val="decimal"/>
        <w:lvlText w:val="%4.1.1.1"/>
        <w:lvlJc w:val="left"/>
        <w:pPr>
          <w:ind w:left="1440" w:hanging="360"/>
        </w:pPr>
        <w:rPr>
          <w:rFonts w:hint="default"/>
        </w:rPr>
      </w:lvl>
    </w:lvlOverride>
    <w:lvlOverride w:ilvl="4">
      <w:startOverride w:val="2"/>
      <w:lvl w:ilvl="4">
        <w:start w:val="2"/>
        <w:numFmt w:val="decimal"/>
        <w:lvlText w:val="%5.1.1.1.2."/>
        <w:lvlJc w:val="left"/>
        <w:pPr>
          <w:ind w:left="522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9" w16cid:durableId="1531332552">
    <w:abstractNumId w:val="81"/>
  </w:num>
  <w:num w:numId="10" w16cid:durableId="1218280314">
    <w:abstractNumId w:val="49"/>
  </w:num>
  <w:num w:numId="11" w16cid:durableId="115872741">
    <w:abstractNumId w:val="83"/>
  </w:num>
  <w:num w:numId="12" w16cid:durableId="1078601628">
    <w:abstractNumId w:val="35"/>
  </w:num>
  <w:num w:numId="13" w16cid:durableId="61487960">
    <w:abstractNumId w:val="66"/>
  </w:num>
  <w:num w:numId="14" w16cid:durableId="1737437050">
    <w:abstractNumId w:val="12"/>
  </w:num>
  <w:num w:numId="15" w16cid:durableId="1601915727">
    <w:abstractNumId w:val="52"/>
  </w:num>
  <w:num w:numId="16" w16cid:durableId="173539378">
    <w:abstractNumId w:val="23"/>
  </w:num>
  <w:num w:numId="17" w16cid:durableId="1790781917">
    <w:abstractNumId w:val="34"/>
  </w:num>
  <w:num w:numId="18" w16cid:durableId="26876402">
    <w:abstractNumId w:val="10"/>
    <w:lvlOverride w:ilvl="0">
      <w:startOverride w:val="1"/>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13517473">
    <w:abstractNumId w:val="46"/>
  </w:num>
  <w:num w:numId="20" w16cid:durableId="1112433257">
    <w:abstractNumId w:val="28"/>
  </w:num>
  <w:num w:numId="21" w16cid:durableId="517504460">
    <w:abstractNumId w:val="63"/>
  </w:num>
  <w:num w:numId="22" w16cid:durableId="1816951548">
    <w:abstractNumId w:val="75"/>
  </w:num>
  <w:num w:numId="23" w16cid:durableId="764963565">
    <w:abstractNumId w:val="67"/>
  </w:num>
  <w:num w:numId="24" w16cid:durableId="1291089097">
    <w:abstractNumId w:val="6"/>
  </w:num>
  <w:num w:numId="25" w16cid:durableId="1143041952">
    <w:abstractNumId w:val="13"/>
  </w:num>
  <w:num w:numId="26" w16cid:durableId="84426229">
    <w:abstractNumId w:val="30"/>
  </w:num>
  <w:num w:numId="27" w16cid:durableId="1305159186">
    <w:abstractNumId w:val="44"/>
  </w:num>
  <w:num w:numId="28" w16cid:durableId="210845210">
    <w:abstractNumId w:val="19"/>
  </w:num>
  <w:num w:numId="29" w16cid:durableId="1894777234">
    <w:abstractNumId w:val="60"/>
  </w:num>
  <w:num w:numId="30" w16cid:durableId="1558784757">
    <w:abstractNumId w:val="51"/>
  </w:num>
  <w:num w:numId="31" w16cid:durableId="1070885456">
    <w:abstractNumId w:val="61"/>
  </w:num>
  <w:num w:numId="32" w16cid:durableId="1244028794">
    <w:abstractNumId w:val="2"/>
  </w:num>
  <w:num w:numId="33" w16cid:durableId="1961376545">
    <w:abstractNumId w:val="21"/>
  </w:num>
  <w:num w:numId="34" w16cid:durableId="459617085">
    <w:abstractNumId w:val="65"/>
  </w:num>
  <w:num w:numId="35" w16cid:durableId="510071480">
    <w:abstractNumId w:val="50"/>
  </w:num>
  <w:num w:numId="36" w16cid:durableId="164396061">
    <w:abstractNumId w:val="48"/>
  </w:num>
  <w:num w:numId="37" w16cid:durableId="36971295">
    <w:abstractNumId w:val="3"/>
  </w:num>
  <w:num w:numId="38" w16cid:durableId="1655989808">
    <w:abstractNumId w:val="10"/>
    <w:lvlOverride w:ilvl="0">
      <w:startOverride w:val="1"/>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85677136">
    <w:abstractNumId w:val="1"/>
  </w:num>
  <w:num w:numId="40" w16cid:durableId="850610096">
    <w:abstractNumId w:val="38"/>
  </w:num>
  <w:num w:numId="41" w16cid:durableId="334454161">
    <w:abstractNumId w:val="53"/>
  </w:num>
  <w:num w:numId="42" w16cid:durableId="2063477191">
    <w:abstractNumId w:val="79"/>
  </w:num>
  <w:num w:numId="43" w16cid:durableId="1746560962">
    <w:abstractNumId w:val="5"/>
  </w:num>
  <w:num w:numId="44" w16cid:durableId="1555198087">
    <w:abstractNumId w:val="31"/>
  </w:num>
  <w:num w:numId="45" w16cid:durableId="1517379074">
    <w:abstractNumId w:val="4"/>
  </w:num>
  <w:num w:numId="46" w16cid:durableId="499349943">
    <w:abstractNumId w:val="36"/>
  </w:num>
  <w:num w:numId="47" w16cid:durableId="2033995298">
    <w:abstractNumId w:val="10"/>
    <w:lvlOverride w:ilvl="0">
      <w:startOverride w:val="1"/>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356348174">
    <w:abstractNumId w:val="73"/>
  </w:num>
  <w:num w:numId="49" w16cid:durableId="176430680">
    <w:abstractNumId w:val="10"/>
    <w:lvlOverride w:ilvl="0">
      <w:startOverride w:val="1"/>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083725868">
    <w:abstractNumId w:val="56"/>
  </w:num>
  <w:num w:numId="51" w16cid:durableId="1294798547">
    <w:abstractNumId w:val="77"/>
  </w:num>
  <w:num w:numId="52" w16cid:durableId="643629222">
    <w:abstractNumId w:val="10"/>
    <w:lvlOverride w:ilvl="0">
      <w:startOverride w:val="1"/>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715888922">
    <w:abstractNumId w:val="10"/>
    <w:lvlOverride w:ilvl="0">
      <w:startOverride w:val="1"/>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627977899">
    <w:abstractNumId w:val="10"/>
    <w:lvlOverride w:ilvl="0">
      <w:startOverride w:val="1"/>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2031028164">
    <w:abstractNumId w:val="10"/>
    <w:lvlOverride w:ilvl="0">
      <w:startOverride w:val="1"/>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930235335">
    <w:abstractNumId w:val="10"/>
    <w:lvlOverride w:ilvl="0">
      <w:startOverride w:val="1"/>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813667644">
    <w:abstractNumId w:val="58"/>
  </w:num>
  <w:num w:numId="58" w16cid:durableId="303778434">
    <w:abstractNumId w:val="15"/>
  </w:num>
  <w:num w:numId="59" w16cid:durableId="765268101">
    <w:abstractNumId w:val="32"/>
  </w:num>
  <w:num w:numId="60" w16cid:durableId="174714345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392509597">
    <w:abstractNumId w:val="22"/>
  </w:num>
  <w:num w:numId="62" w16cid:durableId="942691737">
    <w:abstractNumId w:val="72"/>
  </w:num>
  <w:num w:numId="63" w16cid:durableId="20254214">
    <w:abstractNumId w:val="29"/>
  </w:num>
  <w:num w:numId="64" w16cid:durableId="184446256">
    <w:abstractNumId w:val="69"/>
  </w:num>
  <w:num w:numId="65" w16cid:durableId="306710818">
    <w:abstractNumId w:val="17"/>
  </w:num>
  <w:num w:numId="66" w16cid:durableId="1624455956">
    <w:abstractNumId w:val="27"/>
  </w:num>
  <w:num w:numId="67" w16cid:durableId="206918417">
    <w:abstractNumId w:val="62"/>
  </w:num>
  <w:num w:numId="68" w16cid:durableId="154104934">
    <w:abstractNumId w:val="43"/>
  </w:num>
  <w:num w:numId="69" w16cid:durableId="1561598398">
    <w:abstractNumId w:val="54"/>
  </w:num>
  <w:num w:numId="70" w16cid:durableId="1030837009">
    <w:abstractNumId w:val="74"/>
  </w:num>
  <w:num w:numId="71" w16cid:durableId="639655304">
    <w:abstractNumId w:val="76"/>
    <w:lvlOverride w:ilvl="0">
      <w:lvl w:ilvl="0">
        <w:start w:val="1"/>
        <w:numFmt w:val="decimal"/>
        <w:lvlText w:val="%1.1"/>
        <w:lvlJc w:val="left"/>
        <w:pPr>
          <w:ind w:left="720" w:hanging="360"/>
        </w:pPr>
        <w:rPr>
          <w:rFonts w:hint="default"/>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72" w16cid:durableId="1482581817">
    <w:abstractNumId w:val="57"/>
  </w:num>
  <w:num w:numId="73" w16cid:durableId="1532298728">
    <w:abstractNumId w:val="55"/>
  </w:num>
  <w:num w:numId="74" w16cid:durableId="467288837">
    <w:abstractNumId w:val="16"/>
    <w:lvlOverride w:ilvl="0">
      <w:lvl w:ilvl="0">
        <w:start w:val="2"/>
        <w:numFmt w:val="decimal"/>
        <w:lvlText w:val="%1.4"/>
        <w:lvlJc w:val="left"/>
        <w:pPr>
          <w:ind w:left="720" w:hanging="360"/>
        </w:pPr>
        <w:rPr>
          <w:rFonts w:hint="default"/>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75" w16cid:durableId="1106314097">
    <w:abstractNumId w:val="39"/>
  </w:num>
  <w:num w:numId="76" w16cid:durableId="1995062285">
    <w:abstractNumId w:val="39"/>
    <w:lvlOverride w:ilvl="0">
      <w:lvl w:ilvl="0">
        <w:start w:val="2"/>
        <w:numFmt w:val="decimal"/>
        <w:lvlText w:val="%1.1"/>
        <w:lvlJc w:val="left"/>
        <w:pPr>
          <w:ind w:left="720" w:hanging="360"/>
        </w:pPr>
        <w:rPr>
          <w:rFonts w:hint="default"/>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77" w16cid:durableId="1632903711">
    <w:abstractNumId w:val="42"/>
  </w:num>
  <w:num w:numId="78" w16cid:durableId="1030909642">
    <w:abstractNumId w:val="82"/>
  </w:num>
  <w:num w:numId="79" w16cid:durableId="722338367">
    <w:abstractNumId w:val="78"/>
  </w:num>
  <w:num w:numId="80" w16cid:durableId="2004357358">
    <w:abstractNumId w:val="64"/>
  </w:num>
  <w:num w:numId="81" w16cid:durableId="332418378">
    <w:abstractNumId w:val="45"/>
  </w:num>
  <w:num w:numId="82" w16cid:durableId="57898580">
    <w:abstractNumId w:val="14"/>
  </w:num>
  <w:num w:numId="83" w16cid:durableId="397628100">
    <w:abstractNumId w:val="59"/>
  </w:num>
  <w:num w:numId="84" w16cid:durableId="1738236445">
    <w:abstractNumId w:val="37"/>
  </w:num>
  <w:num w:numId="85" w16cid:durableId="1320307466">
    <w:abstractNumId w:val="68"/>
  </w:num>
  <w:num w:numId="86" w16cid:durableId="1474978573">
    <w:abstractNumId w:val="25"/>
  </w:num>
  <w:num w:numId="87" w16cid:durableId="1712342625">
    <w:abstractNumId w:val="41"/>
  </w:num>
  <w:num w:numId="88" w16cid:durableId="1791243858">
    <w:abstractNumId w:val="20"/>
    <w:lvlOverride w:ilvl="0">
      <w:lvl w:ilvl="0" w:tplc="F948F4C4">
        <w:start w:val="1"/>
        <w:numFmt w:val="upperLetter"/>
        <w:lvlText w:val="(%1)"/>
        <w:lvlJc w:val="left"/>
        <w:pPr>
          <w:ind w:left="720" w:hanging="360"/>
        </w:pPr>
        <w:rPr>
          <w:rFonts w:hint="default"/>
        </w:rPr>
      </w:lvl>
    </w:lvlOverride>
    <w:lvlOverride w:ilvl="1">
      <w:lvl w:ilvl="1" w:tplc="04090019">
        <w:start w:val="1"/>
        <w:numFmt w:val="lowerLetter"/>
        <w:lvlText w:val="%2.)"/>
        <w:lvlJc w:val="left"/>
        <w:pPr>
          <w:ind w:left="1440" w:hanging="360"/>
        </w:pPr>
        <w:rPr>
          <w:rFonts w:hint="default"/>
        </w:rPr>
      </w:lvl>
    </w:lvlOverride>
    <w:lvlOverride w:ilvl="2">
      <w:lvl w:ilvl="2" w:tplc="0409001B">
        <w:start w:val="1"/>
        <w:numFmt w:val="lowerRoman"/>
        <w:lvlText w:val="%3."/>
        <w:lvlJc w:val="right"/>
        <w:pPr>
          <w:ind w:left="2160" w:hanging="180"/>
        </w:pPr>
        <w:rPr>
          <w:rFonts w:hint="default"/>
        </w:rPr>
      </w:lvl>
    </w:lvlOverride>
    <w:lvlOverride w:ilvl="3">
      <w:lvl w:ilvl="3" w:tplc="0409000F">
        <w:start w:val="1"/>
        <w:numFmt w:val="decimal"/>
        <w:lvlText w:val="%4."/>
        <w:lvlJc w:val="left"/>
        <w:pPr>
          <w:ind w:left="2880" w:hanging="360"/>
        </w:pPr>
        <w:rPr>
          <w:rFonts w:hint="default"/>
        </w:rPr>
      </w:lvl>
    </w:lvlOverride>
    <w:lvlOverride w:ilvl="4">
      <w:lvl w:ilvl="4" w:tplc="04090019">
        <w:start w:val="1"/>
        <w:numFmt w:val="lowerLetter"/>
        <w:lvlText w:val="%5."/>
        <w:lvlJc w:val="left"/>
        <w:pPr>
          <w:ind w:left="3600" w:hanging="360"/>
        </w:pPr>
        <w:rPr>
          <w:rFonts w:hint="default"/>
        </w:rPr>
      </w:lvl>
    </w:lvlOverride>
    <w:lvlOverride w:ilvl="5">
      <w:lvl w:ilvl="5" w:tplc="0409001B">
        <w:start w:val="1"/>
        <w:numFmt w:val="lowerRoman"/>
        <w:lvlText w:val="%6."/>
        <w:lvlJc w:val="right"/>
        <w:pPr>
          <w:ind w:left="4320" w:hanging="180"/>
        </w:pPr>
        <w:rPr>
          <w:rFonts w:hint="default"/>
        </w:rPr>
      </w:lvl>
    </w:lvlOverride>
    <w:lvlOverride w:ilvl="6">
      <w:lvl w:ilvl="6" w:tplc="0409000F">
        <w:start w:val="1"/>
        <w:numFmt w:val="decimal"/>
        <w:lvlText w:val="%7."/>
        <w:lvlJc w:val="left"/>
        <w:pPr>
          <w:ind w:left="5040" w:hanging="360"/>
        </w:pPr>
        <w:rPr>
          <w:rFonts w:hint="default"/>
        </w:rPr>
      </w:lvl>
    </w:lvlOverride>
    <w:lvlOverride w:ilvl="7">
      <w:lvl w:ilvl="7" w:tplc="04090019">
        <w:start w:val="1"/>
        <w:numFmt w:val="lowerLetter"/>
        <w:lvlText w:val="%8."/>
        <w:lvlJc w:val="left"/>
        <w:pPr>
          <w:ind w:left="5760" w:hanging="360"/>
        </w:pPr>
        <w:rPr>
          <w:rFonts w:hint="default"/>
        </w:rPr>
      </w:lvl>
    </w:lvlOverride>
    <w:lvlOverride w:ilvl="8">
      <w:lvl w:ilvl="8" w:tplc="0409001B">
        <w:start w:val="1"/>
        <w:numFmt w:val="lowerRoman"/>
        <w:lvlText w:val="%9."/>
        <w:lvlJc w:val="right"/>
        <w:pPr>
          <w:ind w:left="6480" w:hanging="180"/>
        </w:pPr>
        <w:rPr>
          <w:rFonts w:hint="default"/>
        </w:rPr>
      </w:lvl>
    </w:lvlOverride>
  </w:num>
  <w:num w:numId="89" w16cid:durableId="1211915904">
    <w:abstractNumId w:val="7"/>
  </w:num>
  <w:num w:numId="90" w16cid:durableId="1762213566">
    <w:abstractNumId w:val="24"/>
  </w:num>
  <w:num w:numId="91" w16cid:durableId="1859848208">
    <w:abstractNumId w:val="8"/>
  </w:num>
  <w:num w:numId="92" w16cid:durableId="204297380">
    <w:abstractNumId w:val="47"/>
  </w:num>
  <w:num w:numId="93" w16cid:durableId="546769233">
    <w:abstractNumId w:val="9"/>
  </w:num>
  <w:num w:numId="94" w16cid:durableId="1695500981">
    <w:abstractNumId w:val="40"/>
  </w:num>
  <w:num w:numId="95" w16cid:durableId="1719281746">
    <w:abstractNumId w:val="0"/>
  </w:num>
  <w:num w:numId="96" w16cid:durableId="1414662021">
    <w:abstractNumId w:val="70"/>
  </w:num>
  <w:num w:numId="97" w16cid:durableId="2085715609">
    <w:abstractNumId w:val="26"/>
  </w:num>
  <w:num w:numId="98" w16cid:durableId="1200893544">
    <w:abstractNumId w:val="80"/>
  </w:num>
  <w:num w:numId="99" w16cid:durableId="120301013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2DB2"/>
    <w:rsid w:val="00004AC4"/>
    <w:rsid w:val="00022F1B"/>
    <w:rsid w:val="00032E0E"/>
    <w:rsid w:val="00043899"/>
    <w:rsid w:val="00065844"/>
    <w:rsid w:val="00076A80"/>
    <w:rsid w:val="00093C0E"/>
    <w:rsid w:val="00095769"/>
    <w:rsid w:val="000B0143"/>
    <w:rsid w:val="000C0418"/>
    <w:rsid w:val="000D6EE3"/>
    <w:rsid w:val="000E0675"/>
    <w:rsid w:val="000E2E27"/>
    <w:rsid w:val="000F2631"/>
    <w:rsid w:val="00102813"/>
    <w:rsid w:val="001036C7"/>
    <w:rsid w:val="001130F2"/>
    <w:rsid w:val="001177DA"/>
    <w:rsid w:val="0013425E"/>
    <w:rsid w:val="0017331B"/>
    <w:rsid w:val="001A427D"/>
    <w:rsid w:val="001A61EA"/>
    <w:rsid w:val="001A7C3C"/>
    <w:rsid w:val="001C0F68"/>
    <w:rsid w:val="001C1AA9"/>
    <w:rsid w:val="001C4055"/>
    <w:rsid w:val="001C6B6E"/>
    <w:rsid w:val="001C70EF"/>
    <w:rsid w:val="001D014A"/>
    <w:rsid w:val="001D72F3"/>
    <w:rsid w:val="001E7CE7"/>
    <w:rsid w:val="00200D65"/>
    <w:rsid w:val="0020257C"/>
    <w:rsid w:val="002162BF"/>
    <w:rsid w:val="002249AB"/>
    <w:rsid w:val="002320C5"/>
    <w:rsid w:val="00261501"/>
    <w:rsid w:val="00262522"/>
    <w:rsid w:val="00265097"/>
    <w:rsid w:val="00267E2F"/>
    <w:rsid w:val="00273D57"/>
    <w:rsid w:val="002836D6"/>
    <w:rsid w:val="00283B1C"/>
    <w:rsid w:val="002D215A"/>
    <w:rsid w:val="002D7964"/>
    <w:rsid w:val="002D7D80"/>
    <w:rsid w:val="002E61A3"/>
    <w:rsid w:val="002F380E"/>
    <w:rsid w:val="002F4614"/>
    <w:rsid w:val="00315434"/>
    <w:rsid w:val="003155F9"/>
    <w:rsid w:val="00320BCA"/>
    <w:rsid w:val="00330987"/>
    <w:rsid w:val="003422DB"/>
    <w:rsid w:val="00355068"/>
    <w:rsid w:val="0035552F"/>
    <w:rsid w:val="0035717C"/>
    <w:rsid w:val="0036018C"/>
    <w:rsid w:val="00364C25"/>
    <w:rsid w:val="00372A88"/>
    <w:rsid w:val="00386607"/>
    <w:rsid w:val="003878E8"/>
    <w:rsid w:val="00390E0F"/>
    <w:rsid w:val="003B18C6"/>
    <w:rsid w:val="003C1A26"/>
    <w:rsid w:val="003C32DB"/>
    <w:rsid w:val="003C4A29"/>
    <w:rsid w:val="003D08B5"/>
    <w:rsid w:val="003F1B4A"/>
    <w:rsid w:val="004012A3"/>
    <w:rsid w:val="00413059"/>
    <w:rsid w:val="0041420E"/>
    <w:rsid w:val="004163BE"/>
    <w:rsid w:val="00431BFA"/>
    <w:rsid w:val="00434575"/>
    <w:rsid w:val="004410F7"/>
    <w:rsid w:val="004506D3"/>
    <w:rsid w:val="004724B9"/>
    <w:rsid w:val="004725C1"/>
    <w:rsid w:val="00485B76"/>
    <w:rsid w:val="00490513"/>
    <w:rsid w:val="0049057D"/>
    <w:rsid w:val="0049557B"/>
    <w:rsid w:val="0049702E"/>
    <w:rsid w:val="00497963"/>
    <w:rsid w:val="004A21EA"/>
    <w:rsid w:val="004A3429"/>
    <w:rsid w:val="004A61B3"/>
    <w:rsid w:val="004C4004"/>
    <w:rsid w:val="004D0CC3"/>
    <w:rsid w:val="004D2946"/>
    <w:rsid w:val="004D454B"/>
    <w:rsid w:val="004F0B72"/>
    <w:rsid w:val="004F57A7"/>
    <w:rsid w:val="00517245"/>
    <w:rsid w:val="005316EE"/>
    <w:rsid w:val="00532F2A"/>
    <w:rsid w:val="00535746"/>
    <w:rsid w:val="0054756F"/>
    <w:rsid w:val="00547E58"/>
    <w:rsid w:val="00552F60"/>
    <w:rsid w:val="00553EEF"/>
    <w:rsid w:val="005678C4"/>
    <w:rsid w:val="0056794F"/>
    <w:rsid w:val="005719E0"/>
    <w:rsid w:val="00581A4E"/>
    <w:rsid w:val="00595FB4"/>
    <w:rsid w:val="005A0217"/>
    <w:rsid w:val="005A13CE"/>
    <w:rsid w:val="005A152E"/>
    <w:rsid w:val="005A203F"/>
    <w:rsid w:val="005C648C"/>
    <w:rsid w:val="005D0334"/>
    <w:rsid w:val="005D1504"/>
    <w:rsid w:val="005E3F5F"/>
    <w:rsid w:val="005E568C"/>
    <w:rsid w:val="005F0D42"/>
    <w:rsid w:val="005F15AE"/>
    <w:rsid w:val="0061672A"/>
    <w:rsid w:val="00623E14"/>
    <w:rsid w:val="006264A3"/>
    <w:rsid w:val="00632142"/>
    <w:rsid w:val="0063650A"/>
    <w:rsid w:val="0065165D"/>
    <w:rsid w:val="0065182D"/>
    <w:rsid w:val="006909A3"/>
    <w:rsid w:val="00692105"/>
    <w:rsid w:val="006B24DD"/>
    <w:rsid w:val="006B68C8"/>
    <w:rsid w:val="006C39D8"/>
    <w:rsid w:val="006D4EC5"/>
    <w:rsid w:val="006F1CAF"/>
    <w:rsid w:val="006F2D64"/>
    <w:rsid w:val="00701936"/>
    <w:rsid w:val="00701A75"/>
    <w:rsid w:val="0070219E"/>
    <w:rsid w:val="007036A0"/>
    <w:rsid w:val="007058D0"/>
    <w:rsid w:val="00706DF4"/>
    <w:rsid w:val="007136DD"/>
    <w:rsid w:val="00714CE5"/>
    <w:rsid w:val="00722CEA"/>
    <w:rsid w:val="00724608"/>
    <w:rsid w:val="00732C3A"/>
    <w:rsid w:val="00734705"/>
    <w:rsid w:val="0073630D"/>
    <w:rsid w:val="00740E1E"/>
    <w:rsid w:val="00754A28"/>
    <w:rsid w:val="00770E35"/>
    <w:rsid w:val="00781132"/>
    <w:rsid w:val="00785ABE"/>
    <w:rsid w:val="00786AC1"/>
    <w:rsid w:val="0079151E"/>
    <w:rsid w:val="007A195F"/>
    <w:rsid w:val="007A206E"/>
    <w:rsid w:val="007C463C"/>
    <w:rsid w:val="007C5F91"/>
    <w:rsid w:val="007C65E7"/>
    <w:rsid w:val="007C7342"/>
    <w:rsid w:val="007F44F6"/>
    <w:rsid w:val="00800D1B"/>
    <w:rsid w:val="00803C02"/>
    <w:rsid w:val="00824143"/>
    <w:rsid w:val="00844DE5"/>
    <w:rsid w:val="0084551B"/>
    <w:rsid w:val="00870235"/>
    <w:rsid w:val="0087355C"/>
    <w:rsid w:val="00891E00"/>
    <w:rsid w:val="00894556"/>
    <w:rsid w:val="00894596"/>
    <w:rsid w:val="008A15BF"/>
    <w:rsid w:val="008B1432"/>
    <w:rsid w:val="008B155F"/>
    <w:rsid w:val="008C55A7"/>
    <w:rsid w:val="008D35C9"/>
    <w:rsid w:val="008D48E0"/>
    <w:rsid w:val="008E139F"/>
    <w:rsid w:val="008E1F54"/>
    <w:rsid w:val="008F36D6"/>
    <w:rsid w:val="00903C38"/>
    <w:rsid w:val="00912EDE"/>
    <w:rsid w:val="00915FB1"/>
    <w:rsid w:val="0092015A"/>
    <w:rsid w:val="00947135"/>
    <w:rsid w:val="009509BB"/>
    <w:rsid w:val="0095435A"/>
    <w:rsid w:val="00956807"/>
    <w:rsid w:val="00960204"/>
    <w:rsid w:val="00967A2E"/>
    <w:rsid w:val="00975A92"/>
    <w:rsid w:val="00977927"/>
    <w:rsid w:val="00980D35"/>
    <w:rsid w:val="0099454A"/>
    <w:rsid w:val="009A5208"/>
    <w:rsid w:val="009B358D"/>
    <w:rsid w:val="009B5EF9"/>
    <w:rsid w:val="009C7DF4"/>
    <w:rsid w:val="009D145D"/>
    <w:rsid w:val="009D504C"/>
    <w:rsid w:val="009E4177"/>
    <w:rsid w:val="009F6D59"/>
    <w:rsid w:val="00A07E84"/>
    <w:rsid w:val="00A15ACC"/>
    <w:rsid w:val="00A26CDD"/>
    <w:rsid w:val="00A275C4"/>
    <w:rsid w:val="00A52AEE"/>
    <w:rsid w:val="00A67879"/>
    <w:rsid w:val="00A71A06"/>
    <w:rsid w:val="00A7288B"/>
    <w:rsid w:val="00A73263"/>
    <w:rsid w:val="00A75A86"/>
    <w:rsid w:val="00A777F7"/>
    <w:rsid w:val="00A77B3E"/>
    <w:rsid w:val="00A802E5"/>
    <w:rsid w:val="00A92788"/>
    <w:rsid w:val="00AA02D9"/>
    <w:rsid w:val="00AA62A6"/>
    <w:rsid w:val="00AD213E"/>
    <w:rsid w:val="00AD389E"/>
    <w:rsid w:val="00AD7037"/>
    <w:rsid w:val="00AD729E"/>
    <w:rsid w:val="00AF7E30"/>
    <w:rsid w:val="00B124F8"/>
    <w:rsid w:val="00B12F47"/>
    <w:rsid w:val="00B2549C"/>
    <w:rsid w:val="00B30B9E"/>
    <w:rsid w:val="00B37411"/>
    <w:rsid w:val="00B426EB"/>
    <w:rsid w:val="00B50C7A"/>
    <w:rsid w:val="00B51E31"/>
    <w:rsid w:val="00B55BCE"/>
    <w:rsid w:val="00B72D8B"/>
    <w:rsid w:val="00B75D96"/>
    <w:rsid w:val="00B76590"/>
    <w:rsid w:val="00BA2929"/>
    <w:rsid w:val="00BB34C4"/>
    <w:rsid w:val="00BB397A"/>
    <w:rsid w:val="00BC05CF"/>
    <w:rsid w:val="00BC60BE"/>
    <w:rsid w:val="00BC7041"/>
    <w:rsid w:val="00BD3045"/>
    <w:rsid w:val="00BD52ED"/>
    <w:rsid w:val="00BE3C3D"/>
    <w:rsid w:val="00BF1DCD"/>
    <w:rsid w:val="00BF25EE"/>
    <w:rsid w:val="00BF7F45"/>
    <w:rsid w:val="00C052D2"/>
    <w:rsid w:val="00C119E5"/>
    <w:rsid w:val="00C53729"/>
    <w:rsid w:val="00C62CB8"/>
    <w:rsid w:val="00C6361B"/>
    <w:rsid w:val="00C748E2"/>
    <w:rsid w:val="00C76977"/>
    <w:rsid w:val="00C805D3"/>
    <w:rsid w:val="00C87DAE"/>
    <w:rsid w:val="00C96638"/>
    <w:rsid w:val="00CA08DC"/>
    <w:rsid w:val="00CA2A55"/>
    <w:rsid w:val="00CB29DF"/>
    <w:rsid w:val="00CC562B"/>
    <w:rsid w:val="00CD19C5"/>
    <w:rsid w:val="00CD332E"/>
    <w:rsid w:val="00CF04DD"/>
    <w:rsid w:val="00CF74CB"/>
    <w:rsid w:val="00D14201"/>
    <w:rsid w:val="00D200A9"/>
    <w:rsid w:val="00D36B53"/>
    <w:rsid w:val="00D40548"/>
    <w:rsid w:val="00D405E5"/>
    <w:rsid w:val="00D40ECC"/>
    <w:rsid w:val="00D517AF"/>
    <w:rsid w:val="00D524DE"/>
    <w:rsid w:val="00D73177"/>
    <w:rsid w:val="00D852F9"/>
    <w:rsid w:val="00DA57B5"/>
    <w:rsid w:val="00DB1829"/>
    <w:rsid w:val="00DB590A"/>
    <w:rsid w:val="00DC534B"/>
    <w:rsid w:val="00DC643F"/>
    <w:rsid w:val="00DD3BA8"/>
    <w:rsid w:val="00DD47FF"/>
    <w:rsid w:val="00DE7DD9"/>
    <w:rsid w:val="00DF24E6"/>
    <w:rsid w:val="00DF49F1"/>
    <w:rsid w:val="00DF7A3F"/>
    <w:rsid w:val="00E04517"/>
    <w:rsid w:val="00E30F96"/>
    <w:rsid w:val="00E516B6"/>
    <w:rsid w:val="00E77749"/>
    <w:rsid w:val="00E80029"/>
    <w:rsid w:val="00E84F81"/>
    <w:rsid w:val="00E95943"/>
    <w:rsid w:val="00E97156"/>
    <w:rsid w:val="00EB0261"/>
    <w:rsid w:val="00EB4037"/>
    <w:rsid w:val="00EB5EE8"/>
    <w:rsid w:val="00ED146C"/>
    <w:rsid w:val="00EF4905"/>
    <w:rsid w:val="00F00128"/>
    <w:rsid w:val="00F06AA4"/>
    <w:rsid w:val="00F07F3A"/>
    <w:rsid w:val="00F15D04"/>
    <w:rsid w:val="00F17B07"/>
    <w:rsid w:val="00F231FB"/>
    <w:rsid w:val="00F2494C"/>
    <w:rsid w:val="00F40231"/>
    <w:rsid w:val="00F44C25"/>
    <w:rsid w:val="00F47A4C"/>
    <w:rsid w:val="00F5493F"/>
    <w:rsid w:val="00F57BD3"/>
    <w:rsid w:val="00F72F8F"/>
    <w:rsid w:val="00F7590D"/>
    <w:rsid w:val="00F82EF7"/>
    <w:rsid w:val="00F854FB"/>
    <w:rsid w:val="00FA3905"/>
    <w:rsid w:val="00FA531D"/>
    <w:rsid w:val="00FA6443"/>
    <w:rsid w:val="00FB6A67"/>
    <w:rsid w:val="00FD4482"/>
    <w:rsid w:val="00FE3189"/>
    <w:rsid w:val="00FE6450"/>
    <w:rsid w:val="00FF30A4"/>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0653C7"/>
  <w15:docId w15:val="{F64DBA5D-B5AA-43D0-A45A-E5E1AD3DB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noProof/>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55A7"/>
    <w:rPr>
      <w:sz w:val="24"/>
      <w:szCs w:val="24"/>
    </w:rPr>
  </w:style>
  <w:style w:type="paragraph" w:styleId="Rubrik1">
    <w:name w:val="heading 1"/>
    <w:basedOn w:val="Normal"/>
    <w:next w:val="Normal"/>
    <w:qFormat/>
    <w:rsid w:val="00CF74CB"/>
    <w:pPr>
      <w:spacing w:after="260"/>
      <w:jc w:val="center"/>
      <w:outlineLvl w:val="0"/>
    </w:pPr>
    <w:rPr>
      <w:color w:val="000000"/>
      <w:sz w:val="32"/>
      <w:lang w:val="sv-SE"/>
    </w:rPr>
  </w:style>
  <w:style w:type="paragraph" w:styleId="Rubrik2">
    <w:name w:val="heading 2"/>
    <w:basedOn w:val="Liststycke"/>
    <w:next w:val="Normal"/>
    <w:qFormat/>
    <w:rsid w:val="00CF74CB"/>
    <w:pPr>
      <w:numPr>
        <w:numId w:val="1"/>
      </w:numPr>
      <w:outlineLvl w:val="1"/>
    </w:pPr>
  </w:style>
  <w:style w:type="paragraph" w:styleId="Rubrik3">
    <w:name w:val="heading 3"/>
    <w:basedOn w:val="Liststycke"/>
    <w:qFormat/>
    <w:rsid w:val="00076A80"/>
    <w:pPr>
      <w:numPr>
        <w:ilvl w:val="1"/>
        <w:numId w:val="57"/>
      </w:numPr>
      <w:outlineLvl w:val="2"/>
    </w:pPr>
  </w:style>
  <w:style w:type="paragraph" w:styleId="Rubrik4">
    <w:name w:val="heading 4"/>
    <w:qFormat/>
    <w:rsid w:val="00F44C25"/>
    <w:pPr>
      <w:tabs>
        <w:tab w:val="left" w:pos="720"/>
      </w:tabs>
      <w:ind w:left="1620" w:hanging="360"/>
      <w:outlineLvl w:val="3"/>
    </w:pPr>
    <w:rPr>
      <w:sz w:val="24"/>
      <w:szCs w:val="24"/>
      <w:lang w:val="sv-SE"/>
    </w:rPr>
  </w:style>
  <w:style w:type="paragraph" w:styleId="Rubrik5">
    <w:name w:val="heading 5"/>
    <w:qFormat/>
    <w:rsid w:val="00F44C25"/>
    <w:pPr>
      <w:numPr>
        <w:ilvl w:val="2"/>
        <w:numId w:val="89"/>
      </w:numPr>
      <w:tabs>
        <w:tab w:val="left" w:pos="720"/>
      </w:tabs>
      <w:outlineLvl w:val="4"/>
    </w:pPr>
    <w:rPr>
      <w:sz w:val="24"/>
      <w:szCs w:val="24"/>
      <w:lang w:val="sv-SE"/>
    </w:rPr>
  </w:style>
  <w:style w:type="paragraph" w:styleId="Rubrik6">
    <w:name w:val="heading 6"/>
    <w:link w:val="Rubrik6Char"/>
    <w:unhideWhenUsed/>
    <w:qFormat/>
    <w:rsid w:val="00F44C25"/>
    <w:pPr>
      <w:numPr>
        <w:ilvl w:val="4"/>
        <w:numId w:val="9"/>
      </w:numPr>
      <w:tabs>
        <w:tab w:val="left" w:pos="900"/>
      </w:tabs>
      <w:outlineLvl w:val="5"/>
    </w:pPr>
    <w:rPr>
      <w:sz w:val="24"/>
      <w:szCs w:val="24"/>
      <w:lang w:val="sv-SE"/>
    </w:rPr>
  </w:style>
  <w:style w:type="paragraph" w:styleId="Rubrik7">
    <w:name w:val="heading 7"/>
    <w:link w:val="Rubrik7Char"/>
    <w:unhideWhenUsed/>
    <w:qFormat/>
    <w:rsid w:val="00532F2A"/>
    <w:pPr>
      <w:spacing w:before="480"/>
      <w:outlineLvl w:val="6"/>
    </w:pPr>
    <w:rPr>
      <w:sz w:val="24"/>
      <w:szCs w:val="24"/>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nehll1">
    <w:name w:val="toc 1"/>
    <w:basedOn w:val="Normal"/>
    <w:next w:val="Normal"/>
    <w:autoRedefine/>
    <w:uiPriority w:val="39"/>
    <w:rsid w:val="00805BCE"/>
  </w:style>
  <w:style w:type="character" w:styleId="Hyperlnk">
    <w:name w:val="Hyperlink"/>
    <w:basedOn w:val="Standardstycketeckensnitt"/>
    <w:uiPriority w:val="99"/>
    <w:rsid w:val="00EF7B96"/>
    <w:rPr>
      <w:color w:val="0000FF"/>
      <w:u w:val="single"/>
    </w:rPr>
  </w:style>
  <w:style w:type="paragraph" w:styleId="Innehll2">
    <w:name w:val="toc 2"/>
    <w:basedOn w:val="Normal"/>
    <w:next w:val="Normal"/>
    <w:autoRedefine/>
    <w:uiPriority w:val="39"/>
    <w:rsid w:val="00805BCE"/>
    <w:pPr>
      <w:ind w:left="240"/>
    </w:pPr>
  </w:style>
  <w:style w:type="paragraph" w:styleId="Innehll3">
    <w:name w:val="toc 3"/>
    <w:basedOn w:val="Normal"/>
    <w:next w:val="Normal"/>
    <w:autoRedefine/>
    <w:uiPriority w:val="39"/>
    <w:rsid w:val="00805BCE"/>
    <w:pPr>
      <w:ind w:left="480"/>
    </w:pPr>
  </w:style>
  <w:style w:type="paragraph" w:styleId="Innehll4">
    <w:name w:val="toc 4"/>
    <w:basedOn w:val="Normal"/>
    <w:next w:val="Normal"/>
    <w:autoRedefine/>
    <w:uiPriority w:val="39"/>
    <w:rsid w:val="004F0B72"/>
    <w:pPr>
      <w:tabs>
        <w:tab w:val="right" w:leader="dot" w:pos="10240"/>
      </w:tabs>
      <w:ind w:left="720"/>
    </w:pPr>
  </w:style>
  <w:style w:type="paragraph" w:styleId="Innehll5">
    <w:name w:val="toc 5"/>
    <w:basedOn w:val="Normal"/>
    <w:next w:val="Normal"/>
    <w:autoRedefine/>
    <w:uiPriority w:val="39"/>
    <w:rsid w:val="00805BCE"/>
    <w:pPr>
      <w:ind w:left="960"/>
    </w:pPr>
  </w:style>
  <w:style w:type="paragraph" w:styleId="Liststycke">
    <w:name w:val="List Paragraph"/>
    <w:basedOn w:val="Normal"/>
    <w:uiPriority w:val="34"/>
    <w:qFormat/>
    <w:rsid w:val="00CF74CB"/>
    <w:pPr>
      <w:ind w:left="720"/>
      <w:contextualSpacing/>
    </w:pPr>
  </w:style>
  <w:style w:type="paragraph" w:styleId="Fotnotstext">
    <w:name w:val="footnote text"/>
    <w:basedOn w:val="Normal"/>
    <w:link w:val="FotnotstextChar"/>
    <w:semiHidden/>
    <w:unhideWhenUsed/>
    <w:rsid w:val="004163BE"/>
    <w:rPr>
      <w:sz w:val="20"/>
      <w:szCs w:val="20"/>
    </w:rPr>
  </w:style>
  <w:style w:type="character" w:customStyle="1" w:styleId="FotnotstextChar">
    <w:name w:val="Fotnotstext Char"/>
    <w:basedOn w:val="Standardstycketeckensnitt"/>
    <w:link w:val="Fotnotstext"/>
    <w:semiHidden/>
    <w:rsid w:val="004163BE"/>
  </w:style>
  <w:style w:type="character" w:styleId="Fotnotsreferens">
    <w:name w:val="footnote reference"/>
    <w:basedOn w:val="Standardstycketeckensnitt"/>
    <w:semiHidden/>
    <w:unhideWhenUsed/>
    <w:rsid w:val="004163BE"/>
    <w:rPr>
      <w:vertAlign w:val="superscript"/>
    </w:rPr>
  </w:style>
  <w:style w:type="character" w:customStyle="1" w:styleId="Rubrik6Char">
    <w:name w:val="Rubrik 6 Char"/>
    <w:basedOn w:val="Standardstycketeckensnitt"/>
    <w:link w:val="Rubrik6"/>
    <w:rsid w:val="00F44C25"/>
    <w:rPr>
      <w:sz w:val="24"/>
      <w:szCs w:val="24"/>
      <w:lang w:val="sv-SE"/>
    </w:rPr>
  </w:style>
  <w:style w:type="character" w:customStyle="1" w:styleId="Rubrik7Char">
    <w:name w:val="Rubrik 7 Char"/>
    <w:basedOn w:val="Standardstycketeckensnitt"/>
    <w:link w:val="Rubrik7"/>
    <w:rsid w:val="00532F2A"/>
    <w:rPr>
      <w:sz w:val="24"/>
      <w:szCs w:val="24"/>
      <w:lang w:val="sv-SE"/>
    </w:rPr>
  </w:style>
  <w:style w:type="table" w:styleId="Tabellrutnt">
    <w:name w:val="Table Grid"/>
    <w:basedOn w:val="Normaltabell"/>
    <w:rsid w:val="004724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ark">
    <w:name w:val="Strong"/>
    <w:basedOn w:val="Standardstycketeckensnitt"/>
    <w:uiPriority w:val="22"/>
    <w:qFormat/>
    <w:rsid w:val="00CB29DF"/>
    <w:rPr>
      <w:b/>
      <w:bCs/>
    </w:rPr>
  </w:style>
  <w:style w:type="character" w:styleId="Olstomnmnande">
    <w:name w:val="Unresolved Mention"/>
    <w:basedOn w:val="Standardstycketeckensnitt"/>
    <w:uiPriority w:val="99"/>
    <w:semiHidden/>
    <w:unhideWhenUsed/>
    <w:rsid w:val="00870235"/>
    <w:rPr>
      <w:color w:val="605E5C"/>
      <w:shd w:val="clear" w:color="auto" w:fill="E1DFDD"/>
    </w:rPr>
  </w:style>
  <w:style w:type="character" w:styleId="AnvndHyperlnk">
    <w:name w:val="FollowedHyperlink"/>
    <w:basedOn w:val="Standardstycketeckensnitt"/>
    <w:semiHidden/>
    <w:unhideWhenUsed/>
    <w:rsid w:val="00870235"/>
    <w:rPr>
      <w:color w:val="800080" w:themeColor="followedHyperlink"/>
      <w:u w:val="single"/>
    </w:rPr>
  </w:style>
  <w:style w:type="character" w:customStyle="1" w:styleId="ui-provider">
    <w:name w:val="ui-provider"/>
    <w:basedOn w:val="Standardstycketeckensnitt"/>
    <w:rsid w:val="00C6361B"/>
  </w:style>
  <w:style w:type="paragraph" w:styleId="Sidhuvud">
    <w:name w:val="header"/>
    <w:basedOn w:val="Normal"/>
    <w:link w:val="SidhuvudChar"/>
    <w:unhideWhenUsed/>
    <w:rsid w:val="0035552F"/>
    <w:pPr>
      <w:tabs>
        <w:tab w:val="center" w:pos="4680"/>
        <w:tab w:val="right" w:pos="9360"/>
      </w:tabs>
    </w:pPr>
  </w:style>
  <w:style w:type="character" w:customStyle="1" w:styleId="SidhuvudChar">
    <w:name w:val="Sidhuvud Char"/>
    <w:basedOn w:val="Standardstycketeckensnitt"/>
    <w:link w:val="Sidhuvud"/>
    <w:rsid w:val="0035552F"/>
    <w:rPr>
      <w:sz w:val="24"/>
      <w:szCs w:val="24"/>
    </w:rPr>
  </w:style>
  <w:style w:type="paragraph" w:styleId="Sidfot">
    <w:name w:val="footer"/>
    <w:basedOn w:val="Normal"/>
    <w:link w:val="SidfotChar"/>
    <w:unhideWhenUsed/>
    <w:rsid w:val="0035552F"/>
    <w:pPr>
      <w:tabs>
        <w:tab w:val="center" w:pos="4680"/>
        <w:tab w:val="right" w:pos="9360"/>
      </w:tabs>
    </w:pPr>
  </w:style>
  <w:style w:type="character" w:customStyle="1" w:styleId="SidfotChar">
    <w:name w:val="Sidfot Char"/>
    <w:basedOn w:val="Standardstycketeckensnitt"/>
    <w:link w:val="Sidfot"/>
    <w:rsid w:val="0035552F"/>
    <w:rPr>
      <w:sz w:val="24"/>
      <w:szCs w:val="24"/>
    </w:rPr>
  </w:style>
  <w:style w:type="paragraph" w:styleId="Innehll6">
    <w:name w:val="toc 6"/>
    <w:basedOn w:val="Normal"/>
    <w:next w:val="Normal"/>
    <w:autoRedefine/>
    <w:uiPriority w:val="39"/>
    <w:unhideWhenUsed/>
    <w:rsid w:val="007A195F"/>
    <w:pPr>
      <w:spacing w:after="100"/>
      <w:ind w:left="1200"/>
    </w:pPr>
  </w:style>
  <w:style w:type="paragraph" w:styleId="Innehll7">
    <w:name w:val="toc 7"/>
    <w:basedOn w:val="Normal"/>
    <w:next w:val="Normal"/>
    <w:autoRedefine/>
    <w:uiPriority w:val="39"/>
    <w:unhideWhenUsed/>
    <w:rsid w:val="007A195F"/>
    <w:pPr>
      <w:spacing w:after="100" w:line="259" w:lineRule="auto"/>
      <w:ind w:left="1320"/>
    </w:pPr>
    <w:rPr>
      <w:rFonts w:asciiTheme="minorHAnsi" w:eastAsiaTheme="minorEastAsia" w:hAnsiTheme="minorHAnsi" w:cstheme="minorBidi"/>
      <w:noProof w:val="0"/>
      <w:sz w:val="22"/>
      <w:szCs w:val="22"/>
      <w:lang w:eastAsia="zh-CN"/>
    </w:rPr>
  </w:style>
  <w:style w:type="paragraph" w:styleId="Innehll8">
    <w:name w:val="toc 8"/>
    <w:basedOn w:val="Normal"/>
    <w:next w:val="Normal"/>
    <w:autoRedefine/>
    <w:uiPriority w:val="39"/>
    <w:unhideWhenUsed/>
    <w:rsid w:val="007A195F"/>
    <w:pPr>
      <w:spacing w:after="100" w:line="259" w:lineRule="auto"/>
      <w:ind w:left="1540"/>
    </w:pPr>
    <w:rPr>
      <w:rFonts w:asciiTheme="minorHAnsi" w:eastAsiaTheme="minorEastAsia" w:hAnsiTheme="minorHAnsi" w:cstheme="minorBidi"/>
      <w:noProof w:val="0"/>
      <w:sz w:val="22"/>
      <w:szCs w:val="22"/>
      <w:lang w:eastAsia="zh-CN"/>
    </w:rPr>
  </w:style>
  <w:style w:type="paragraph" w:styleId="Innehll9">
    <w:name w:val="toc 9"/>
    <w:basedOn w:val="Normal"/>
    <w:next w:val="Normal"/>
    <w:autoRedefine/>
    <w:uiPriority w:val="39"/>
    <w:unhideWhenUsed/>
    <w:rsid w:val="007A195F"/>
    <w:pPr>
      <w:spacing w:after="100" w:line="259" w:lineRule="auto"/>
      <w:ind w:left="1760"/>
    </w:pPr>
    <w:rPr>
      <w:rFonts w:asciiTheme="minorHAnsi" w:eastAsiaTheme="minorEastAsia" w:hAnsiTheme="minorHAnsi" w:cstheme="minorBidi"/>
      <w:noProof w:val="0"/>
      <w:sz w:val="22"/>
      <w:szCs w:val="22"/>
      <w:lang w:eastAsia="zh-CN"/>
    </w:rPr>
  </w:style>
  <w:style w:type="paragraph" w:styleId="Slutnotstext">
    <w:name w:val="endnote text"/>
    <w:basedOn w:val="Normal"/>
    <w:link w:val="SlutnotstextChar"/>
    <w:semiHidden/>
    <w:unhideWhenUsed/>
    <w:rsid w:val="00267E2F"/>
    <w:rPr>
      <w:sz w:val="20"/>
      <w:szCs w:val="20"/>
    </w:rPr>
  </w:style>
  <w:style w:type="character" w:customStyle="1" w:styleId="SlutnotstextChar">
    <w:name w:val="Slutnotstext Char"/>
    <w:basedOn w:val="Standardstycketeckensnitt"/>
    <w:link w:val="Slutnotstext"/>
    <w:semiHidden/>
    <w:rsid w:val="00267E2F"/>
  </w:style>
  <w:style w:type="character" w:styleId="Slutnotsreferens">
    <w:name w:val="endnote reference"/>
    <w:basedOn w:val="Standardstycketeckensnitt"/>
    <w:semiHidden/>
    <w:unhideWhenUsed/>
    <w:rsid w:val="00267E2F"/>
    <w:rPr>
      <w:vertAlign w:val="superscript"/>
    </w:rPr>
  </w:style>
  <w:style w:type="paragraph" w:customStyle="1" w:styleId="StyleListParagraphBlackBefore5pt">
    <w:name w:val="Style List Paragraph + Black Before:  5 pt"/>
    <w:basedOn w:val="Liststycke"/>
    <w:rsid w:val="001C1AA9"/>
    <w:pPr>
      <w:spacing w:before="100"/>
    </w:pPr>
    <w:rPr>
      <w:color w:val="000000"/>
    </w:rPr>
  </w:style>
  <w:style w:type="paragraph" w:customStyle="1" w:styleId="Listparagraph1">
    <w:name w:val="List paragraph 1"/>
    <w:basedOn w:val="Liststycke"/>
    <w:next w:val="Liststycke"/>
    <w:qFormat/>
    <w:rsid w:val="007C463C"/>
    <w:pPr>
      <w:numPr>
        <w:numId w:val="10"/>
      </w:numPr>
      <w:pBdr>
        <w:top w:val="single" w:sz="4" w:space="10" w:color="auto"/>
        <w:left w:val="single" w:sz="4" w:space="4" w:color="auto"/>
        <w:right w:val="single" w:sz="4" w:space="4" w:color="auto"/>
      </w:pBdr>
      <w:spacing w:before="60"/>
      <w:ind w:left="187" w:hanging="187"/>
      <w:contextualSpacing w:val="0"/>
    </w:pPr>
    <w:rPr>
      <w:rFonts w:asciiTheme="majorBidi" w:hAnsiTheme="majorBidi"/>
      <w:color w:val="000000"/>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eader" Target="header25.xml"/><Relationship Id="rId21" Type="http://schemas.openxmlformats.org/officeDocument/2006/relationships/footer" Target="footer5.xml"/><Relationship Id="rId42" Type="http://schemas.openxmlformats.org/officeDocument/2006/relationships/hyperlink" Target="http://www.regeringen.se/rattsliga-dokument/skrivelse/2021/03/skr.-202021102/" TargetMode="External"/><Relationship Id="rId63" Type="http://schemas.openxmlformats.org/officeDocument/2006/relationships/hyperlink" Target="https://utvecklanorrbotten.se/publikationer/" TargetMode="External"/><Relationship Id="rId84" Type="http://schemas.openxmlformats.org/officeDocument/2006/relationships/hyperlink" Target="https://www.msb.se/" TargetMode="External"/><Relationship Id="rId16" Type="http://schemas.openxmlformats.org/officeDocument/2006/relationships/footer" Target="footer3.xml"/><Relationship Id="rId107" Type="http://schemas.openxmlformats.org/officeDocument/2006/relationships/footer" Target="footer20.xml"/><Relationship Id="rId11" Type="http://schemas.openxmlformats.org/officeDocument/2006/relationships/footer" Target="footer1.xml"/><Relationship Id="rId32" Type="http://schemas.openxmlformats.org/officeDocument/2006/relationships/header" Target="header11.xml"/><Relationship Id="rId37" Type="http://schemas.openxmlformats.org/officeDocument/2006/relationships/hyperlink" Target="https://www.konkurrensverket.se/upphandling/registrerade-annonsdatabaser/lagar-och-forordningar-annonsdatabaser/" TargetMode="External"/><Relationship Id="rId53" Type="http://schemas.openxmlformats.org/officeDocument/2006/relationships/hyperlink" Target="https://regionvasterbotten.se/VLL/Filer/RIS_V%C3%A4sterbotten%202022-2030.pdf" TargetMode="External"/><Relationship Id="rId58" Type="http://schemas.openxmlformats.org/officeDocument/2006/relationships/hyperlink" Target="https://utvecklanorrbotten.se/publikationer/" TargetMode="External"/><Relationship Id="rId74" Type="http://schemas.openxmlformats.org/officeDocument/2006/relationships/hyperlink" Target="https://www.norrbotten.se/sv/Utveckling-och-tillvaxt/Regional-utveckling-och-framtid/Samhallsplanering-och-infrastruktur/nyttan-med-bredband/Digitaliseringsstrategier/" TargetMode="External"/><Relationship Id="rId79" Type="http://schemas.openxmlformats.org/officeDocument/2006/relationships/hyperlink" Target="https://ec.europa.eu/energy/sites/ener/files/documents/se_final_necp_main_se.pdf" TargetMode="External"/><Relationship Id="rId102" Type="http://schemas.openxmlformats.org/officeDocument/2006/relationships/header" Target="header18.xml"/><Relationship Id="rId123" Type="http://schemas.openxmlformats.org/officeDocument/2006/relationships/header" Target="header28.xml"/><Relationship Id="rId128" Type="http://schemas.openxmlformats.org/officeDocument/2006/relationships/footer" Target="footer31.xml"/><Relationship Id="rId5" Type="http://schemas.openxmlformats.org/officeDocument/2006/relationships/numbering" Target="numbering.xml"/><Relationship Id="rId90" Type="http://schemas.openxmlformats.org/officeDocument/2006/relationships/footer" Target="footer14.xml"/><Relationship Id="rId95" Type="http://schemas.openxmlformats.org/officeDocument/2006/relationships/hyperlink" Target="mailto:registrator@esv.se" TargetMode="External"/><Relationship Id="rId22" Type="http://schemas.openxmlformats.org/officeDocument/2006/relationships/footer" Target="footer6.xml"/><Relationship Id="rId27" Type="http://schemas.openxmlformats.org/officeDocument/2006/relationships/footer" Target="footer8.xml"/><Relationship Id="rId43" Type="http://schemas.openxmlformats.org/officeDocument/2006/relationships/hyperlink" Target="http://www.riksdagen.se/sv/dokument-lagar/dokument/svensk-forfattningssamling/forordning-2009145-med-instruktion-for_sfs-2009-145" TargetMode="External"/><Relationship Id="rId48" Type="http://schemas.openxmlformats.org/officeDocument/2006/relationships/hyperlink" Target="https://www.riksdagen.se/sv/dokument-lagar/dokument/svensk-forfattningssamling/forordning-2014134-med-instruktion-for_sfs-2014-134" TargetMode="External"/><Relationship Id="rId64" Type="http://schemas.openxmlformats.org/officeDocument/2006/relationships/hyperlink" Target="https://regionvasterbotten.se/VLL/Filer/RIS_V%C3%A4sterbotten%202022-2030.pdf" TargetMode="External"/><Relationship Id="rId69" Type="http://schemas.openxmlformats.org/officeDocument/2006/relationships/hyperlink" Target="https://aer.eu/governance-structure/the-thematic-committees/com1-economy-regional-development/" TargetMode="External"/><Relationship Id="rId113" Type="http://schemas.openxmlformats.org/officeDocument/2006/relationships/footer" Target="footer23.xml"/><Relationship Id="rId118" Type="http://schemas.openxmlformats.org/officeDocument/2006/relationships/header" Target="header26.xml"/><Relationship Id="rId134" Type="http://schemas.openxmlformats.org/officeDocument/2006/relationships/footer" Target="footer34.xml"/><Relationship Id="rId80" Type="http://schemas.openxmlformats.org/officeDocument/2006/relationships/hyperlink" Target="https://ec.europa.eu/eurostat/documents/38154/4956088/SUMMARY+partial+provisional+results+SHARES+2018/25ce9f29-7053-17c5-12a6-8efe878b6031" TargetMode="External"/><Relationship Id="rId85" Type="http://schemas.openxmlformats.org/officeDocument/2006/relationships/hyperlink" Target="https://www.msb.se/" TargetMode="External"/><Relationship Id="rId12" Type="http://schemas.openxmlformats.org/officeDocument/2006/relationships/hyperlink" Target="https://www.norrbotten.se/publika/lg/regio/2017/Digitaliseringens_mojligheter/digitaliseringen_och_naringslivet_webb.pdf" TargetMode="External"/><Relationship Id="rId17" Type="http://schemas.openxmlformats.org/officeDocument/2006/relationships/header" Target="header3.xml"/><Relationship Id="rId33" Type="http://schemas.openxmlformats.org/officeDocument/2006/relationships/footer" Target="footer11.xml"/><Relationship Id="rId38" Type="http://schemas.openxmlformats.org/officeDocument/2006/relationships/hyperlink" Target="https://www.upphandlingsmyndigheten.se/kunskapsbank-for-offentliga-affarer/publikationer/" TargetMode="External"/><Relationship Id="rId59" Type="http://schemas.openxmlformats.org/officeDocument/2006/relationships/hyperlink" Target="https://regionvasterbotten.se/VLL/Filer/RIS_V%C3%A4sterbotten%202022-2030.pdf" TargetMode="External"/><Relationship Id="rId103" Type="http://schemas.openxmlformats.org/officeDocument/2006/relationships/footer" Target="footer19.xml"/><Relationship Id="rId108" Type="http://schemas.openxmlformats.org/officeDocument/2006/relationships/footer" Target="footer21.xml"/><Relationship Id="rId124" Type="http://schemas.openxmlformats.org/officeDocument/2006/relationships/header" Target="header29.xml"/><Relationship Id="rId129" Type="http://schemas.openxmlformats.org/officeDocument/2006/relationships/header" Target="header31.xml"/><Relationship Id="rId54" Type="http://schemas.openxmlformats.org/officeDocument/2006/relationships/hyperlink" Target="https://utvecklanorrbotten.se/publikationer/" TargetMode="External"/><Relationship Id="rId70" Type="http://schemas.openxmlformats.org/officeDocument/2006/relationships/hyperlink" Target="http://www.nspa-network.eu/" TargetMode="External"/><Relationship Id="rId75" Type="http://schemas.openxmlformats.org/officeDocument/2006/relationships/hyperlink" Target="https://www.regeringen.se/regeringens-politik/digitaliseringsstrategin/" TargetMode="External"/><Relationship Id="rId91" Type="http://schemas.openxmlformats.org/officeDocument/2006/relationships/footer" Target="footer15.xml"/><Relationship Id="rId96" Type="http://schemas.openxmlformats.org/officeDocument/2006/relationships/hyperlink" Target="mailto:riksgalden@riksgalden.se"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eader" Target="header6.xml"/><Relationship Id="rId28" Type="http://schemas.openxmlformats.org/officeDocument/2006/relationships/footer" Target="footer9.xml"/><Relationship Id="rId49" Type="http://schemas.openxmlformats.org/officeDocument/2006/relationships/hyperlink" Target="https://utvecklanorrbotten.se/publikationer/" TargetMode="External"/><Relationship Id="rId114" Type="http://schemas.openxmlformats.org/officeDocument/2006/relationships/footer" Target="footer24.xml"/><Relationship Id="rId119" Type="http://schemas.openxmlformats.org/officeDocument/2006/relationships/footer" Target="footer26.xml"/><Relationship Id="rId44" Type="http://schemas.openxmlformats.org/officeDocument/2006/relationships/hyperlink" Target="https://www.riksdagen.se/sv/dokument-lagar/dokument/svensk-forfattningssamling/forordning-2015527-med-instruktion-for_sfs-2015-527" TargetMode="External"/><Relationship Id="rId60" Type="http://schemas.openxmlformats.org/officeDocument/2006/relationships/hyperlink" Target="https://www.oecd.org/publications/the-circular-economy-in-umea-sweden-4ec5dbcd-en.htm" TargetMode="External"/><Relationship Id="rId65" Type="http://schemas.openxmlformats.org/officeDocument/2006/relationships/hyperlink" Target="https://read.oecd-ilibrary.org/urban-rural-and-regional-development/mining-regions-and-cities-case-of-vasterbotten-and-norrbotten-sweden_802087e2-en" TargetMode="External"/><Relationship Id="rId81" Type="http://schemas.openxmlformats.org/officeDocument/2006/relationships/hyperlink" Target="https://ec.europa.eu/eurostat/documents/38154/4956088/SUMMARY+partial+provisional+results+SHARES+2018/25ce9f29-7053-17c5-12a6-8efe878b6031" TargetMode="External"/><Relationship Id="rId86" Type="http://schemas.openxmlformats.org/officeDocument/2006/relationships/hyperlink" Target="http://www.naturvardsverket.se/Miljoarbete-i-samhallet/Miljoarbete-i-Sverige/Uppdelat-efter-omrade/Avfall/Avfallsplanen/" TargetMode="External"/><Relationship Id="rId130" Type="http://schemas.openxmlformats.org/officeDocument/2006/relationships/header" Target="header32.xml"/><Relationship Id="rId135" Type="http://schemas.openxmlformats.org/officeDocument/2006/relationships/fontTable" Target="fontTable.xml"/><Relationship Id="rId13" Type="http://schemas.openxmlformats.org/officeDocument/2006/relationships/header" Target="header1.xml"/><Relationship Id="rId18" Type="http://schemas.openxmlformats.org/officeDocument/2006/relationships/footer" Target="footer4.xml"/><Relationship Id="rId39" Type="http://schemas.openxmlformats.org/officeDocument/2006/relationships/hyperlink" Target="https://www.konkurrensverket.se/informationsmaterial/rapportlista/konkurrensverkets-tillsynsverksamhet-2020/" TargetMode="External"/><Relationship Id="rId109" Type="http://schemas.openxmlformats.org/officeDocument/2006/relationships/header" Target="header21.xml"/><Relationship Id="rId34" Type="http://schemas.openxmlformats.org/officeDocument/2006/relationships/footer" Target="footer12.xml"/><Relationship Id="rId50" Type="http://schemas.openxmlformats.org/officeDocument/2006/relationships/hyperlink" Target="https://utvecklanorrbotten.se/publikationer/" TargetMode="External"/><Relationship Id="rId55" Type="http://schemas.openxmlformats.org/officeDocument/2006/relationships/hyperlink" Target="https://utvecklanorrbotten.se/publikationer/" TargetMode="External"/><Relationship Id="rId76" Type="http://schemas.openxmlformats.org/officeDocument/2006/relationships/hyperlink" Target="https://ec.europa.eu/energy/sites/ener/files/documents/se_final_necp_main_se.pdf" TargetMode="External"/><Relationship Id="rId97" Type="http://schemas.openxmlformats.org/officeDocument/2006/relationships/hyperlink" Target="mailto:riksgalden@riksgalden.se" TargetMode="External"/><Relationship Id="rId104" Type="http://schemas.openxmlformats.org/officeDocument/2006/relationships/hyperlink" Target="https://tillvaxtverket.se/" TargetMode="External"/><Relationship Id="rId120" Type="http://schemas.openxmlformats.org/officeDocument/2006/relationships/footer" Target="footer27.xml"/><Relationship Id="rId125" Type="http://schemas.openxmlformats.org/officeDocument/2006/relationships/footer" Target="footer29.xml"/><Relationship Id="rId7" Type="http://schemas.openxmlformats.org/officeDocument/2006/relationships/settings" Target="settings.xml"/><Relationship Id="rId71" Type="http://schemas.openxmlformats.org/officeDocument/2006/relationships/hyperlink" Target="https://nordkalottradet.org/" TargetMode="External"/><Relationship Id="rId92" Type="http://schemas.openxmlformats.org/officeDocument/2006/relationships/header" Target="header15.xml"/><Relationship Id="rId2" Type="http://schemas.openxmlformats.org/officeDocument/2006/relationships/customXml" Target="../customXml/item2.xml"/><Relationship Id="rId29" Type="http://schemas.openxmlformats.org/officeDocument/2006/relationships/header" Target="header9.xml"/><Relationship Id="rId24" Type="http://schemas.openxmlformats.org/officeDocument/2006/relationships/footer" Target="footer7.xml"/><Relationship Id="rId40" Type="http://schemas.openxmlformats.org/officeDocument/2006/relationships/hyperlink" Target="http://www.riksdagen.se/sv/dokument-lagar/dokument/svensk-forfattningssamling/lag-2013388-om-tillampning-av-europeiska_sfs-2013-388" TargetMode="External"/><Relationship Id="rId45" Type="http://schemas.openxmlformats.org/officeDocument/2006/relationships/hyperlink" Target="https://www.riksdagen.se/sv/dokument-lagar/dokument/svensk-forfattningssamling/lag-1986765-med-instruktion-for-riksdagens_sfs-1986-765" TargetMode="External"/><Relationship Id="rId66" Type="http://schemas.openxmlformats.org/officeDocument/2006/relationships/hyperlink" Target="https://utvecklanorrbotten.se/publikationer/" TargetMode="External"/><Relationship Id="rId87" Type="http://schemas.openxmlformats.org/officeDocument/2006/relationships/hyperlink" Target="http://www.naturvardsverket.se/Miljoarbete-i-samhallet/Miljoarbete-i-Sverige/Uppdelat-efter-omrade/Avfall/Avfallsplanen/" TargetMode="External"/><Relationship Id="rId110" Type="http://schemas.openxmlformats.org/officeDocument/2006/relationships/footer" Target="footer22.xml"/><Relationship Id="rId115" Type="http://schemas.openxmlformats.org/officeDocument/2006/relationships/header" Target="header24.xml"/><Relationship Id="rId131" Type="http://schemas.openxmlformats.org/officeDocument/2006/relationships/footer" Target="footer32.xml"/><Relationship Id="rId136" Type="http://schemas.openxmlformats.org/officeDocument/2006/relationships/theme" Target="theme/theme1.xml"/><Relationship Id="rId61" Type="http://schemas.openxmlformats.org/officeDocument/2006/relationships/hyperlink" Target="https://utvecklanorrbotten.se/publikationer/" TargetMode="External"/><Relationship Id="rId82" Type="http://schemas.openxmlformats.org/officeDocument/2006/relationships/hyperlink" Target="https://eur-lex.europa.eu/legal-content/SV/TXT/PDF/?uri=CELEX:32018L2001&amp;from=EN" TargetMode="External"/><Relationship Id="rId19" Type="http://schemas.openxmlformats.org/officeDocument/2006/relationships/header" Target="header4.xml"/><Relationship Id="rId14" Type="http://schemas.openxmlformats.org/officeDocument/2006/relationships/header" Target="header2.xml"/><Relationship Id="rId30" Type="http://schemas.openxmlformats.org/officeDocument/2006/relationships/footer" Target="footer10.xml"/><Relationship Id="rId35" Type="http://schemas.openxmlformats.org/officeDocument/2006/relationships/header" Target="header12.xml"/><Relationship Id="rId56" Type="http://schemas.openxmlformats.org/officeDocument/2006/relationships/hyperlink" Target="https://regionvasterbotten.se/VLL/Filer/RIS_V%C3%A4sterbotten%202022-2030.pdf" TargetMode="External"/><Relationship Id="rId77" Type="http://schemas.openxmlformats.org/officeDocument/2006/relationships/hyperlink" Target="https://ec.europa.eu/energy/sites/ener/files/documents/se_final_necp_main_se.pdf" TargetMode="External"/><Relationship Id="rId100" Type="http://schemas.openxmlformats.org/officeDocument/2006/relationships/footer" Target="footer17.xml"/><Relationship Id="rId105" Type="http://schemas.openxmlformats.org/officeDocument/2006/relationships/header" Target="header19.xml"/><Relationship Id="rId126" Type="http://schemas.openxmlformats.org/officeDocument/2006/relationships/footer" Target="footer30.xml"/><Relationship Id="rId8" Type="http://schemas.openxmlformats.org/officeDocument/2006/relationships/webSettings" Target="webSettings.xml"/><Relationship Id="rId51" Type="http://schemas.openxmlformats.org/officeDocument/2006/relationships/hyperlink" Target="https://regionvasterbotten.se/VLL/Filer/RIS_V%C3%A4sterbotten%202022-2030.pdf" TargetMode="External"/><Relationship Id="rId72" Type="http://schemas.openxmlformats.org/officeDocument/2006/relationships/hyperlink" Target="https://www.pts.se/sv/dokument/rapporter/internet/2020/pts-mobiltacknings--och-bredbandskartlaggning-2019-pts-er-202015/" TargetMode="External"/><Relationship Id="rId93" Type="http://schemas.openxmlformats.org/officeDocument/2006/relationships/footer" Target="footer16.xml"/><Relationship Id="rId98" Type="http://schemas.openxmlformats.org/officeDocument/2006/relationships/header" Target="header16.xml"/><Relationship Id="rId121" Type="http://schemas.openxmlformats.org/officeDocument/2006/relationships/header" Target="header27.xml"/><Relationship Id="rId3" Type="http://schemas.openxmlformats.org/officeDocument/2006/relationships/customXml" Target="../customXml/item3.xml"/><Relationship Id="rId25" Type="http://schemas.openxmlformats.org/officeDocument/2006/relationships/header" Target="header7.xml"/><Relationship Id="rId46" Type="http://schemas.openxmlformats.org/officeDocument/2006/relationships/hyperlink" Target="https://www.riksdagen.se/sv/dokument-lagar/dokument/svensk-forfattningssamling/lag-19751339-om-justitiekanslerns-tillsyn_sfs-1975-1339" TargetMode="External"/><Relationship Id="rId67" Type="http://schemas.openxmlformats.org/officeDocument/2006/relationships/hyperlink" Target="https://regionvasterbotten.se/VLL/Filer/RIS_V%C3%A4sterbotten%202022-2030.pdf" TargetMode="External"/><Relationship Id="rId116" Type="http://schemas.openxmlformats.org/officeDocument/2006/relationships/footer" Target="footer25.xml"/><Relationship Id="rId20" Type="http://schemas.openxmlformats.org/officeDocument/2006/relationships/header" Target="header5.xml"/><Relationship Id="rId41" Type="http://schemas.openxmlformats.org/officeDocument/2006/relationships/hyperlink" Target="http://www.riksdagen.se/sv/dokument-lagar/dokument/svensk-forfattningssamling/forordning-2016605-om-tillampning-av_sfs-2016-605" TargetMode="External"/><Relationship Id="rId62" Type="http://schemas.openxmlformats.org/officeDocument/2006/relationships/hyperlink" Target="https://regionvasterbotten.se/VLL/Filer/RIS_V%C3%A4sterbotten%202022-2030.pdf" TargetMode="External"/><Relationship Id="rId83" Type="http://schemas.openxmlformats.org/officeDocument/2006/relationships/hyperlink" Target="https://klimatanpassning.se/" TargetMode="External"/><Relationship Id="rId88" Type="http://schemas.openxmlformats.org/officeDocument/2006/relationships/header" Target="header13.xml"/><Relationship Id="rId111" Type="http://schemas.openxmlformats.org/officeDocument/2006/relationships/header" Target="header22.xml"/><Relationship Id="rId132" Type="http://schemas.openxmlformats.org/officeDocument/2006/relationships/footer" Target="footer33.xml"/><Relationship Id="rId15" Type="http://schemas.openxmlformats.org/officeDocument/2006/relationships/footer" Target="footer2.xml"/><Relationship Id="rId36" Type="http://schemas.openxmlformats.org/officeDocument/2006/relationships/footer" Target="footer13.xml"/><Relationship Id="rId57" Type="http://schemas.openxmlformats.org/officeDocument/2006/relationships/hyperlink" Target="https://tillvaxtverket.se/download/18.b316e7e16fa47c95ec58ee8/1579513697125/Report%20on%20smart%20specialisation%20final_%20(002).pdf" TargetMode="External"/><Relationship Id="rId106" Type="http://schemas.openxmlformats.org/officeDocument/2006/relationships/header" Target="header20.xml"/><Relationship Id="rId127" Type="http://schemas.openxmlformats.org/officeDocument/2006/relationships/header" Target="header30.xml"/><Relationship Id="rId10" Type="http://schemas.openxmlformats.org/officeDocument/2006/relationships/endnotes" Target="endnotes.xml"/><Relationship Id="rId31" Type="http://schemas.openxmlformats.org/officeDocument/2006/relationships/header" Target="header10.xml"/><Relationship Id="rId52" Type="http://schemas.openxmlformats.org/officeDocument/2006/relationships/hyperlink" Target="https://utvecklanorrbotten.se/publikationer/" TargetMode="External"/><Relationship Id="rId73" Type="http://schemas.openxmlformats.org/officeDocument/2006/relationships/hyperlink" Target="https://www.regionvasterbotten.se/VLL/Filer/digital_agenda_vasterbotten_141127.pdf" TargetMode="External"/><Relationship Id="rId78" Type="http://schemas.openxmlformats.org/officeDocument/2006/relationships/hyperlink" Target="https://ec.europa.eu/eurostat/documents/38154/4956088/SUMMARY+partial+provisional+results+SHARES+2018/25ce9f29-7053-17c5-12a6-8efe878b6031" TargetMode="External"/><Relationship Id="rId94" Type="http://schemas.openxmlformats.org/officeDocument/2006/relationships/hyperlink" Target="mailto:tillvaxtverket@tillvaxtverket.seail" TargetMode="External"/><Relationship Id="rId99" Type="http://schemas.openxmlformats.org/officeDocument/2006/relationships/header" Target="header17.xml"/><Relationship Id="rId101" Type="http://schemas.openxmlformats.org/officeDocument/2006/relationships/footer" Target="footer18.xml"/><Relationship Id="rId122" Type="http://schemas.openxmlformats.org/officeDocument/2006/relationships/footer" Target="footer28.xm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eader" Target="header8.xml"/><Relationship Id="rId47" Type="http://schemas.openxmlformats.org/officeDocument/2006/relationships/hyperlink" Target="http://www.regeringen.se/informationsmaterial/2021/09/informationsmaterial-strategi-for-systematisk-uppfoljning-av-funktionshinderspolitiken-under-20212031/" TargetMode="External"/><Relationship Id="rId68" Type="http://schemas.openxmlformats.org/officeDocument/2006/relationships/hyperlink" Target="https://www.lars-project.eu/" TargetMode="External"/><Relationship Id="rId89" Type="http://schemas.openxmlformats.org/officeDocument/2006/relationships/header" Target="header14.xml"/><Relationship Id="rId112" Type="http://schemas.openxmlformats.org/officeDocument/2006/relationships/header" Target="header23.xml"/><Relationship Id="rId133" Type="http://schemas.openxmlformats.org/officeDocument/2006/relationships/header" Target="header3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0432d51d-9459-41b2-acee-fcf93e3ac757" xsi:nil="true"/>
    <lcf76f155ced4ddcb4097134ff3c332f xmlns="d90a9632-a870-49ae-9378-225bd5c60b0a">
      <Terms xmlns="http://schemas.microsoft.com/office/infopath/2007/PartnerControls"/>
    </lcf76f155ced4ddcb4097134ff3c332f>
    <number xmlns="d90a9632-a870-49ae-9378-225bd5c60b0a">1</number>
    <num xmlns="d90a9632-a870-49ae-9378-225bd5c60b0a">0</num>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07D100EA43E644A95A1AFA277A9D8AC" ma:contentTypeVersion="18" ma:contentTypeDescription="Create a new document." ma:contentTypeScope="" ma:versionID="b7b594910a6a16b13b9133a8e5030f5f">
  <xsd:schema xmlns:xsd="http://www.w3.org/2001/XMLSchema" xmlns:xs="http://www.w3.org/2001/XMLSchema" xmlns:p="http://schemas.microsoft.com/office/2006/metadata/properties" xmlns:ns2="d90a9632-a870-49ae-9378-225bd5c60b0a" xmlns:ns3="0432d51d-9459-41b2-acee-fcf93e3ac757" targetNamespace="http://schemas.microsoft.com/office/2006/metadata/properties" ma:root="true" ma:fieldsID="b402e5864f7ce639b54c6e89d5291f51" ns2:_="" ns3:_="">
    <xsd:import namespace="d90a9632-a870-49ae-9378-225bd5c60b0a"/>
    <xsd:import namespace="0432d51d-9459-41b2-acee-fcf93e3ac7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element ref="ns2:number" minOccurs="0"/>
                <xsd:element ref="ns2:num"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0a9632-a870-49ae-9378-225bd5c60b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number" ma:index="19" nillable="true" ma:displayName="number" ma:decimals="0" ma:default="1" ma:format="Dropdown" ma:internalName="number" ma:percentage="FALSE">
      <xsd:simpleType>
        <xsd:restriction base="dms:Number"/>
      </xsd:simpleType>
    </xsd:element>
    <xsd:element name="num" ma:index="20" nillable="true" ma:displayName="num" ma:decimals="0" ma:default="0" ma:format="Dropdown" ma:internalName="num" ma:percentage="FALSE">
      <xsd:simpleType>
        <xsd:restriction base="dms:Number"/>
      </xsd:simpleType>
    </xsd:element>
    <xsd:element name="MediaLengthInSeconds" ma:index="21" nillable="true" ma:displayName="Length (seconds)"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a90e3c1-78cc-48c0-ab9c-8ece4e3baac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432d51d-9459-41b2-acee-fcf93e3ac75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de204a33-9b14-470d-8dbf-6e240d595de5}" ma:internalName="TaxCatchAll" ma:showField="CatchAllData" ma:web="0432d51d-9459-41b2-acee-fcf93e3ac7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BE8544-E681-4754-8FCC-2EB01F8004AE}">
  <ds:schemaRefs>
    <ds:schemaRef ds:uri="http://schemas.openxmlformats.org/officeDocument/2006/bibliography"/>
  </ds:schemaRefs>
</ds:datastoreItem>
</file>

<file path=customXml/itemProps2.xml><?xml version="1.0" encoding="utf-8"?>
<ds:datastoreItem xmlns:ds="http://schemas.openxmlformats.org/officeDocument/2006/customXml" ds:itemID="{A4D24E87-037F-4511-930F-8AFDE748F8AF}">
  <ds:schemaRefs>
    <ds:schemaRef ds:uri="http://schemas.microsoft.com/office/2006/metadata/properties"/>
    <ds:schemaRef ds:uri="http://schemas.microsoft.com/office/infopath/2007/PartnerControls"/>
    <ds:schemaRef ds:uri="0432d51d-9459-41b2-acee-fcf93e3ac757"/>
    <ds:schemaRef ds:uri="d90a9632-a870-49ae-9378-225bd5c60b0a"/>
  </ds:schemaRefs>
</ds:datastoreItem>
</file>

<file path=customXml/itemProps3.xml><?xml version="1.0" encoding="utf-8"?>
<ds:datastoreItem xmlns:ds="http://schemas.openxmlformats.org/officeDocument/2006/customXml" ds:itemID="{0FE0F149-9B25-4CEA-962F-5C3D666AE3B3}">
  <ds:schemaRefs>
    <ds:schemaRef ds:uri="http://schemas.microsoft.com/sharepoint/v3/contenttype/forms"/>
  </ds:schemaRefs>
</ds:datastoreItem>
</file>

<file path=customXml/itemProps4.xml><?xml version="1.0" encoding="utf-8"?>
<ds:datastoreItem xmlns:ds="http://schemas.openxmlformats.org/officeDocument/2006/customXml" ds:itemID="{20522EB0-B3BC-4619-A98D-7187ACDD2C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0a9632-a870-49ae-9378-225bd5c60b0a"/>
    <ds:schemaRef ds:uri="0432d51d-9459-41b2-acee-fcf93e3ac7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57203</Words>
  <Characters>303181</Characters>
  <Application>Microsoft Office Word</Application>
  <DocSecurity>0</DocSecurity>
  <Lines>2526</Lines>
  <Paragraphs>719</Paragraphs>
  <ScaleCrop>false</ScaleCrop>
  <HeadingPairs>
    <vt:vector size="2" baseType="variant">
      <vt:variant>
        <vt:lpstr>Title</vt:lpstr>
      </vt:variant>
      <vt:variant>
        <vt:i4>1</vt:i4>
      </vt:variant>
    </vt:vector>
  </HeadingPairs>
  <TitlesOfParts>
    <vt:vector size="1" baseType="lpstr">
      <vt:lpstr>SFC2021 Mall för program som får stöd från Eruf (målet Investering för sysselsättning och tillväxt), ESF+, Sammanhållningsfonden, FRO och EHFVF – artikel 21.3</vt:lpstr>
    </vt:vector>
  </TitlesOfParts>
  <Company/>
  <LinksUpToDate>false</LinksUpToDate>
  <CharactersWithSpaces>359665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SFC2021 Mall för program som får stöd från Eruf (målet Investering för sysselsättning och tillväxt), ESF+, Sammanhållningsfonden, FRO och EHFVF – artikel 21.3</dc:title>
  <dc:subject>SFC2021 Mall för program som får stöd från Eruf (målet Investering för sysselsättning och tillväxt), ESF+, Sammanhållningsfonden, FRO och EHFVF – artikel 21.3</dc:subject>
  <dc:creator>Tillväxtverket</dc:creator>
  <cp:keywords>sysselsättning, tillväxt, sammanhållningsfonden, investering</cp:keywords>
  <cp:lastModifiedBy>Lina Lindbäck</cp:lastModifiedBy>
  <cp:revision>2</cp:revision>
  <dcterms:created xsi:type="dcterms:W3CDTF">2023-02-09T08:44:00Z</dcterms:created>
  <dcterms:modified xsi:type="dcterms:W3CDTF">2023-02-09T08:44:00Z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0x010100807D100EA43E644A95A1AFA277A9D8AC</vt:lpwstr>
  </property>
</Properties>
</file>